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tLeast"/>
        <w:rPr>
          <w:rFonts w:ascii="????" w:hAnsi="????" w:cs="????"/>
          <w:color w:val="2B2B2B"/>
          <w:kern w:val="0"/>
          <w:sz w:val="36"/>
          <w:szCs w:val="36"/>
          <w:shd w:val="clear" w:color="auto" w:fill="FFFFFF"/>
        </w:rPr>
      </w:pPr>
    </w:p>
    <w:p>
      <w:pPr>
        <w:widowControl/>
        <w:shd w:val="clear" w:color="auto" w:fill="FFFFFF"/>
        <w:spacing w:line="360" w:lineRule="atLeast"/>
        <w:jc w:val="center"/>
        <w:rPr>
          <w:rFonts w:ascii="????" w:hAnsi="????" w:eastAsia="Times New Roman" w:cs="Times New Roman"/>
          <w:color w:val="2B2B2B"/>
          <w:kern w:val="0"/>
          <w:sz w:val="36"/>
          <w:szCs w:val="36"/>
          <w:shd w:val="clear" w:color="auto" w:fill="FFFFFF"/>
        </w:rPr>
      </w:pPr>
      <w:r>
        <w:rPr>
          <w:rFonts w:ascii="????" w:hAnsi="????" w:eastAsia="Times New Roman" w:cs="Times New Roman"/>
          <w:color w:val="2B2B2B"/>
          <w:kern w:val="0"/>
          <w:sz w:val="36"/>
          <w:szCs w:val="36"/>
          <w:shd w:val="clear" w:color="auto" w:fill="FFFFFF"/>
        </w:rPr>
        <w:t>2015</w:t>
      </w:r>
      <w:r>
        <w:rPr>
          <w:rFonts w:hint="eastAsia" w:ascii="宋体" w:hAnsi="宋体" w:cs="宋体"/>
          <w:color w:val="2B2B2B"/>
          <w:kern w:val="0"/>
          <w:sz w:val="36"/>
          <w:szCs w:val="36"/>
          <w:shd w:val="clear" w:color="auto" w:fill="FFFFFF"/>
        </w:rPr>
        <w:t>年昌吉州畜产品质量检测中心部门决算</w:t>
      </w:r>
    </w:p>
    <w:p>
      <w:pPr>
        <w:widowControl/>
        <w:shd w:val="clear" w:color="auto" w:fill="FFFFFF"/>
        <w:spacing w:line="360" w:lineRule="atLeast"/>
        <w:jc w:val="center"/>
        <w:rPr>
          <w:rFonts w:ascii="????" w:hAnsi="????" w:eastAsia="Times New Roman" w:cs="Times New Roman"/>
          <w:color w:val="2B2B2B"/>
          <w:kern w:val="0"/>
          <w:sz w:val="36"/>
          <w:szCs w:val="36"/>
          <w:shd w:val="clear" w:color="auto" w:fill="FFFFFF"/>
        </w:rPr>
      </w:pPr>
    </w:p>
    <w:p>
      <w:pPr>
        <w:adjustRightInd w:val="0"/>
        <w:snapToGrid w:val="0"/>
        <w:spacing w:line="520" w:lineRule="exact"/>
        <w:ind w:firstLine="31680" w:firstLineChars="200"/>
        <w:rPr>
          <w:rFonts w:ascii="仿宋_GB2312" w:hAnsi="仿宋_GB2312" w:eastAsia="仿宋_GB2312" w:cs="Times New Roman"/>
          <w:sz w:val="30"/>
          <w:szCs w:val="30"/>
        </w:rPr>
      </w:pPr>
      <w:r>
        <w:rPr>
          <w:rFonts w:hint="eastAsia" w:ascii="仿宋_GB2312" w:hAnsi="仿宋_GB2312" w:eastAsia="仿宋_GB2312" w:cs="仿宋_GB2312"/>
          <w:sz w:val="30"/>
          <w:szCs w:val="30"/>
        </w:rPr>
        <w:t>根据自治州财政局《关于做好</w:t>
      </w:r>
      <w:r>
        <w:rPr>
          <w:rFonts w:ascii="仿宋_GB2312" w:hAnsi="仿宋_GB2312" w:eastAsia="仿宋_GB2312" w:cs="仿宋_GB2312"/>
          <w:sz w:val="30"/>
          <w:szCs w:val="30"/>
        </w:rPr>
        <w:t>2015</w:t>
      </w:r>
      <w:r>
        <w:rPr>
          <w:rFonts w:hint="eastAsia" w:ascii="仿宋_GB2312" w:hAnsi="仿宋_GB2312" w:eastAsia="仿宋_GB2312" w:cs="仿宋_GB2312"/>
          <w:sz w:val="30"/>
          <w:szCs w:val="30"/>
        </w:rPr>
        <w:t>年度部门决算公开工作的通知》（昌州财库</w:t>
      </w:r>
      <w:r>
        <w:rPr>
          <w:rFonts w:hint="eastAsia" w:ascii="仿宋_GB2312" w:eastAsia="仿宋_GB2312" w:cs="仿宋_GB2312"/>
          <w:sz w:val="32"/>
          <w:szCs w:val="32"/>
        </w:rPr>
        <w:t>〔</w:t>
      </w:r>
      <w:r>
        <w:rPr>
          <w:rFonts w:ascii="仿宋_GB2312" w:hAnsi="仿宋_GB2312" w:eastAsia="仿宋_GB2312" w:cs="仿宋_GB2312"/>
          <w:sz w:val="30"/>
          <w:szCs w:val="30"/>
        </w:rPr>
        <w:t>2016</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20</w:t>
      </w:r>
      <w:r>
        <w:rPr>
          <w:rFonts w:hint="eastAsia" w:ascii="仿宋_GB2312" w:hAnsi="仿宋_GB2312" w:eastAsia="仿宋_GB2312" w:cs="仿宋_GB2312"/>
          <w:sz w:val="30"/>
          <w:szCs w:val="30"/>
        </w:rPr>
        <w:t>号）、现将昌吉州畜产品质量检测中心</w:t>
      </w:r>
      <w:r>
        <w:rPr>
          <w:rFonts w:ascii="仿宋_GB2312" w:hAnsi="仿宋_GB2312" w:eastAsia="仿宋_GB2312" w:cs="仿宋_GB2312"/>
          <w:sz w:val="30"/>
          <w:szCs w:val="30"/>
        </w:rPr>
        <w:t>2015</w:t>
      </w:r>
      <w:r>
        <w:rPr>
          <w:rFonts w:hint="eastAsia" w:ascii="仿宋_GB2312" w:hAnsi="仿宋_GB2312" w:eastAsia="仿宋_GB2312" w:cs="仿宋_GB2312"/>
          <w:sz w:val="30"/>
          <w:szCs w:val="30"/>
        </w:rPr>
        <w:t>年部门决算信息公开如下。</w:t>
      </w:r>
    </w:p>
    <w:p>
      <w:pPr>
        <w:widowControl/>
        <w:adjustRightInd w:val="0"/>
        <w:snapToGrid w:val="0"/>
        <w:spacing w:line="520" w:lineRule="exact"/>
        <w:jc w:val="center"/>
        <w:rPr>
          <w:rFonts w:ascii="仿宋_GB2312" w:hAnsi="仿宋_GB2312" w:eastAsia="仿宋_GB2312" w:cs="Times New Roman"/>
          <w:b/>
          <w:bCs/>
          <w:color w:val="2B2B2B"/>
          <w:kern w:val="0"/>
          <w:sz w:val="30"/>
          <w:szCs w:val="30"/>
          <w:shd w:val="clear" w:color="auto" w:fill="FFFFFF"/>
        </w:rPr>
      </w:pPr>
    </w:p>
    <w:p>
      <w:pPr>
        <w:widowControl/>
        <w:adjustRightInd w:val="0"/>
        <w:snapToGrid w:val="0"/>
        <w:spacing w:line="520" w:lineRule="exact"/>
        <w:jc w:val="center"/>
        <w:rPr>
          <w:rFonts w:ascii="仿宋_GB2312" w:hAnsi="仿宋_GB2312" w:eastAsia="仿宋_GB2312" w:cs="Times New Roman"/>
          <w:color w:val="2B2B2B"/>
          <w:sz w:val="30"/>
          <w:szCs w:val="30"/>
        </w:rPr>
      </w:pPr>
      <w:r>
        <w:rPr>
          <w:rFonts w:hint="eastAsia" w:ascii="仿宋_GB2312" w:hAnsi="仿宋_GB2312" w:eastAsia="仿宋_GB2312" w:cs="仿宋_GB2312"/>
          <w:b/>
          <w:bCs/>
          <w:color w:val="2B2B2B"/>
          <w:kern w:val="0"/>
          <w:sz w:val="30"/>
          <w:szCs w:val="30"/>
          <w:shd w:val="clear" w:color="auto" w:fill="FFFFFF"/>
        </w:rPr>
        <w:t>第一部分</w:t>
      </w:r>
      <w:r>
        <w:rPr>
          <w:rFonts w:ascii="仿宋_GB2312" w:hAnsi="仿宋_GB2312" w:eastAsia="仿宋_GB2312" w:cs="仿宋_GB2312"/>
          <w:b/>
          <w:bCs/>
          <w:color w:val="2B2B2B"/>
          <w:kern w:val="0"/>
          <w:sz w:val="30"/>
          <w:szCs w:val="30"/>
          <w:shd w:val="clear" w:color="auto" w:fill="FFFFFF"/>
        </w:rPr>
        <w:t xml:space="preserve"> </w:t>
      </w:r>
      <w:r>
        <w:rPr>
          <w:rFonts w:hint="eastAsia" w:ascii="仿宋_GB2312" w:hAnsi="仿宋_GB2312" w:eastAsia="仿宋_GB2312" w:cs="仿宋_GB2312"/>
          <w:b/>
          <w:bCs/>
          <w:color w:val="2B2B2B"/>
          <w:kern w:val="0"/>
          <w:sz w:val="30"/>
          <w:szCs w:val="30"/>
          <w:shd w:val="clear" w:color="auto" w:fill="FFFFFF"/>
        </w:rPr>
        <w:t>部门单位概述</w:t>
      </w:r>
    </w:p>
    <w:p>
      <w:pPr>
        <w:adjustRightInd w:val="0"/>
        <w:snapToGrid w:val="0"/>
        <w:spacing w:line="520" w:lineRule="exact"/>
        <w:rPr>
          <w:rFonts w:ascii="仿宋_GB2312" w:hAnsi="仿宋_GB2312" w:eastAsia="仿宋_GB2312" w:cs="Times New Roman"/>
          <w:b/>
          <w:bCs/>
          <w:sz w:val="30"/>
          <w:szCs w:val="30"/>
        </w:rPr>
      </w:pPr>
      <w:r>
        <w:rPr>
          <w:rFonts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rPr>
        <w:t>一、单位基本情况</w:t>
      </w:r>
    </w:p>
    <w:p>
      <w:pPr>
        <w:adjustRightInd w:val="0"/>
        <w:snapToGrid w:val="0"/>
        <w:spacing w:line="520" w:lineRule="exact"/>
        <w:ind w:firstLine="31680" w:firstLineChars="196"/>
        <w:rPr>
          <w:rFonts w:ascii="仿宋_GB2312" w:hAnsi="仿宋_GB2312" w:eastAsia="仿宋_GB2312" w:cs="Times New Roman"/>
          <w:sz w:val="30"/>
          <w:szCs w:val="30"/>
        </w:rPr>
      </w:pPr>
      <w:r>
        <w:rPr>
          <w:rFonts w:hint="eastAsia" w:ascii="仿宋_GB2312" w:hAnsi="仿宋_GB2312" w:eastAsia="仿宋_GB2312" w:cs="仿宋_GB2312"/>
          <w:sz w:val="30"/>
          <w:szCs w:val="30"/>
        </w:rPr>
        <w:t>（一）主要职能</w:t>
      </w:r>
    </w:p>
    <w:p>
      <w:pPr>
        <w:adjustRightInd w:val="0"/>
        <w:snapToGrid w:val="0"/>
        <w:spacing w:line="520" w:lineRule="exact"/>
        <w:ind w:firstLine="31680" w:firstLineChars="196"/>
        <w:rPr>
          <w:rFonts w:ascii="仿宋_GB2312" w:hAnsi="仿宋_GB2312" w:eastAsia="仿宋_GB2312" w:cs="Times New Roman"/>
          <w:sz w:val="30"/>
          <w:szCs w:val="30"/>
        </w:rPr>
      </w:pPr>
      <w:r>
        <w:rPr>
          <w:rFonts w:hint="eastAsia" w:ascii="仿宋_GB2312" w:hAnsi="仿宋_GB2312" w:eastAsia="仿宋_GB2312" w:cs="仿宋_GB2312"/>
          <w:sz w:val="30"/>
          <w:szCs w:val="30"/>
        </w:rPr>
        <w:t>昌吉州畜产品质量检测中心主要业务是承担生鲜乳第三方检测工作；兽药、饲料、饲料添加剂的安全检测工作；对生产中和市场上销售的肉、奶、蛋等畜产品的药物残留和有害物质残留进行检测；对畜产品加工企业的肉、奶、蛋等原料进行检验检测。</w:t>
      </w:r>
    </w:p>
    <w:p>
      <w:pPr>
        <w:adjustRightInd w:val="0"/>
        <w:snapToGrid w:val="0"/>
        <w:spacing w:line="520" w:lineRule="exact"/>
        <w:ind w:firstLine="31680" w:firstLineChars="200"/>
        <w:rPr>
          <w:rFonts w:ascii="仿宋_GB2312" w:hAnsi="仿宋_GB2312" w:eastAsia="仿宋_GB2312" w:cs="Times New Roman"/>
          <w:sz w:val="30"/>
          <w:szCs w:val="30"/>
        </w:rPr>
      </w:pPr>
      <w:r>
        <w:rPr>
          <w:rFonts w:hint="eastAsia" w:ascii="仿宋_GB2312" w:hAnsi="仿宋_GB2312" w:eastAsia="仿宋_GB2312" w:cs="仿宋_GB2312"/>
          <w:sz w:val="30"/>
          <w:szCs w:val="30"/>
        </w:rPr>
        <w:t>（二）内设机构</w:t>
      </w:r>
    </w:p>
    <w:p>
      <w:pPr>
        <w:adjustRightInd w:val="0"/>
        <w:snapToGrid w:val="0"/>
        <w:spacing w:line="520" w:lineRule="exact"/>
        <w:ind w:firstLine="31680" w:firstLineChars="200"/>
        <w:rPr>
          <w:rFonts w:ascii="仿宋_GB2312" w:hAnsi="仿宋_GB2312" w:eastAsia="仿宋_GB2312" w:cs="Times New Roman"/>
          <w:color w:val="000000"/>
          <w:sz w:val="30"/>
          <w:szCs w:val="30"/>
        </w:rPr>
      </w:pPr>
      <w:r>
        <w:rPr>
          <w:rFonts w:hint="eastAsia" w:ascii="仿宋_GB2312" w:hAnsi="仿宋_GB2312" w:eastAsia="仿宋_GB2312" w:cs="仿宋_GB2312"/>
          <w:sz w:val="30"/>
          <w:szCs w:val="30"/>
        </w:rPr>
        <w:t>昌吉州畜产品质量检测中心副县级建制，公益一类事业单位，财政全额预算管理，隶属于昌吉州畜牧兽医局管理。内设综合科、投入品检测科、畜产品检测科，内设机构为科级。</w:t>
      </w:r>
      <w:r>
        <w:rPr>
          <w:rFonts w:hint="eastAsia" w:ascii="仿宋_GB2312" w:hAnsi="仿宋_GB2312" w:eastAsia="仿宋_GB2312" w:cs="仿宋_GB2312"/>
          <w:color w:val="000000"/>
          <w:sz w:val="30"/>
          <w:szCs w:val="30"/>
        </w:rPr>
        <w:t>管理岗</w:t>
      </w:r>
      <w:r>
        <w:rPr>
          <w:rFonts w:ascii="仿宋_GB2312" w:hAnsi="仿宋_GB2312" w:eastAsia="仿宋_GB2312" w:cs="仿宋_GB2312"/>
          <w:color w:val="000000"/>
          <w:sz w:val="30"/>
          <w:szCs w:val="30"/>
        </w:rPr>
        <w:t>2</w:t>
      </w:r>
      <w:r>
        <w:rPr>
          <w:rFonts w:hint="eastAsia" w:ascii="仿宋_GB2312" w:hAnsi="仿宋_GB2312" w:eastAsia="仿宋_GB2312" w:cs="仿宋_GB2312"/>
          <w:color w:val="000000"/>
          <w:sz w:val="30"/>
          <w:szCs w:val="30"/>
        </w:rPr>
        <w:t>名，专业技术岗</w:t>
      </w:r>
      <w:r>
        <w:rPr>
          <w:rFonts w:ascii="仿宋_GB2312" w:hAnsi="仿宋_GB2312" w:eastAsia="仿宋_GB2312" w:cs="仿宋_GB2312"/>
          <w:color w:val="000000"/>
          <w:sz w:val="30"/>
          <w:szCs w:val="30"/>
        </w:rPr>
        <w:t>13</w:t>
      </w:r>
      <w:r>
        <w:rPr>
          <w:rFonts w:hint="eastAsia" w:ascii="仿宋_GB2312" w:hAnsi="仿宋_GB2312" w:eastAsia="仿宋_GB2312" w:cs="仿宋_GB2312"/>
          <w:color w:val="000000"/>
          <w:sz w:val="30"/>
          <w:szCs w:val="30"/>
        </w:rPr>
        <w:t>名，工勤技能岗</w:t>
      </w:r>
      <w:r>
        <w:rPr>
          <w:rFonts w:ascii="仿宋_GB2312" w:hAnsi="仿宋_GB2312" w:eastAsia="仿宋_GB2312" w:cs="仿宋_GB2312"/>
          <w:color w:val="000000"/>
          <w:sz w:val="30"/>
          <w:szCs w:val="30"/>
        </w:rPr>
        <w:t>1</w:t>
      </w:r>
      <w:r>
        <w:rPr>
          <w:rFonts w:hint="eastAsia" w:ascii="仿宋_GB2312" w:hAnsi="仿宋_GB2312" w:eastAsia="仿宋_GB2312" w:cs="仿宋_GB2312"/>
          <w:color w:val="000000"/>
          <w:sz w:val="30"/>
          <w:szCs w:val="30"/>
        </w:rPr>
        <w:t>名。</w:t>
      </w:r>
    </w:p>
    <w:p>
      <w:pPr>
        <w:adjustRightInd w:val="0"/>
        <w:snapToGrid w:val="0"/>
        <w:spacing w:line="520" w:lineRule="exact"/>
        <w:ind w:firstLine="31680" w:firstLineChars="196"/>
        <w:rPr>
          <w:rFonts w:ascii="仿宋_GB2312" w:hAnsi="仿宋_GB2312" w:eastAsia="仿宋_GB2312" w:cs="Times New Roman"/>
          <w:sz w:val="30"/>
          <w:szCs w:val="30"/>
        </w:rPr>
      </w:pPr>
      <w:r>
        <w:rPr>
          <w:rFonts w:hint="eastAsia" w:ascii="仿宋_GB2312" w:hAnsi="仿宋_GB2312" w:eastAsia="仿宋_GB2312" w:cs="仿宋_GB2312"/>
          <w:sz w:val="30"/>
          <w:szCs w:val="30"/>
        </w:rPr>
        <w:t>（三）人员编制</w:t>
      </w:r>
    </w:p>
    <w:p>
      <w:pPr>
        <w:adjustRightInd w:val="0"/>
        <w:snapToGrid w:val="0"/>
        <w:spacing w:line="520" w:lineRule="exact"/>
        <w:ind w:firstLine="31680" w:firstLineChars="200"/>
        <w:rPr>
          <w:rFonts w:ascii="仿宋_GB2312" w:hAnsi="仿宋_GB2312" w:eastAsia="仿宋_GB2312" w:cs="Times New Roman"/>
          <w:color w:val="000000"/>
          <w:sz w:val="30"/>
          <w:szCs w:val="30"/>
        </w:rPr>
      </w:pPr>
      <w:r>
        <w:rPr>
          <w:rFonts w:hint="eastAsia" w:ascii="仿宋_GB2312" w:hAnsi="仿宋_GB2312" w:eastAsia="仿宋_GB2312" w:cs="仿宋_GB2312"/>
          <w:sz w:val="30"/>
          <w:szCs w:val="30"/>
        </w:rPr>
        <w:t>昌吉州畜产品质量检测中心核定事业编制</w:t>
      </w:r>
      <w:r>
        <w:rPr>
          <w:rFonts w:ascii="仿宋_GB2312" w:hAnsi="仿宋_GB2312" w:eastAsia="仿宋_GB2312" w:cs="仿宋_GB2312"/>
          <w:sz w:val="30"/>
          <w:szCs w:val="30"/>
        </w:rPr>
        <w:t>16</w:t>
      </w:r>
      <w:r>
        <w:rPr>
          <w:rFonts w:hint="eastAsia" w:ascii="仿宋_GB2312" w:hAnsi="仿宋_GB2312" w:eastAsia="仿宋_GB2312" w:cs="仿宋_GB2312"/>
          <w:sz w:val="30"/>
          <w:szCs w:val="30"/>
        </w:rPr>
        <w:t>名，年初财政预算</w:t>
      </w:r>
      <w:r>
        <w:rPr>
          <w:rFonts w:ascii="仿宋_GB2312" w:hAnsi="仿宋_GB2312" w:eastAsia="仿宋_GB2312" w:cs="仿宋_GB2312"/>
          <w:sz w:val="30"/>
          <w:szCs w:val="30"/>
        </w:rPr>
        <w:t>14</w:t>
      </w:r>
      <w:r>
        <w:rPr>
          <w:rFonts w:hint="eastAsia" w:ascii="仿宋_GB2312" w:hAnsi="仿宋_GB2312" w:eastAsia="仿宋_GB2312" w:cs="仿宋_GB2312"/>
          <w:sz w:val="30"/>
          <w:szCs w:val="30"/>
        </w:rPr>
        <w:t>人，年末新增专业技术人员</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人，现有</w:t>
      </w:r>
      <w:r>
        <w:rPr>
          <w:rFonts w:hint="eastAsia" w:ascii="仿宋_GB2312" w:hAnsi="仿宋_GB2312" w:eastAsia="仿宋_GB2312" w:cs="仿宋_GB2312"/>
          <w:color w:val="000000"/>
          <w:sz w:val="30"/>
          <w:szCs w:val="30"/>
        </w:rPr>
        <w:t>在职职工</w:t>
      </w:r>
      <w:r>
        <w:rPr>
          <w:rFonts w:ascii="仿宋_GB2312" w:hAnsi="仿宋_GB2312" w:eastAsia="仿宋_GB2312" w:cs="仿宋_GB2312"/>
          <w:color w:val="000000"/>
          <w:sz w:val="30"/>
          <w:szCs w:val="30"/>
        </w:rPr>
        <w:t>15</w:t>
      </w:r>
      <w:r>
        <w:rPr>
          <w:rFonts w:hint="eastAsia" w:ascii="仿宋_GB2312" w:hAnsi="仿宋_GB2312" w:eastAsia="仿宋_GB2312" w:cs="仿宋_GB2312"/>
          <w:color w:val="000000"/>
          <w:sz w:val="30"/>
          <w:szCs w:val="30"/>
        </w:rPr>
        <w:t>人</w:t>
      </w:r>
      <w:r>
        <w:rPr>
          <w:rFonts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rPr>
        <w:t>无离退休人员。</w:t>
      </w:r>
    </w:p>
    <w:p>
      <w:pPr>
        <w:adjustRightInd w:val="0"/>
        <w:snapToGrid w:val="0"/>
        <w:spacing w:line="520" w:lineRule="exact"/>
        <w:ind w:firstLine="31680" w:firstLineChars="200"/>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shd w:val="clear" w:color="auto" w:fill="FFFFFF"/>
        </w:rPr>
        <w:t>公务用车辆编制</w:t>
      </w:r>
      <w:r>
        <w:rPr>
          <w:rFonts w:ascii="仿宋_GB2312" w:hAnsi="仿宋_GB2312" w:eastAsia="仿宋_GB2312" w:cs="仿宋_GB2312"/>
          <w:color w:val="2B2B2B"/>
          <w:kern w:val="0"/>
          <w:sz w:val="30"/>
          <w:szCs w:val="30"/>
          <w:shd w:val="clear" w:color="auto" w:fill="FFFFFF"/>
        </w:rPr>
        <w:t>2</w:t>
      </w:r>
      <w:r>
        <w:rPr>
          <w:rFonts w:hint="eastAsia" w:ascii="仿宋_GB2312" w:hAnsi="仿宋_GB2312" w:eastAsia="仿宋_GB2312" w:cs="仿宋_GB2312"/>
          <w:color w:val="2B2B2B"/>
          <w:kern w:val="0"/>
          <w:sz w:val="30"/>
          <w:szCs w:val="30"/>
          <w:shd w:val="clear" w:color="auto" w:fill="FFFFFF"/>
        </w:rPr>
        <w:t>辆，实有公务用车</w:t>
      </w:r>
      <w:r>
        <w:rPr>
          <w:rFonts w:ascii="仿宋_GB2312" w:hAnsi="仿宋_GB2312" w:eastAsia="仿宋_GB2312" w:cs="仿宋_GB2312"/>
          <w:color w:val="2B2B2B"/>
          <w:kern w:val="0"/>
          <w:sz w:val="30"/>
          <w:szCs w:val="30"/>
          <w:shd w:val="clear" w:color="auto" w:fill="FFFFFF"/>
        </w:rPr>
        <w:t>2</w:t>
      </w:r>
      <w:r>
        <w:rPr>
          <w:rFonts w:hint="eastAsia" w:ascii="仿宋_GB2312" w:hAnsi="仿宋_GB2312" w:eastAsia="仿宋_GB2312" w:cs="仿宋_GB2312"/>
          <w:color w:val="2B2B2B"/>
          <w:kern w:val="0"/>
          <w:sz w:val="30"/>
          <w:szCs w:val="30"/>
          <w:shd w:val="clear" w:color="auto" w:fill="FFFFFF"/>
        </w:rPr>
        <w:t>辆专业采样车</w:t>
      </w:r>
      <w:r>
        <w:rPr>
          <w:rFonts w:ascii="仿宋_GB2312" w:hAnsi="仿宋_GB2312" w:eastAsia="仿宋_GB2312" w:cs="仿宋_GB2312"/>
          <w:color w:val="2B2B2B"/>
          <w:kern w:val="0"/>
          <w:sz w:val="30"/>
          <w:szCs w:val="30"/>
          <w:shd w:val="clear" w:color="auto" w:fill="FFFFFF"/>
        </w:rPr>
        <w:t>1</w:t>
      </w:r>
      <w:r>
        <w:rPr>
          <w:rFonts w:hint="eastAsia" w:ascii="仿宋_GB2312" w:hAnsi="仿宋_GB2312" w:eastAsia="仿宋_GB2312" w:cs="仿宋_GB2312"/>
          <w:color w:val="2B2B2B"/>
          <w:kern w:val="0"/>
          <w:sz w:val="30"/>
          <w:szCs w:val="30"/>
          <w:shd w:val="clear" w:color="auto" w:fill="FFFFFF"/>
        </w:rPr>
        <w:t>辆。</w:t>
      </w:r>
    </w:p>
    <w:p>
      <w:pPr>
        <w:widowControl/>
        <w:adjustRightInd w:val="0"/>
        <w:snapToGrid w:val="0"/>
        <w:spacing w:line="520" w:lineRule="exact"/>
        <w:ind w:firstLine="600"/>
        <w:jc w:val="left"/>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二、部门决算单位构成</w:t>
      </w:r>
    </w:p>
    <w:p>
      <w:pPr>
        <w:widowControl/>
        <w:adjustRightInd w:val="0"/>
        <w:snapToGrid w:val="0"/>
        <w:spacing w:line="520" w:lineRule="exact"/>
        <w:ind w:firstLine="600"/>
        <w:jc w:val="left"/>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从决算单位构成看，州畜产品质量检测中心部门决算包括：州畜产品质量检测中心本级决算。</w:t>
      </w:r>
    </w:p>
    <w:p>
      <w:pPr>
        <w:widowControl/>
        <w:adjustRightInd w:val="0"/>
        <w:snapToGrid w:val="0"/>
        <w:spacing w:line="520" w:lineRule="exact"/>
        <w:ind w:firstLine="576"/>
        <w:jc w:val="left"/>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纳入州畜产品质量检测中心</w:t>
      </w:r>
      <w:r>
        <w:rPr>
          <w:rFonts w:ascii="仿宋_GB2312" w:hAnsi="仿宋_GB2312" w:eastAsia="仿宋_GB2312" w:cs="仿宋_GB2312"/>
          <w:color w:val="2B2B2B"/>
          <w:kern w:val="0"/>
          <w:sz w:val="30"/>
          <w:szCs w:val="30"/>
        </w:rPr>
        <w:t>2015</w:t>
      </w:r>
      <w:r>
        <w:rPr>
          <w:rFonts w:hint="eastAsia" w:ascii="仿宋_GB2312" w:hAnsi="仿宋_GB2312" w:eastAsia="仿宋_GB2312" w:cs="仿宋_GB2312"/>
          <w:color w:val="2B2B2B"/>
          <w:kern w:val="0"/>
          <w:sz w:val="30"/>
          <w:szCs w:val="30"/>
        </w:rPr>
        <w:t>年部门决算编制范围的单位名单见下表：</w:t>
      </w:r>
    </w:p>
    <w:tbl>
      <w:tblPr>
        <w:tblStyle w:val="3"/>
        <w:tblW w:w="8205" w:type="dxa"/>
        <w:tblInd w:w="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1185"/>
        <w:gridCol w:w="4140"/>
        <w:gridCol w:w="28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185" w:type="dxa"/>
            <w:shd w:val="clear" w:color="auto" w:fill="FFFFFF"/>
            <w:vAlign w:val="center"/>
          </w:tcPr>
          <w:p>
            <w:pPr>
              <w:widowControl/>
              <w:adjustRightInd w:val="0"/>
              <w:snapToGrid w:val="0"/>
              <w:spacing w:line="520" w:lineRule="exact"/>
              <w:jc w:val="center"/>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序号</w:t>
            </w:r>
          </w:p>
        </w:tc>
        <w:tc>
          <w:tcPr>
            <w:tcW w:w="4140" w:type="dxa"/>
            <w:shd w:val="clear" w:color="auto" w:fill="FFFFFF"/>
            <w:vAlign w:val="center"/>
          </w:tcPr>
          <w:p>
            <w:pPr>
              <w:widowControl/>
              <w:adjustRightInd w:val="0"/>
              <w:snapToGrid w:val="0"/>
              <w:spacing w:line="520" w:lineRule="exact"/>
              <w:jc w:val="center"/>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单位名称</w:t>
            </w:r>
          </w:p>
        </w:tc>
        <w:tc>
          <w:tcPr>
            <w:tcW w:w="2880" w:type="dxa"/>
            <w:shd w:val="clear" w:color="auto" w:fill="FFFFFF"/>
            <w:vAlign w:val="center"/>
          </w:tcPr>
          <w:p>
            <w:pPr>
              <w:widowControl/>
              <w:adjustRightInd w:val="0"/>
              <w:snapToGrid w:val="0"/>
              <w:spacing w:line="520" w:lineRule="exact"/>
              <w:jc w:val="center"/>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185" w:type="dxa"/>
            <w:shd w:val="clear" w:color="auto" w:fill="FFFFFF"/>
            <w:vAlign w:val="center"/>
          </w:tcPr>
          <w:p>
            <w:pPr>
              <w:widowControl/>
              <w:adjustRightInd w:val="0"/>
              <w:snapToGrid w:val="0"/>
              <w:spacing w:line="520" w:lineRule="exact"/>
              <w:jc w:val="center"/>
              <w:rPr>
                <w:rFonts w:ascii="仿宋_GB2312" w:hAnsi="仿宋_GB2312" w:eastAsia="仿宋_GB2312" w:cs="Times New Roman"/>
                <w:color w:val="2B2B2B"/>
                <w:sz w:val="30"/>
                <w:szCs w:val="30"/>
              </w:rPr>
            </w:pPr>
            <w:r>
              <w:rPr>
                <w:rFonts w:ascii="仿宋_GB2312" w:hAnsi="仿宋_GB2312" w:eastAsia="仿宋_GB2312" w:cs="仿宋_GB2312"/>
                <w:color w:val="2B2B2B"/>
                <w:kern w:val="0"/>
                <w:sz w:val="30"/>
                <w:szCs w:val="30"/>
              </w:rPr>
              <w:t>1</w:t>
            </w:r>
          </w:p>
        </w:tc>
        <w:tc>
          <w:tcPr>
            <w:tcW w:w="4140" w:type="dxa"/>
            <w:shd w:val="clear" w:color="auto" w:fill="FFFFFF"/>
            <w:vAlign w:val="center"/>
          </w:tcPr>
          <w:p>
            <w:pPr>
              <w:widowControl/>
              <w:adjustRightInd w:val="0"/>
              <w:snapToGrid w:val="0"/>
              <w:spacing w:line="520" w:lineRule="exact"/>
              <w:jc w:val="left"/>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rPr>
              <w:t>州畜产品质量检测中心（本级）</w:t>
            </w:r>
          </w:p>
        </w:tc>
        <w:tc>
          <w:tcPr>
            <w:tcW w:w="2880" w:type="dxa"/>
            <w:shd w:val="clear" w:color="auto" w:fill="FFFFFF"/>
            <w:vAlign w:val="center"/>
          </w:tcPr>
          <w:p>
            <w:pPr>
              <w:adjustRightInd w:val="0"/>
              <w:snapToGrid w:val="0"/>
              <w:spacing w:line="520" w:lineRule="exact"/>
              <w:rPr>
                <w:rFonts w:ascii="仿宋_GB2312" w:hAnsi="仿宋_GB2312" w:eastAsia="仿宋_GB2312" w:cs="Times New Roman"/>
                <w:color w:val="2B2B2B"/>
                <w:sz w:val="30"/>
                <w:szCs w:val="30"/>
              </w:rPr>
            </w:pPr>
          </w:p>
        </w:tc>
      </w:tr>
    </w:tbl>
    <w:p>
      <w:pPr>
        <w:adjustRightInd w:val="0"/>
        <w:snapToGrid w:val="0"/>
        <w:spacing w:line="520" w:lineRule="exact"/>
        <w:jc w:val="center"/>
        <w:rPr>
          <w:rFonts w:ascii="仿宋_GB2312" w:hAnsi="仿宋_GB2312" w:eastAsia="仿宋_GB2312" w:cs="Times New Roman"/>
          <w:b/>
          <w:bCs/>
          <w:color w:val="2B2B2B"/>
          <w:sz w:val="30"/>
          <w:szCs w:val="30"/>
          <w:shd w:val="clear" w:color="auto" w:fill="FFFFFF"/>
        </w:rPr>
      </w:pPr>
    </w:p>
    <w:p>
      <w:pPr>
        <w:adjustRightInd w:val="0"/>
        <w:snapToGrid w:val="0"/>
        <w:spacing w:line="520" w:lineRule="exact"/>
        <w:jc w:val="center"/>
        <w:rPr>
          <w:rFonts w:ascii="仿宋_GB2312" w:hAnsi="仿宋_GB2312" w:eastAsia="仿宋_GB2312" w:cs="Times New Roman"/>
          <w:b/>
          <w:bCs/>
          <w:sz w:val="30"/>
          <w:szCs w:val="30"/>
        </w:rPr>
      </w:pPr>
      <w:r>
        <w:rPr>
          <w:rFonts w:hint="eastAsia" w:ascii="仿宋_GB2312" w:hAnsi="仿宋_GB2312" w:eastAsia="仿宋_GB2312" w:cs="仿宋_GB2312"/>
          <w:b/>
          <w:bCs/>
          <w:color w:val="2B2B2B"/>
          <w:sz w:val="30"/>
          <w:szCs w:val="30"/>
          <w:shd w:val="clear" w:color="auto" w:fill="FFFFFF"/>
        </w:rPr>
        <w:t>第二部分</w:t>
      </w:r>
      <w:r>
        <w:rPr>
          <w:rFonts w:ascii="仿宋_GB2312" w:hAnsi="仿宋_GB2312" w:eastAsia="仿宋_GB2312" w:cs="Times New Roman"/>
          <w:b/>
          <w:bCs/>
          <w:color w:val="2B2B2B"/>
          <w:sz w:val="30"/>
          <w:szCs w:val="30"/>
          <w:shd w:val="clear" w:color="auto" w:fill="FFFFFF"/>
        </w:rPr>
        <w:t> </w:t>
      </w:r>
      <w:r>
        <w:rPr>
          <w:rFonts w:hint="eastAsia" w:ascii="仿宋_GB2312" w:hAnsi="仿宋_GB2312" w:eastAsia="仿宋_GB2312" w:cs="仿宋_GB2312"/>
          <w:b/>
          <w:bCs/>
          <w:color w:val="2B2B2B"/>
          <w:kern w:val="0"/>
          <w:sz w:val="30"/>
          <w:szCs w:val="30"/>
        </w:rPr>
        <w:t>州畜产品质量检测中心</w:t>
      </w:r>
      <w:r>
        <w:rPr>
          <w:rFonts w:ascii="仿宋_GB2312" w:hAnsi="仿宋_GB2312" w:eastAsia="仿宋_GB2312" w:cs="仿宋_GB2312"/>
          <w:b/>
          <w:bCs/>
          <w:color w:val="2B2B2B"/>
          <w:kern w:val="0"/>
          <w:sz w:val="30"/>
          <w:szCs w:val="30"/>
        </w:rPr>
        <w:t>2015</w:t>
      </w:r>
      <w:r>
        <w:rPr>
          <w:rFonts w:hint="eastAsia" w:ascii="仿宋_GB2312" w:hAnsi="仿宋_GB2312" w:eastAsia="仿宋_GB2312" w:cs="仿宋_GB2312"/>
          <w:b/>
          <w:bCs/>
          <w:color w:val="2B2B2B"/>
          <w:sz w:val="30"/>
          <w:szCs w:val="30"/>
          <w:shd w:val="clear" w:color="auto" w:fill="FFFFFF"/>
        </w:rPr>
        <w:t>年度部门决算报表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一、收入支出决算总表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二、财政拨款收入支出决算总表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三、收入支出决算表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四、收入决算表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五、支出决算表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六、支出决算明细表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七、基本支出决算明细表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八、项目支出决算明细表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九、项目收入支出决算表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十、行政事业类项目收入支出决算表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十一、基本建设类项目收入支出决算表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十二、一般公共预算财政拨款收入支出决算表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十三、一般公共预算财政拨款支出决算明细表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十四、一般公共预算财政拨款基本支出决算明细表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十五、一般公共预算财政拨款项目支出决算明细表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十六、政府性基金预算财政拨款收入支出决算表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十七、政府性基金预算财政拨款支出决算明细表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十八、政府性基金预算财政拨款基本支出决算明细表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十九、政府性基金预算财政拨款项目支出决算明细表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二十、财政专户管理资金收入支出决算表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二十一、资产负债简表</w:t>
      </w:r>
    </w:p>
    <w:p>
      <w:pPr>
        <w:adjustRightInd w:val="0"/>
        <w:snapToGrid w:val="0"/>
        <w:spacing w:line="520" w:lineRule="exact"/>
        <w:ind w:firstLine="31680" w:firstLineChars="200"/>
        <w:jc w:val="left"/>
        <w:rPr>
          <w:rFonts w:ascii="仿宋_GB2312" w:hAnsi="仿宋_GB2312" w:eastAsia="仿宋_GB2312" w:cs="Times New Roman"/>
          <w:sz w:val="30"/>
          <w:szCs w:val="30"/>
        </w:rPr>
      </w:pPr>
      <w:r>
        <w:rPr>
          <w:rFonts w:hint="eastAsia" w:ascii="仿宋_GB2312" w:hAnsi="仿宋_GB2312" w:eastAsia="仿宋_GB2312" w:cs="仿宋_GB2312"/>
          <w:sz w:val="30"/>
          <w:szCs w:val="30"/>
        </w:rPr>
        <w:t>二十二、</w:t>
      </w:r>
      <w:r>
        <w:rPr>
          <w:rFonts w:ascii="仿宋_GB2312" w:hAnsi="仿宋_GB2312" w:eastAsia="仿宋_GB2312" w:cs="仿宋_GB2312"/>
          <w:sz w:val="30"/>
          <w:szCs w:val="30"/>
        </w:rPr>
        <w:t>2015</w:t>
      </w:r>
      <w:r>
        <w:rPr>
          <w:rFonts w:hint="eastAsia" w:ascii="仿宋_GB2312" w:hAnsi="仿宋_GB2312" w:eastAsia="仿宋_GB2312" w:cs="仿宋_GB2312"/>
          <w:sz w:val="30"/>
          <w:szCs w:val="30"/>
        </w:rPr>
        <w:t>年度财政拨款“三公”经费支出表及说明</w:t>
      </w:r>
    </w:p>
    <w:p>
      <w:pPr>
        <w:widowControl/>
        <w:adjustRightInd w:val="0"/>
        <w:snapToGrid w:val="0"/>
        <w:spacing w:line="520" w:lineRule="exact"/>
        <w:jc w:val="center"/>
        <w:rPr>
          <w:rFonts w:ascii="仿宋_GB2312" w:hAnsi="仿宋_GB2312" w:eastAsia="仿宋_GB2312" w:cs="Times New Roman"/>
          <w:b/>
          <w:bCs/>
          <w:color w:val="2B2B2B"/>
          <w:kern w:val="0"/>
          <w:sz w:val="30"/>
          <w:szCs w:val="30"/>
          <w:shd w:val="clear" w:color="auto" w:fill="FFFFFF"/>
        </w:rPr>
      </w:pPr>
    </w:p>
    <w:p>
      <w:pPr>
        <w:widowControl/>
        <w:adjustRightInd w:val="0"/>
        <w:snapToGrid w:val="0"/>
        <w:spacing w:line="520" w:lineRule="exact"/>
        <w:jc w:val="center"/>
        <w:rPr>
          <w:rFonts w:ascii="仿宋_GB2312" w:hAnsi="仿宋_GB2312" w:eastAsia="仿宋_GB2312" w:cs="Times New Roman"/>
          <w:b/>
          <w:bCs/>
          <w:color w:val="2B2B2B"/>
          <w:kern w:val="0"/>
          <w:sz w:val="30"/>
          <w:szCs w:val="30"/>
          <w:shd w:val="clear" w:color="auto" w:fill="FFFFFF"/>
        </w:rPr>
      </w:pPr>
      <w:r>
        <w:rPr>
          <w:rFonts w:hint="eastAsia" w:ascii="仿宋_GB2312" w:hAnsi="仿宋_GB2312" w:eastAsia="仿宋_GB2312" w:cs="仿宋_GB2312"/>
          <w:b/>
          <w:bCs/>
          <w:color w:val="2B2B2B"/>
          <w:kern w:val="0"/>
          <w:sz w:val="30"/>
          <w:szCs w:val="30"/>
          <w:shd w:val="clear" w:color="auto" w:fill="FFFFFF"/>
        </w:rPr>
        <w:t>第三部分</w:t>
      </w:r>
      <w:r>
        <w:rPr>
          <w:rFonts w:ascii="仿宋_GB2312" w:hAnsi="仿宋_GB2312" w:eastAsia="仿宋_GB2312" w:cs="Times New Roman"/>
          <w:b/>
          <w:bCs/>
          <w:color w:val="2B2B2B"/>
          <w:kern w:val="0"/>
          <w:sz w:val="30"/>
          <w:szCs w:val="30"/>
          <w:shd w:val="clear" w:color="auto" w:fill="FFFFFF"/>
        </w:rPr>
        <w:t> </w:t>
      </w:r>
      <w:r>
        <w:rPr>
          <w:rFonts w:hint="eastAsia" w:ascii="仿宋_GB2312" w:hAnsi="仿宋_GB2312" w:eastAsia="仿宋_GB2312" w:cs="仿宋_GB2312"/>
          <w:b/>
          <w:bCs/>
          <w:color w:val="2B2B2B"/>
          <w:kern w:val="0"/>
          <w:sz w:val="30"/>
          <w:szCs w:val="30"/>
          <w:shd w:val="clear" w:color="auto" w:fill="FFFFFF"/>
        </w:rPr>
        <w:t>昌吉州畜产品质量检测中心</w:t>
      </w:r>
      <w:r>
        <w:rPr>
          <w:rFonts w:ascii="仿宋_GB2312" w:hAnsi="仿宋_GB2312" w:eastAsia="仿宋_GB2312" w:cs="仿宋_GB2312"/>
          <w:b/>
          <w:bCs/>
          <w:color w:val="2B2B2B"/>
          <w:kern w:val="0"/>
          <w:sz w:val="30"/>
          <w:szCs w:val="30"/>
          <w:shd w:val="clear" w:color="auto" w:fill="FFFFFF"/>
        </w:rPr>
        <w:t>2015</w:t>
      </w:r>
      <w:r>
        <w:rPr>
          <w:rFonts w:hint="eastAsia" w:ascii="仿宋_GB2312" w:hAnsi="仿宋_GB2312" w:eastAsia="仿宋_GB2312" w:cs="仿宋_GB2312"/>
          <w:b/>
          <w:bCs/>
          <w:color w:val="2B2B2B"/>
          <w:kern w:val="0"/>
          <w:sz w:val="30"/>
          <w:szCs w:val="30"/>
          <w:shd w:val="clear" w:color="auto" w:fill="FFFFFF"/>
        </w:rPr>
        <w:t>年度部门决算情况</w:t>
      </w:r>
    </w:p>
    <w:p>
      <w:pPr>
        <w:widowControl/>
        <w:adjustRightInd w:val="0"/>
        <w:snapToGrid w:val="0"/>
        <w:spacing w:line="520" w:lineRule="exact"/>
        <w:jc w:val="center"/>
        <w:rPr>
          <w:rFonts w:ascii="仿宋_GB2312" w:hAnsi="仿宋_GB2312" w:eastAsia="仿宋_GB2312" w:cs="Times New Roman"/>
          <w:b/>
          <w:bCs/>
          <w:color w:val="2B2B2B"/>
          <w:kern w:val="0"/>
          <w:sz w:val="30"/>
          <w:szCs w:val="30"/>
          <w:shd w:val="clear" w:color="auto" w:fill="FFFFFF"/>
        </w:rPr>
      </w:pPr>
      <w:r>
        <w:rPr>
          <w:rFonts w:hint="eastAsia" w:ascii="仿宋_GB2312" w:hAnsi="仿宋_GB2312" w:eastAsia="仿宋_GB2312" w:cs="仿宋_GB2312"/>
          <w:b/>
          <w:bCs/>
          <w:color w:val="2B2B2B"/>
          <w:kern w:val="0"/>
          <w:sz w:val="30"/>
          <w:szCs w:val="30"/>
          <w:shd w:val="clear" w:color="auto" w:fill="FFFFFF"/>
        </w:rPr>
        <w:t>说</w:t>
      </w:r>
      <w:r>
        <w:rPr>
          <w:rFonts w:ascii="仿宋_GB2312" w:hAnsi="仿宋_GB2312" w:eastAsia="仿宋_GB2312" w:cs="仿宋_GB2312"/>
          <w:b/>
          <w:bCs/>
          <w:color w:val="2B2B2B"/>
          <w:kern w:val="0"/>
          <w:sz w:val="30"/>
          <w:szCs w:val="30"/>
          <w:shd w:val="clear" w:color="auto" w:fill="FFFFFF"/>
        </w:rPr>
        <w:t xml:space="preserve">  </w:t>
      </w:r>
      <w:r>
        <w:rPr>
          <w:rFonts w:hint="eastAsia" w:ascii="仿宋_GB2312" w:hAnsi="仿宋_GB2312" w:eastAsia="仿宋_GB2312" w:cs="仿宋_GB2312"/>
          <w:b/>
          <w:bCs/>
          <w:color w:val="2B2B2B"/>
          <w:kern w:val="0"/>
          <w:sz w:val="30"/>
          <w:szCs w:val="30"/>
          <w:shd w:val="clear" w:color="auto" w:fill="FFFFFF"/>
        </w:rPr>
        <w:t>明</w:t>
      </w:r>
    </w:p>
    <w:p>
      <w:pPr>
        <w:widowControl/>
        <w:adjustRightInd w:val="0"/>
        <w:snapToGrid w:val="0"/>
        <w:spacing w:line="520" w:lineRule="exact"/>
        <w:jc w:val="center"/>
        <w:rPr>
          <w:rFonts w:ascii="仿宋_GB2312" w:hAnsi="仿宋_GB2312" w:eastAsia="仿宋_GB2312" w:cs="Times New Roman"/>
          <w:b/>
          <w:bCs/>
          <w:color w:val="2B2B2B"/>
          <w:kern w:val="0"/>
          <w:sz w:val="30"/>
          <w:szCs w:val="30"/>
          <w:shd w:val="clear" w:color="auto" w:fill="FFFFFF"/>
        </w:rPr>
      </w:pPr>
    </w:p>
    <w:p>
      <w:pPr>
        <w:widowControl/>
        <w:adjustRightInd w:val="0"/>
        <w:snapToGrid w:val="0"/>
        <w:spacing w:line="520" w:lineRule="exact"/>
        <w:ind w:firstLine="640"/>
        <w:jc w:val="left"/>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shd w:val="clear" w:color="auto" w:fill="FFFFFF"/>
        </w:rPr>
        <w:t>一、收入支出决算总体情况说明</w:t>
      </w:r>
    </w:p>
    <w:p>
      <w:pPr>
        <w:adjustRightInd w:val="0"/>
        <w:snapToGrid w:val="0"/>
        <w:spacing w:line="520" w:lineRule="exact"/>
        <w:ind w:firstLine="31680" w:firstLineChars="200"/>
        <w:rPr>
          <w:rFonts w:ascii="仿宋_GB2312" w:hAnsi="仿宋_GB2312" w:eastAsia="仿宋_GB2312" w:cs="Times New Roman"/>
          <w:sz w:val="30"/>
          <w:szCs w:val="30"/>
        </w:rPr>
      </w:pPr>
      <w:r>
        <w:rPr>
          <w:rFonts w:hint="eastAsia" w:ascii="仿宋_GB2312" w:hAnsi="仿宋_GB2312" w:eastAsia="仿宋_GB2312" w:cs="仿宋_GB2312"/>
          <w:sz w:val="30"/>
          <w:szCs w:val="30"/>
        </w:rPr>
        <w:t>昌吉州畜产品质量检测中心</w:t>
      </w:r>
      <w:r>
        <w:rPr>
          <w:rFonts w:ascii="仿宋_GB2312" w:hAnsi="仿宋_GB2312" w:eastAsia="仿宋_GB2312" w:cs="仿宋_GB2312"/>
          <w:sz w:val="30"/>
          <w:szCs w:val="30"/>
        </w:rPr>
        <w:t>2015</w:t>
      </w:r>
      <w:r>
        <w:rPr>
          <w:rFonts w:hint="eastAsia" w:ascii="仿宋_GB2312" w:hAnsi="仿宋_GB2312" w:eastAsia="仿宋_GB2312" w:cs="仿宋_GB2312"/>
          <w:sz w:val="30"/>
          <w:szCs w:val="30"/>
        </w:rPr>
        <w:t>年财政预算拨款收入</w:t>
      </w:r>
      <w:r>
        <w:rPr>
          <w:rFonts w:ascii="仿宋_GB2312" w:hAnsi="仿宋_GB2312" w:eastAsia="仿宋_GB2312" w:cs="仿宋_GB2312"/>
          <w:kern w:val="0"/>
          <w:sz w:val="30"/>
          <w:szCs w:val="30"/>
        </w:rPr>
        <w:t>276.12</w:t>
      </w:r>
      <w:r>
        <w:rPr>
          <w:rFonts w:hint="eastAsia" w:ascii="仿宋_GB2312" w:hAnsi="仿宋_GB2312" w:eastAsia="仿宋_GB2312" w:cs="仿宋_GB2312"/>
          <w:kern w:val="0"/>
          <w:sz w:val="30"/>
          <w:szCs w:val="30"/>
        </w:rPr>
        <w:t>万</w:t>
      </w:r>
      <w:r>
        <w:rPr>
          <w:rFonts w:hint="eastAsia" w:ascii="仿宋_GB2312" w:hAnsi="仿宋_GB2312" w:eastAsia="仿宋_GB2312" w:cs="仿宋_GB2312"/>
          <w:sz w:val="30"/>
          <w:szCs w:val="30"/>
        </w:rPr>
        <w:t>元，支出决算</w:t>
      </w:r>
      <w:r>
        <w:rPr>
          <w:rFonts w:ascii="仿宋_GB2312" w:hAnsi="仿宋_GB2312" w:eastAsia="仿宋_GB2312" w:cs="仿宋_GB2312"/>
          <w:kern w:val="0"/>
          <w:sz w:val="30"/>
          <w:szCs w:val="30"/>
        </w:rPr>
        <w:t>276.12</w:t>
      </w:r>
      <w:r>
        <w:rPr>
          <w:rFonts w:hint="eastAsia" w:ascii="仿宋_GB2312" w:hAnsi="仿宋_GB2312" w:eastAsia="仿宋_GB2312" w:cs="仿宋_GB2312"/>
          <w:kern w:val="0"/>
          <w:sz w:val="30"/>
          <w:szCs w:val="30"/>
        </w:rPr>
        <w:t>万</w:t>
      </w:r>
      <w:r>
        <w:rPr>
          <w:rFonts w:hint="eastAsia" w:ascii="仿宋_GB2312" w:hAnsi="仿宋_GB2312" w:eastAsia="仿宋_GB2312" w:cs="仿宋_GB2312"/>
          <w:sz w:val="30"/>
          <w:szCs w:val="30"/>
        </w:rPr>
        <w:t>元。其中：工资福利支付</w:t>
      </w:r>
      <w:r>
        <w:rPr>
          <w:rFonts w:ascii="仿宋_GB2312" w:hAnsi="仿宋_GB2312" w:eastAsia="仿宋_GB2312" w:cs="仿宋_GB2312"/>
          <w:kern w:val="0"/>
          <w:sz w:val="30"/>
          <w:szCs w:val="30"/>
        </w:rPr>
        <w:t>151.65</w:t>
      </w:r>
      <w:r>
        <w:rPr>
          <w:rFonts w:hint="eastAsia" w:ascii="仿宋_GB2312" w:hAnsi="仿宋_GB2312" w:eastAsia="仿宋_GB2312" w:cs="仿宋_GB2312"/>
          <w:kern w:val="0"/>
          <w:sz w:val="30"/>
          <w:szCs w:val="30"/>
        </w:rPr>
        <w:t>万</w:t>
      </w:r>
      <w:r>
        <w:rPr>
          <w:rFonts w:hint="eastAsia" w:ascii="仿宋_GB2312" w:hAnsi="仿宋_GB2312" w:eastAsia="仿宋_GB2312" w:cs="仿宋_GB2312"/>
          <w:sz w:val="30"/>
          <w:szCs w:val="30"/>
        </w:rPr>
        <w:t>元；商品和服务支出</w:t>
      </w:r>
      <w:r>
        <w:rPr>
          <w:rFonts w:ascii="仿宋_GB2312" w:hAnsi="仿宋_GB2312" w:eastAsia="仿宋_GB2312" w:cs="仿宋_GB2312"/>
          <w:kern w:val="0"/>
          <w:sz w:val="30"/>
          <w:szCs w:val="30"/>
        </w:rPr>
        <w:t>82.7</w:t>
      </w:r>
      <w:r>
        <w:rPr>
          <w:rFonts w:hint="eastAsia" w:ascii="仿宋_GB2312" w:hAnsi="仿宋_GB2312" w:eastAsia="仿宋_GB2312" w:cs="仿宋_GB2312"/>
          <w:kern w:val="0"/>
          <w:sz w:val="30"/>
          <w:szCs w:val="30"/>
        </w:rPr>
        <w:t>万</w:t>
      </w:r>
      <w:r>
        <w:rPr>
          <w:rFonts w:hint="eastAsia" w:ascii="仿宋_GB2312" w:hAnsi="仿宋_GB2312" w:eastAsia="仿宋_GB2312" w:cs="仿宋_GB2312"/>
          <w:sz w:val="30"/>
          <w:szCs w:val="30"/>
        </w:rPr>
        <w:t>元；对个人和家庭的补助支出</w:t>
      </w:r>
      <w:r>
        <w:rPr>
          <w:rFonts w:ascii="仿宋_GB2312" w:hAnsi="仿宋_GB2312" w:eastAsia="仿宋_GB2312" w:cs="仿宋_GB2312"/>
          <w:sz w:val="30"/>
          <w:szCs w:val="30"/>
        </w:rPr>
        <w:t>41.77</w:t>
      </w:r>
      <w:r>
        <w:rPr>
          <w:rFonts w:hint="eastAsia" w:ascii="仿宋_GB2312" w:hAnsi="仿宋_GB2312" w:eastAsia="仿宋_GB2312" w:cs="仿宋_GB2312"/>
          <w:sz w:val="30"/>
          <w:szCs w:val="30"/>
        </w:rPr>
        <w:t>万元。</w:t>
      </w:r>
    </w:p>
    <w:p>
      <w:pPr>
        <w:widowControl/>
        <w:adjustRightInd w:val="0"/>
        <w:snapToGrid w:val="0"/>
        <w:spacing w:line="520" w:lineRule="exact"/>
        <w:jc w:val="left"/>
        <w:rPr>
          <w:rFonts w:ascii="仿宋_GB2312" w:hAnsi="仿宋_GB2312" w:eastAsia="仿宋_GB2312" w:cs="Times New Roman"/>
          <w:color w:val="2B2B2B"/>
          <w:kern w:val="0"/>
          <w:sz w:val="30"/>
          <w:szCs w:val="30"/>
          <w:shd w:val="clear" w:color="auto" w:fill="FFFFFF"/>
        </w:rPr>
      </w:pPr>
      <w:r>
        <w:rPr>
          <w:rFonts w:ascii="仿宋_GB2312" w:hAnsi="仿宋_GB2312" w:eastAsia="仿宋_GB2312" w:cs="仿宋_GB2312"/>
          <w:color w:val="2B2B2B"/>
          <w:kern w:val="0"/>
          <w:sz w:val="30"/>
          <w:szCs w:val="30"/>
          <w:shd w:val="clear" w:color="auto" w:fill="FFFFFF"/>
        </w:rPr>
        <w:t xml:space="preserve">    </w:t>
      </w:r>
      <w:r>
        <w:rPr>
          <w:rFonts w:hint="eastAsia" w:ascii="仿宋_GB2312" w:hAnsi="仿宋_GB2312" w:eastAsia="仿宋_GB2312" w:cs="仿宋_GB2312"/>
          <w:color w:val="2B2B2B"/>
          <w:kern w:val="0"/>
          <w:sz w:val="30"/>
          <w:szCs w:val="30"/>
          <w:shd w:val="clear" w:color="auto" w:fill="FFFFFF"/>
        </w:rPr>
        <w:t>二、收入情况说明</w:t>
      </w:r>
    </w:p>
    <w:p>
      <w:pPr>
        <w:adjustRightInd w:val="0"/>
        <w:snapToGrid w:val="0"/>
        <w:spacing w:line="520" w:lineRule="exact"/>
        <w:ind w:firstLine="31680" w:firstLineChars="200"/>
        <w:rPr>
          <w:rFonts w:ascii="仿宋_GB2312" w:hAnsi="仿宋_GB2312" w:eastAsia="仿宋_GB2312" w:cs="Times New Roman"/>
          <w:kern w:val="0"/>
          <w:sz w:val="30"/>
          <w:szCs w:val="30"/>
        </w:rPr>
      </w:pPr>
      <w:r>
        <w:rPr>
          <w:rFonts w:hint="eastAsia" w:ascii="仿宋_GB2312" w:hAnsi="仿宋_GB2312" w:eastAsia="仿宋_GB2312" w:cs="仿宋_GB2312"/>
          <w:sz w:val="30"/>
          <w:szCs w:val="30"/>
        </w:rPr>
        <w:t>本年财政补助收入总额</w:t>
      </w:r>
      <w:r>
        <w:rPr>
          <w:rFonts w:ascii="仿宋_GB2312" w:hAnsi="仿宋_GB2312" w:eastAsia="仿宋_GB2312" w:cs="仿宋_GB2312"/>
          <w:kern w:val="0"/>
          <w:sz w:val="30"/>
          <w:szCs w:val="30"/>
        </w:rPr>
        <w:t>276.12</w:t>
      </w:r>
      <w:r>
        <w:rPr>
          <w:rFonts w:hint="eastAsia" w:ascii="仿宋_GB2312" w:hAnsi="仿宋_GB2312" w:eastAsia="仿宋_GB2312" w:cs="仿宋_GB2312"/>
          <w:kern w:val="0"/>
          <w:sz w:val="30"/>
          <w:szCs w:val="30"/>
        </w:rPr>
        <w:t>万元，其中：事业基本运行收入</w:t>
      </w:r>
      <w:r>
        <w:rPr>
          <w:rFonts w:ascii="仿宋_GB2312" w:hAnsi="仿宋_GB2312" w:eastAsia="仿宋_GB2312" w:cs="仿宋_GB2312"/>
          <w:kern w:val="0"/>
          <w:sz w:val="30"/>
          <w:szCs w:val="30"/>
        </w:rPr>
        <w:t>193.42</w:t>
      </w:r>
      <w:r>
        <w:rPr>
          <w:rFonts w:hint="eastAsia" w:ascii="仿宋_GB2312" w:hAnsi="仿宋_GB2312" w:eastAsia="仿宋_GB2312" w:cs="仿宋_GB2312"/>
          <w:kern w:val="0"/>
          <w:sz w:val="30"/>
          <w:szCs w:val="30"/>
        </w:rPr>
        <w:t>万元，农产品质量安全项目（</w:t>
      </w:r>
      <w:r>
        <w:rPr>
          <w:rFonts w:ascii="仿宋_GB2312" w:hAnsi="仿宋_GB2312" w:eastAsia="仿宋_GB2312" w:cs="仿宋_GB2312"/>
          <w:kern w:val="0"/>
          <w:sz w:val="30"/>
          <w:szCs w:val="30"/>
        </w:rPr>
        <w:t>2130109</w:t>
      </w:r>
      <w:r>
        <w:rPr>
          <w:rFonts w:hint="eastAsia" w:ascii="仿宋_GB2312" w:hAnsi="仿宋_GB2312" w:eastAsia="仿宋_GB2312" w:cs="仿宋_GB2312"/>
          <w:kern w:val="0"/>
          <w:sz w:val="30"/>
          <w:szCs w:val="30"/>
        </w:rPr>
        <w:t>）收入</w:t>
      </w:r>
      <w:r>
        <w:rPr>
          <w:rFonts w:ascii="仿宋_GB2312" w:hAnsi="仿宋_GB2312" w:eastAsia="仿宋_GB2312" w:cs="仿宋_GB2312"/>
          <w:kern w:val="0"/>
          <w:sz w:val="30"/>
          <w:szCs w:val="30"/>
        </w:rPr>
        <w:t>80</w:t>
      </w:r>
      <w:r>
        <w:rPr>
          <w:rFonts w:hint="eastAsia" w:ascii="仿宋_GB2312" w:hAnsi="仿宋_GB2312" w:eastAsia="仿宋_GB2312" w:cs="仿宋_GB2312"/>
          <w:kern w:val="0"/>
          <w:sz w:val="30"/>
          <w:szCs w:val="30"/>
        </w:rPr>
        <w:t>万元；其他支出（</w:t>
      </w:r>
      <w:r>
        <w:rPr>
          <w:rFonts w:ascii="仿宋_GB2312" w:hAnsi="仿宋_GB2312" w:eastAsia="仿宋_GB2312" w:cs="仿宋_GB2312"/>
          <w:kern w:val="0"/>
          <w:sz w:val="30"/>
          <w:szCs w:val="30"/>
        </w:rPr>
        <w:t>2299901</w:t>
      </w:r>
      <w:r>
        <w:rPr>
          <w:rFonts w:hint="eastAsia" w:ascii="仿宋_GB2312" w:hAnsi="仿宋_GB2312" w:eastAsia="仿宋_GB2312" w:cs="仿宋_GB2312"/>
          <w:kern w:val="0"/>
          <w:sz w:val="30"/>
          <w:szCs w:val="30"/>
        </w:rPr>
        <w:t>）项目收入</w:t>
      </w:r>
      <w:r>
        <w:rPr>
          <w:rFonts w:ascii="仿宋_GB2312" w:hAnsi="仿宋_GB2312" w:eastAsia="仿宋_GB2312" w:cs="仿宋_GB2312"/>
          <w:kern w:val="0"/>
          <w:sz w:val="30"/>
          <w:szCs w:val="30"/>
        </w:rPr>
        <w:t>2.7</w:t>
      </w:r>
      <w:r>
        <w:rPr>
          <w:rFonts w:hint="eastAsia" w:ascii="仿宋_GB2312" w:hAnsi="仿宋_GB2312" w:eastAsia="仿宋_GB2312" w:cs="仿宋_GB2312"/>
          <w:kern w:val="0"/>
          <w:sz w:val="30"/>
          <w:szCs w:val="30"/>
        </w:rPr>
        <w:t>万元。</w:t>
      </w:r>
    </w:p>
    <w:p>
      <w:pPr>
        <w:widowControl/>
        <w:adjustRightInd w:val="0"/>
        <w:snapToGrid w:val="0"/>
        <w:spacing w:line="520" w:lineRule="exact"/>
        <w:ind w:firstLine="640"/>
        <w:jc w:val="left"/>
        <w:rPr>
          <w:rFonts w:ascii="仿宋_GB2312" w:hAnsi="仿宋_GB2312" w:eastAsia="仿宋_GB2312" w:cs="Times New Roman"/>
          <w:color w:val="2B2B2B"/>
          <w:sz w:val="30"/>
          <w:szCs w:val="30"/>
        </w:rPr>
      </w:pPr>
      <w:r>
        <w:rPr>
          <w:rFonts w:hint="eastAsia" w:ascii="仿宋_GB2312" w:hAnsi="仿宋_GB2312" w:eastAsia="仿宋_GB2312" w:cs="仿宋_GB2312"/>
          <w:color w:val="2B2B2B"/>
          <w:kern w:val="0"/>
          <w:sz w:val="30"/>
          <w:szCs w:val="30"/>
          <w:shd w:val="clear" w:color="auto" w:fill="FFFFFF"/>
        </w:rPr>
        <w:t>三、支出情况说明</w:t>
      </w:r>
    </w:p>
    <w:p>
      <w:pPr>
        <w:adjustRightInd w:val="0"/>
        <w:snapToGrid w:val="0"/>
        <w:spacing w:line="520" w:lineRule="exact"/>
        <w:rPr>
          <w:rFonts w:ascii="仿宋_GB2312" w:hAnsi="仿宋_GB2312" w:eastAsia="仿宋_GB2312" w:cs="Times New Roman"/>
          <w:kern w:val="0"/>
          <w:sz w:val="30"/>
          <w:szCs w:val="30"/>
        </w:rPr>
      </w:pPr>
      <w:r>
        <w:rPr>
          <w:rFonts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rPr>
        <w:t>本年度事业支出总额</w:t>
      </w:r>
      <w:r>
        <w:rPr>
          <w:rFonts w:ascii="仿宋_GB2312" w:hAnsi="仿宋_GB2312" w:eastAsia="仿宋_GB2312" w:cs="仿宋_GB2312"/>
          <w:kern w:val="0"/>
          <w:sz w:val="30"/>
          <w:szCs w:val="30"/>
        </w:rPr>
        <w:t>276.12</w:t>
      </w:r>
      <w:r>
        <w:rPr>
          <w:rFonts w:hint="eastAsia" w:ascii="仿宋_GB2312" w:hAnsi="仿宋_GB2312" w:eastAsia="仿宋_GB2312" w:cs="仿宋_GB2312"/>
          <w:kern w:val="0"/>
          <w:sz w:val="30"/>
          <w:szCs w:val="30"/>
        </w:rPr>
        <w:t>万元（基本支出比例约为</w:t>
      </w:r>
      <w:r>
        <w:rPr>
          <w:rFonts w:ascii="仿宋_GB2312" w:hAnsi="仿宋_GB2312" w:eastAsia="仿宋_GB2312" w:cs="仿宋_GB2312"/>
          <w:kern w:val="0"/>
          <w:sz w:val="30"/>
          <w:szCs w:val="30"/>
        </w:rPr>
        <w:t>70%,</w:t>
      </w:r>
      <w:r>
        <w:rPr>
          <w:rFonts w:hint="eastAsia" w:ascii="仿宋_GB2312" w:hAnsi="仿宋_GB2312" w:eastAsia="仿宋_GB2312" w:cs="仿宋_GB2312"/>
          <w:kern w:val="0"/>
          <w:sz w:val="30"/>
          <w:szCs w:val="30"/>
        </w:rPr>
        <w:t>项目支出比例约为</w:t>
      </w:r>
      <w:r>
        <w:rPr>
          <w:rFonts w:ascii="仿宋_GB2312" w:hAnsi="仿宋_GB2312" w:eastAsia="仿宋_GB2312" w:cs="仿宋_GB2312"/>
          <w:kern w:val="0"/>
          <w:sz w:val="30"/>
          <w:szCs w:val="30"/>
        </w:rPr>
        <w:t>30%</w:t>
      </w:r>
      <w:r>
        <w:rPr>
          <w:rFonts w:hint="eastAsia" w:ascii="仿宋_GB2312" w:hAnsi="仿宋_GB2312" w:eastAsia="仿宋_GB2312" w:cs="仿宋_GB2312"/>
          <w:kern w:val="0"/>
          <w:sz w:val="30"/>
          <w:szCs w:val="30"/>
        </w:rPr>
        <w:t>，各项支出比例与财政拨付款项相附），本报表事业支出与财政补助收入一致，无结转余额。</w:t>
      </w:r>
    </w:p>
    <w:p>
      <w:pPr>
        <w:widowControl/>
        <w:adjustRightInd w:val="0"/>
        <w:snapToGrid w:val="0"/>
        <w:spacing w:line="520" w:lineRule="exact"/>
        <w:jc w:val="left"/>
        <w:rPr>
          <w:rFonts w:ascii="仿宋_GB2312" w:hAnsi="仿宋_GB2312" w:eastAsia="仿宋_GB2312" w:cs="Times New Roman"/>
          <w:color w:val="2B2B2B"/>
          <w:sz w:val="30"/>
          <w:szCs w:val="30"/>
        </w:rPr>
      </w:pPr>
      <w:r>
        <w:rPr>
          <w:rFonts w:ascii="仿宋_GB2312" w:hAnsi="仿宋_GB2312" w:eastAsia="仿宋_GB2312" w:cs="仿宋_GB2312"/>
          <w:color w:val="2B2B2B"/>
          <w:kern w:val="0"/>
          <w:sz w:val="30"/>
          <w:szCs w:val="30"/>
          <w:shd w:val="clear" w:color="auto" w:fill="FFFFFF"/>
        </w:rPr>
        <w:t xml:space="preserve">    </w:t>
      </w:r>
      <w:r>
        <w:rPr>
          <w:rFonts w:hint="eastAsia" w:ascii="仿宋_GB2312" w:hAnsi="仿宋_GB2312" w:eastAsia="仿宋_GB2312" w:cs="仿宋_GB2312"/>
          <w:color w:val="2B2B2B"/>
          <w:kern w:val="0"/>
          <w:sz w:val="30"/>
          <w:szCs w:val="30"/>
          <w:shd w:val="clear" w:color="auto" w:fill="FFFFFF"/>
        </w:rPr>
        <w:t>四、“三公”经费、会议费支出情况说明</w:t>
      </w:r>
    </w:p>
    <w:p>
      <w:pPr>
        <w:adjustRightInd w:val="0"/>
        <w:snapToGrid w:val="0"/>
        <w:spacing w:line="520" w:lineRule="exact"/>
        <w:ind w:firstLine="31680" w:firstLineChars="200"/>
        <w:rPr>
          <w:rFonts w:ascii="仿宋_GB2312" w:hAnsi="仿宋_GB2312" w:eastAsia="仿宋_GB2312" w:cs="Times New Roman"/>
          <w:sz w:val="30"/>
          <w:szCs w:val="30"/>
        </w:rPr>
      </w:pPr>
      <w:r>
        <w:rPr>
          <w:rFonts w:ascii="仿宋_GB2312" w:hAnsi="仿宋_GB2312" w:eastAsia="仿宋_GB2312" w:cs="仿宋_GB2312"/>
          <w:color w:val="2B2B2B"/>
          <w:kern w:val="0"/>
          <w:sz w:val="30"/>
          <w:szCs w:val="30"/>
          <w:shd w:val="clear" w:color="auto" w:fill="FFFFFF"/>
        </w:rPr>
        <w:t>1</w:t>
      </w:r>
      <w:r>
        <w:rPr>
          <w:rFonts w:hint="eastAsia" w:ascii="仿宋_GB2312" w:hAnsi="仿宋_GB2312" w:eastAsia="仿宋_GB2312" w:cs="仿宋_GB2312"/>
          <w:color w:val="2B2B2B"/>
          <w:kern w:val="0"/>
          <w:sz w:val="30"/>
          <w:szCs w:val="30"/>
          <w:shd w:val="clear" w:color="auto" w:fill="FFFFFF"/>
        </w:rPr>
        <w:t>、“三公”经费支出情况：年度内无出国</w:t>
      </w:r>
      <w:r>
        <w:rPr>
          <w:rFonts w:ascii="仿宋_GB2312" w:hAnsi="仿宋_GB2312" w:eastAsia="仿宋_GB2312" w:cs="仿宋_GB2312"/>
          <w:color w:val="2B2B2B"/>
          <w:kern w:val="0"/>
          <w:sz w:val="30"/>
          <w:szCs w:val="30"/>
          <w:shd w:val="clear" w:color="auto" w:fill="FFFFFF"/>
        </w:rPr>
        <w:t>(</w:t>
      </w:r>
      <w:r>
        <w:rPr>
          <w:rFonts w:hint="eastAsia" w:ascii="仿宋_GB2312" w:hAnsi="仿宋_GB2312" w:eastAsia="仿宋_GB2312" w:cs="仿宋_GB2312"/>
          <w:color w:val="2B2B2B"/>
          <w:kern w:val="0"/>
          <w:sz w:val="30"/>
          <w:szCs w:val="30"/>
          <w:shd w:val="clear" w:color="auto" w:fill="FFFFFF"/>
        </w:rPr>
        <w:t>境</w:t>
      </w:r>
      <w:r>
        <w:rPr>
          <w:rFonts w:ascii="仿宋_GB2312" w:hAnsi="仿宋_GB2312" w:eastAsia="仿宋_GB2312" w:cs="仿宋_GB2312"/>
          <w:color w:val="2B2B2B"/>
          <w:kern w:val="0"/>
          <w:sz w:val="30"/>
          <w:szCs w:val="30"/>
          <w:shd w:val="clear" w:color="auto" w:fill="FFFFFF"/>
        </w:rPr>
        <w:t>)</w:t>
      </w:r>
      <w:r>
        <w:rPr>
          <w:rFonts w:hint="eastAsia" w:ascii="仿宋_GB2312" w:hAnsi="仿宋_GB2312" w:eastAsia="仿宋_GB2312" w:cs="仿宋_GB2312"/>
          <w:color w:val="2B2B2B"/>
          <w:kern w:val="0"/>
          <w:sz w:val="30"/>
          <w:szCs w:val="30"/>
          <w:shd w:val="clear" w:color="auto" w:fill="FFFFFF"/>
        </w:rPr>
        <w:t>支出；车辆运行费用支出</w:t>
      </w:r>
      <w:r>
        <w:rPr>
          <w:rFonts w:ascii="仿宋_GB2312" w:hAnsi="仿宋_GB2312" w:eastAsia="仿宋_GB2312" w:cs="仿宋_GB2312"/>
          <w:color w:val="2B2B2B"/>
          <w:kern w:val="0"/>
          <w:sz w:val="30"/>
          <w:szCs w:val="30"/>
          <w:shd w:val="clear" w:color="auto" w:fill="FFFFFF"/>
        </w:rPr>
        <w:t>11.5</w:t>
      </w:r>
      <w:r>
        <w:rPr>
          <w:rFonts w:hint="eastAsia" w:ascii="仿宋_GB2312" w:hAnsi="仿宋_GB2312" w:eastAsia="仿宋_GB2312" w:cs="仿宋_GB2312"/>
          <w:color w:val="2B2B2B"/>
          <w:kern w:val="0"/>
          <w:sz w:val="30"/>
          <w:szCs w:val="30"/>
          <w:shd w:val="clear" w:color="auto" w:fill="FFFFFF"/>
        </w:rPr>
        <w:t>万元，与上年支出</w:t>
      </w:r>
      <w:r>
        <w:rPr>
          <w:rFonts w:ascii="仿宋_GB2312" w:hAnsi="仿宋_GB2312" w:eastAsia="仿宋_GB2312" w:cs="仿宋_GB2312"/>
          <w:color w:val="2B2B2B"/>
          <w:kern w:val="0"/>
          <w:sz w:val="30"/>
          <w:szCs w:val="30"/>
          <w:shd w:val="clear" w:color="auto" w:fill="FFFFFF"/>
        </w:rPr>
        <w:t>11.5</w:t>
      </w:r>
      <w:r>
        <w:rPr>
          <w:rFonts w:hint="eastAsia" w:ascii="仿宋_GB2312" w:hAnsi="仿宋_GB2312" w:eastAsia="仿宋_GB2312" w:cs="仿宋_GB2312"/>
          <w:color w:val="2B2B2B"/>
          <w:kern w:val="0"/>
          <w:sz w:val="30"/>
          <w:szCs w:val="30"/>
          <w:shd w:val="clear" w:color="auto" w:fill="FFFFFF"/>
        </w:rPr>
        <w:t>万元相比持平，</w:t>
      </w:r>
      <w:r>
        <w:rPr>
          <w:rFonts w:hint="eastAsia" w:ascii="仿宋_GB2312" w:hAnsi="仿宋_GB2312" w:eastAsia="仿宋_GB2312" w:cs="仿宋_GB2312"/>
          <w:sz w:val="30"/>
          <w:szCs w:val="30"/>
        </w:rPr>
        <w:t>年末单位共有采样车、一般公务用车三辆，全年无购置车辆；</w:t>
      </w:r>
      <w:r>
        <w:rPr>
          <w:rFonts w:hint="eastAsia" w:ascii="仿宋_GB2312" w:hAnsi="仿宋_GB2312" w:eastAsia="仿宋_GB2312" w:cs="仿宋_GB2312"/>
          <w:color w:val="2B2B2B"/>
          <w:kern w:val="0"/>
          <w:sz w:val="30"/>
          <w:szCs w:val="30"/>
          <w:shd w:val="clear" w:color="auto" w:fill="FFFFFF"/>
        </w:rPr>
        <w:t>公务接待费支出</w:t>
      </w:r>
      <w:r>
        <w:rPr>
          <w:rFonts w:ascii="仿宋_GB2312" w:hAnsi="仿宋_GB2312" w:eastAsia="仿宋_GB2312" w:cs="仿宋_GB2312"/>
          <w:color w:val="2B2B2B"/>
          <w:kern w:val="0"/>
          <w:sz w:val="30"/>
          <w:szCs w:val="30"/>
          <w:shd w:val="clear" w:color="auto" w:fill="FFFFFF"/>
        </w:rPr>
        <w:t>1.83</w:t>
      </w:r>
      <w:r>
        <w:rPr>
          <w:rFonts w:hint="eastAsia" w:ascii="仿宋_GB2312" w:hAnsi="仿宋_GB2312" w:eastAsia="仿宋_GB2312" w:cs="仿宋_GB2312"/>
          <w:color w:val="2B2B2B"/>
          <w:kern w:val="0"/>
          <w:sz w:val="30"/>
          <w:szCs w:val="30"/>
          <w:shd w:val="clear" w:color="auto" w:fill="FFFFFF"/>
        </w:rPr>
        <w:t>万元，与上年支出</w:t>
      </w:r>
      <w:r>
        <w:rPr>
          <w:rFonts w:ascii="仿宋_GB2312" w:hAnsi="仿宋_GB2312" w:eastAsia="仿宋_GB2312" w:cs="仿宋_GB2312"/>
          <w:color w:val="2B2B2B"/>
          <w:kern w:val="0"/>
          <w:sz w:val="30"/>
          <w:szCs w:val="30"/>
          <w:shd w:val="clear" w:color="auto" w:fill="FFFFFF"/>
        </w:rPr>
        <w:t>1.83</w:t>
      </w:r>
      <w:r>
        <w:rPr>
          <w:rFonts w:hint="eastAsia" w:ascii="仿宋_GB2312" w:hAnsi="仿宋_GB2312" w:eastAsia="仿宋_GB2312" w:cs="仿宋_GB2312"/>
          <w:color w:val="2B2B2B"/>
          <w:kern w:val="0"/>
          <w:sz w:val="30"/>
          <w:szCs w:val="30"/>
          <w:shd w:val="clear" w:color="auto" w:fill="FFFFFF"/>
        </w:rPr>
        <w:t>万元相比持平</w:t>
      </w:r>
      <w:r>
        <w:rPr>
          <w:rFonts w:hint="eastAsia" w:ascii="仿宋_GB2312" w:hAnsi="仿宋_GB2312" w:eastAsia="仿宋_GB2312" w:cs="仿宋_GB2312"/>
          <w:sz w:val="30"/>
          <w:szCs w:val="30"/>
        </w:rPr>
        <w:t>（公务接待批次约为</w:t>
      </w:r>
      <w:r>
        <w:rPr>
          <w:rFonts w:ascii="仿宋_GB2312" w:hAnsi="仿宋_GB2312" w:eastAsia="仿宋_GB2312" w:cs="仿宋_GB2312"/>
          <w:sz w:val="30"/>
          <w:szCs w:val="30"/>
        </w:rPr>
        <w:t>65</w:t>
      </w:r>
      <w:r>
        <w:rPr>
          <w:rFonts w:hint="eastAsia" w:ascii="仿宋_GB2312" w:hAnsi="仿宋_GB2312" w:eastAsia="仿宋_GB2312" w:cs="仿宋_GB2312"/>
          <w:sz w:val="30"/>
          <w:szCs w:val="30"/>
        </w:rPr>
        <w:t>次，人数约为</w:t>
      </w:r>
      <w:r>
        <w:rPr>
          <w:rFonts w:ascii="仿宋_GB2312" w:hAnsi="仿宋_GB2312" w:eastAsia="仿宋_GB2312" w:cs="仿宋_GB2312"/>
          <w:sz w:val="30"/>
          <w:szCs w:val="30"/>
        </w:rPr>
        <w:t>400</w:t>
      </w:r>
      <w:r>
        <w:rPr>
          <w:rFonts w:hint="eastAsia" w:ascii="仿宋_GB2312" w:hAnsi="仿宋_GB2312" w:eastAsia="仿宋_GB2312" w:cs="仿宋_GB2312"/>
          <w:sz w:val="30"/>
          <w:szCs w:val="30"/>
        </w:rPr>
        <w:t>人）。无增减变化主要原因是我单位严格执行中央八项规定和自治区十条规定，压减“三公”经费支出。</w:t>
      </w:r>
    </w:p>
    <w:p>
      <w:pPr>
        <w:widowControl/>
        <w:shd w:val="clear" w:color="auto" w:fill="FFFFFF"/>
        <w:adjustRightInd w:val="0"/>
        <w:snapToGrid w:val="0"/>
        <w:spacing w:line="520" w:lineRule="exact"/>
        <w:ind w:firstLine="600"/>
        <w:jc w:val="left"/>
        <w:rPr>
          <w:rFonts w:ascii="仿宋_GB2312" w:hAnsi="仿宋_GB2312" w:eastAsia="仿宋_GB2312" w:cs="Times New Roman"/>
          <w:color w:val="2B2B2B"/>
          <w:kern w:val="0"/>
          <w:sz w:val="30"/>
          <w:szCs w:val="30"/>
          <w:shd w:val="clear" w:color="auto" w:fill="FFFFFF"/>
        </w:rPr>
      </w:pPr>
      <w:r>
        <w:rPr>
          <w:rFonts w:ascii="仿宋_GB2312" w:hAnsi="仿宋_GB2312" w:eastAsia="仿宋_GB2312" w:cs="仿宋_GB2312"/>
          <w:color w:val="2B2B2B"/>
          <w:kern w:val="0"/>
          <w:sz w:val="30"/>
          <w:szCs w:val="30"/>
          <w:shd w:val="clear" w:color="auto" w:fill="FFFFFF"/>
        </w:rPr>
        <w:t>2</w:t>
      </w:r>
      <w:r>
        <w:rPr>
          <w:rFonts w:hint="eastAsia" w:ascii="仿宋_GB2312" w:hAnsi="仿宋_GB2312" w:eastAsia="仿宋_GB2312" w:cs="仿宋_GB2312"/>
          <w:color w:val="2B2B2B"/>
          <w:kern w:val="0"/>
          <w:sz w:val="30"/>
          <w:szCs w:val="30"/>
          <w:shd w:val="clear" w:color="auto" w:fill="FFFFFF"/>
        </w:rPr>
        <w:t>、会议费支出</w:t>
      </w:r>
      <w:r>
        <w:rPr>
          <w:rFonts w:ascii="仿宋_GB2312" w:hAnsi="仿宋_GB2312" w:eastAsia="仿宋_GB2312" w:cs="仿宋_GB2312"/>
          <w:color w:val="2B2B2B"/>
          <w:kern w:val="0"/>
          <w:sz w:val="30"/>
          <w:szCs w:val="30"/>
          <w:shd w:val="clear" w:color="auto" w:fill="FFFFFF"/>
        </w:rPr>
        <w:t>0</w:t>
      </w:r>
      <w:r>
        <w:rPr>
          <w:rFonts w:hint="eastAsia" w:ascii="仿宋_GB2312" w:hAnsi="仿宋_GB2312" w:eastAsia="仿宋_GB2312" w:cs="仿宋_GB2312"/>
          <w:color w:val="2B2B2B"/>
          <w:kern w:val="0"/>
          <w:sz w:val="30"/>
          <w:szCs w:val="30"/>
          <w:shd w:val="clear" w:color="auto" w:fill="FFFFFF"/>
        </w:rPr>
        <w:t>万元。</w:t>
      </w:r>
    </w:p>
    <w:p>
      <w:pPr>
        <w:widowControl/>
        <w:shd w:val="clear" w:color="auto" w:fill="FFFFFF"/>
        <w:spacing w:line="360" w:lineRule="atLeast"/>
        <w:ind w:firstLine="600"/>
        <w:jc w:val="left"/>
        <w:rPr>
          <w:rFonts w:ascii="仿宋_GB2312" w:hAnsi="仿宋_GB2312" w:eastAsia="仿宋_GB2312" w:cs="Times New Roman"/>
          <w:color w:val="2B2B2B"/>
          <w:kern w:val="0"/>
          <w:sz w:val="30"/>
          <w:szCs w:val="30"/>
          <w:shd w:val="clear" w:color="auto" w:fill="FFFFFF"/>
        </w:rPr>
      </w:pPr>
    </w:p>
    <w:p>
      <w:pPr>
        <w:widowControl/>
        <w:shd w:val="clear" w:color="auto" w:fill="FFFFFF"/>
        <w:spacing w:line="360" w:lineRule="atLeast"/>
        <w:ind w:firstLine="600"/>
        <w:jc w:val="left"/>
        <w:rPr>
          <w:rFonts w:ascii="仿宋_GB2312" w:hAnsi="仿宋_GB2312" w:eastAsia="仿宋_GB2312" w:cs="Times New Roman"/>
          <w:color w:val="2B2B2B"/>
          <w:kern w:val="0"/>
          <w:sz w:val="30"/>
          <w:szCs w:val="30"/>
          <w:shd w:val="clear" w:color="auto" w:fill="FFFFFF"/>
        </w:rPr>
      </w:pPr>
    </w:p>
    <w:p>
      <w:pPr>
        <w:widowControl/>
        <w:spacing w:line="360" w:lineRule="atLeast"/>
        <w:ind w:firstLine="640"/>
        <w:jc w:val="left"/>
        <w:rPr>
          <w:rFonts w:ascii="仿宋_GB2312" w:hAnsi="仿宋_GB2312" w:eastAsia="仿宋_GB2312" w:cs="Times New Roman"/>
          <w:color w:val="2B2B2B"/>
          <w:sz w:val="30"/>
          <w:szCs w:val="30"/>
        </w:rPr>
      </w:pPr>
      <w:r>
        <w:rPr>
          <w:rFonts w:ascii="仿宋_GB2312" w:hAnsi="仿宋_GB2312" w:eastAsia="仿宋_GB2312" w:cs="仿宋_GB2312"/>
          <w:color w:val="2B2B2B"/>
          <w:kern w:val="0"/>
          <w:sz w:val="30"/>
          <w:szCs w:val="30"/>
          <w:shd w:val="clear" w:color="auto" w:fill="FFFFFF"/>
        </w:rPr>
        <w:t xml:space="preserve">                           </w:t>
      </w:r>
      <w:bookmarkStart w:id="0" w:name="_GoBack"/>
      <w:bookmarkEnd w:id="0"/>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Lucida Sans">
    <w:panose1 w:val="020B0602030504020204"/>
    <w:charset w:val="00"/>
    <w:family w:val="auto"/>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6F57"/>
    <w:rsid w:val="001D664A"/>
    <w:rsid w:val="00227FAA"/>
    <w:rsid w:val="003B34C3"/>
    <w:rsid w:val="00573D55"/>
    <w:rsid w:val="00894AD2"/>
    <w:rsid w:val="008D7D2A"/>
    <w:rsid w:val="00B017EA"/>
    <w:rsid w:val="00BC6F57"/>
    <w:rsid w:val="00DE4C63"/>
    <w:rsid w:val="01D91416"/>
    <w:rsid w:val="0402762A"/>
    <w:rsid w:val="07A941F6"/>
    <w:rsid w:val="0BFA6E49"/>
    <w:rsid w:val="129D2BC3"/>
    <w:rsid w:val="1A8E3292"/>
    <w:rsid w:val="1BC42A59"/>
    <w:rsid w:val="1DB64D15"/>
    <w:rsid w:val="2B656583"/>
    <w:rsid w:val="348F350A"/>
    <w:rsid w:val="3CDD465C"/>
    <w:rsid w:val="45727962"/>
    <w:rsid w:val="6C9E52F4"/>
    <w:rsid w:val="6EA446C7"/>
    <w:rsid w:val="733535CC"/>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4</Pages>
  <Words>240</Words>
  <Characters>1370</Characters>
  <Lines>0</Lines>
  <Paragraphs>0</Paragraphs>
  <TotalTime>0</TotalTime>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2017-02-23T10:10:58Z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