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jc w:val="center"/>
        <w:rPr>
          <w:rFonts w:hint="eastAsia" w:ascii="宋体" w:hAnsi="宋体" w:eastAsia="宋体" w:cs="宋体"/>
          <w:b w:val="0"/>
          <w:i w:val="0"/>
          <w:caps w:val="0"/>
          <w:color w:val="2B2B2B"/>
          <w:spacing w:val="0"/>
          <w:sz w:val="24"/>
          <w:szCs w:val="24"/>
          <w:bdr w:val="none" w:color="auto" w:sz="0" w:space="0"/>
          <w:shd w:val="clear" w:fill="FFFFFF"/>
        </w:rPr>
      </w:pPr>
      <w:bookmarkStart w:id="0" w:name="_GoBack"/>
      <w:bookmarkEnd w:id="0"/>
      <w:r>
        <w:rPr>
          <w:rFonts w:ascii="微软雅黑" w:hAnsi="微软雅黑" w:eastAsia="微软雅黑" w:cs="微软雅黑"/>
          <w:b/>
          <w:i w:val="0"/>
          <w:caps w:val="0"/>
          <w:color w:val="333333"/>
          <w:spacing w:val="0"/>
          <w:sz w:val="37"/>
          <w:szCs w:val="37"/>
          <w:shd w:val="clear" w:fill="FFFFFF"/>
        </w:rPr>
        <w:t>昌吉州直机关工委2015年决算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根据《关于做好2015年度部门决算公开工作的通知》（昌州财库〔2016〕20号）要求，现将州直机关工委2015年财政决算和“三公”经费决算信息公开如下：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一、单位基本情况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（一） 主要职能：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1、领导自治州直属机关党的工作，按照《中国共产党和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国家机关基层组织工作条例》的规定及中央、自治区、州党委的部署，结合机关实际，对机关党的工作作出规划；对下级机关党的工作进行业务指导。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2、搞好调查研究，提出加强和改进自治州机关党的工作的措施和意见。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3、审批州直机关党委、直属党总支部、党支部的建立；审批州直机关党组织领导班子成员的任免；负责州直机关党委和直属党（总）支部书记、副书记、委员的培训工作。监督检查州直各部门、各单位机关党组织切实履行职责、落实好党的工作的各项任务的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4、按照自治区党委和州党委的要求，指导机关各级党组织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搞好思想、组织、作风、制度和反腐倡廉建设，做好党员管理教育工作。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5、 指导州直机关党组织做好思想政治工作。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6、 指导州直机关党组织做好发展新党员工作；负责直属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党总支部、支部发展党员工作；组织州直机关科级干部的培训以及中青年党员、干部的培训工作。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7、 按照有关规定，领导州直机关党组织的纪律检查工作，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审核、审批党员违反党纪的处分和有关党员的组织处理问题。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8、 定期听取汇报，对州直机关党组织工作状况进行届中、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届满考核；指导州直机关党组织实施对党员特别是党员领导干部的监督，定期了解各部门党员和群众对部门领导干部的意见，及时向自治州党委反映各部门领导班子和领导干部抓党建工作责任制的情况和问题。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9、 领导州直机关工会、共青团工作，并按照其各自的章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程开展工作。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10、 完成自治州党委交办的其它工作。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（二）内设机构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1、办公室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2、组织科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3、宣传科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4、机关工会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5、机关团委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（三）人员编制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核定编制11人，其中行政编制10人，工勤编制1人。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二、预算执行情况：州直机关工委2015年收入2,597,753.03</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其中：财政拨款收入2,597,753.03元，支出 2,685,980.21</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元，其中：基本支出 2080753.03元，项目支出605,227.18</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元，结余729,325.36元。与上年决算相比收入增加部分为工资福利支出部分， 项目支出与上年相比增加68553元，主要增加在培训费支出。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1、 关于“三公”经费的说明：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2015年公务接待费为2700元与预算数相等。车辆运行费为20800元中预算内支出。无因公出国(境)支出费用。根据《关于做好2015年度部门决算公开工作的通知》（昌州财库〔2016〕20号）要求，现将州直机关工委2015年财政决算和“三公”经费决算信息公开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一、单位基本情况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（一） 主要职能：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1、领导自治州直属机关党的工作，按照《中国共产党和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国家机关基层组织工作条例》的规定及中央、自治区、州党委的部署，结合机关实际，对机关党的工作作出规划；对下级机关党的工作进行业务指导。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2、搞好调查研究，提出加强和改进自治州机关党的工作的措施和意见。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3、审批州直机关党委、直属党总支部、党支部的建立；审批州直机关党组织领导班子成员的任免；负责州直机关党委和直属党（总）支部书记、副书记、委员的培训工作。监督检查州直各部门、各单位机关党组织切实履行职责、落实好党的工作的各项任务的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4、按照自治区党委和州党委的要求，指导机关各级党组织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搞好思想、组织、作风、制度和反腐倡廉建设，做好党员管理教育工作。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5、 指导州直机关党组织做好思想政治工作。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6、 指导州直机关党组织做好发展新党员工作；负责直属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党总支部、支部发展党员工作；组织州直机关科级干部的培训以及中青年党员、干部的培训工作。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7、 按照有关规定，领导州直机关党组织的纪律检查工作，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审核、审批党员违反党纪的处分和有关党员的组织处理问题。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8、 定期听取汇报，对州直机关党组织工作状况进行届中、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届满考核；指导州直机关党组织实施对党员特别是党员领导干部的监督，定期了解各部门党员和群众对部门领导干部的意见，及时向自治州党委反映各部门领导班子和领导干部抓党建工作责任制的情况和问题。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9、 领导州直机关工会、共青团工作，并按照其各自的章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程开展工作。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10、 完成自治州党委交办的其它工作。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（二）内设机构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1、办公室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2、组织科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3、宣传科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4、机关工会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5、机关团委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（三）人员编制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核定编制11人，其中行政编制10人，工勤编制1人。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二、预算执行情况：州直机关工委2015年收入2,597,753.03</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其中：财政拨款收入2,597,753.03元，支出 2,685,980.21</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元，其中：基本支出 2080753.03元，项目支出605,227.18</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元，结余729,325.36元。与上年决算相比收入增加部分为工资福利支出部分， 项目支出与上年相比增加68553元，主要增加在培训费支出。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1、 关于“三公”经费的说明：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shd w:val="clear" w:fill="FFFFFF"/>
        </w:rPr>
      </w:pPr>
      <w:r>
        <w:rPr>
          <w:rFonts w:hint="eastAsia" w:ascii="宋体" w:hAnsi="宋体" w:eastAsia="宋体" w:cs="宋体"/>
          <w:b w:val="0"/>
          <w:i w:val="0"/>
          <w:caps w:val="0"/>
          <w:color w:val="2B2B2B"/>
          <w:spacing w:val="0"/>
          <w:sz w:val="24"/>
          <w:szCs w:val="24"/>
          <w:shd w:val="clear" w:fill="FFFFFF"/>
        </w:rPr>
        <w:t>1、201</w:t>
      </w:r>
      <w:r>
        <w:rPr>
          <w:rFonts w:hint="eastAsia" w:ascii="宋体" w:hAnsi="宋体" w:eastAsia="宋体" w:cs="宋体"/>
          <w:b w:val="0"/>
          <w:i w:val="0"/>
          <w:caps w:val="0"/>
          <w:color w:val="2B2B2B"/>
          <w:spacing w:val="0"/>
          <w:sz w:val="24"/>
          <w:szCs w:val="24"/>
          <w:shd w:val="clear" w:fill="FFFFFF"/>
          <w:lang w:val="en-US" w:eastAsia="zh-CN"/>
        </w:rPr>
        <w:t>5</w:t>
      </w:r>
      <w:r>
        <w:rPr>
          <w:rFonts w:hint="eastAsia" w:ascii="宋体" w:hAnsi="宋体" w:eastAsia="宋体" w:cs="宋体"/>
          <w:b w:val="0"/>
          <w:i w:val="0"/>
          <w:caps w:val="0"/>
          <w:color w:val="2B2B2B"/>
          <w:spacing w:val="0"/>
          <w:sz w:val="24"/>
          <w:szCs w:val="24"/>
          <w:shd w:val="clear" w:fill="FFFFFF"/>
        </w:rPr>
        <w:t>年“三公”经费支出总计</w:t>
      </w:r>
      <w:r>
        <w:rPr>
          <w:rFonts w:hint="eastAsia" w:ascii="宋体" w:hAnsi="宋体" w:eastAsia="宋体" w:cs="宋体"/>
          <w:b w:val="0"/>
          <w:i w:val="0"/>
          <w:caps w:val="0"/>
          <w:color w:val="2B2B2B"/>
          <w:spacing w:val="0"/>
          <w:sz w:val="24"/>
          <w:szCs w:val="24"/>
          <w:shd w:val="clear" w:fill="FFFFFF"/>
          <w:lang w:val="en-US" w:eastAsia="zh-CN"/>
        </w:rPr>
        <w:t>22783</w:t>
      </w:r>
      <w:r>
        <w:rPr>
          <w:rFonts w:hint="eastAsia" w:ascii="宋体" w:hAnsi="宋体" w:eastAsia="宋体" w:cs="宋体"/>
          <w:b w:val="0"/>
          <w:i w:val="0"/>
          <w:caps w:val="0"/>
          <w:color w:val="2B2B2B"/>
          <w:spacing w:val="0"/>
          <w:sz w:val="24"/>
          <w:szCs w:val="24"/>
          <w:shd w:val="clear" w:fill="FFFFFF"/>
        </w:rPr>
        <w:t>元</w:t>
      </w:r>
      <w:r>
        <w:rPr>
          <w:rFonts w:hint="eastAsia" w:ascii="宋体" w:hAnsi="宋体" w:eastAsia="宋体" w:cs="宋体"/>
          <w:b w:val="0"/>
          <w:i w:val="0"/>
          <w:caps w:val="0"/>
          <w:color w:val="2B2B2B"/>
          <w:spacing w:val="0"/>
          <w:sz w:val="24"/>
          <w:szCs w:val="24"/>
          <w:shd w:val="clear" w:fill="FFFFFF"/>
          <w:lang w:eastAsia="zh-CN"/>
        </w:rPr>
        <w:t>。</w:t>
      </w:r>
      <w:r>
        <w:rPr>
          <w:rFonts w:hint="eastAsia" w:ascii="宋体" w:hAnsi="宋体" w:eastAsia="宋体" w:cs="宋体"/>
          <w:b w:val="0"/>
          <w:i w:val="0"/>
          <w:caps w:val="0"/>
          <w:color w:val="2B2B2B"/>
          <w:spacing w:val="0"/>
          <w:sz w:val="24"/>
          <w:szCs w:val="24"/>
          <w:shd w:val="clear" w:fill="FFFFFF"/>
          <w:lang w:val="en-US" w:eastAsia="zh-CN"/>
        </w:rPr>
        <w:t>(1)</w:t>
      </w:r>
      <w:r>
        <w:rPr>
          <w:rFonts w:hint="eastAsia" w:ascii="宋体" w:hAnsi="宋体" w:eastAsia="宋体" w:cs="宋体"/>
          <w:b w:val="0"/>
          <w:i w:val="0"/>
          <w:caps w:val="0"/>
          <w:color w:val="2B2B2B"/>
          <w:spacing w:val="0"/>
          <w:sz w:val="24"/>
          <w:szCs w:val="24"/>
          <w:shd w:val="clear" w:fill="FFFFFF"/>
        </w:rPr>
        <w:t>公务接待支出</w:t>
      </w:r>
      <w:r>
        <w:rPr>
          <w:rFonts w:hint="eastAsia" w:ascii="宋体" w:hAnsi="宋体" w:eastAsia="宋体" w:cs="宋体"/>
          <w:b w:val="0"/>
          <w:i w:val="0"/>
          <w:caps w:val="0"/>
          <w:color w:val="2B2B2B"/>
          <w:spacing w:val="0"/>
          <w:sz w:val="24"/>
          <w:szCs w:val="24"/>
          <w:shd w:val="clear" w:fill="FFFFFF"/>
          <w:lang w:val="en-US" w:eastAsia="zh-CN"/>
        </w:rPr>
        <w:t>2763</w:t>
      </w:r>
      <w:r>
        <w:rPr>
          <w:rFonts w:hint="eastAsia" w:ascii="宋体" w:hAnsi="宋体" w:eastAsia="宋体" w:cs="宋体"/>
          <w:b w:val="0"/>
          <w:i w:val="0"/>
          <w:caps w:val="0"/>
          <w:color w:val="2B2B2B"/>
          <w:spacing w:val="0"/>
          <w:sz w:val="24"/>
          <w:szCs w:val="24"/>
          <w:shd w:val="clear" w:fill="FFFFFF"/>
        </w:rPr>
        <w:t>元，</w:t>
      </w:r>
      <w:r>
        <w:rPr>
          <w:rFonts w:hint="eastAsia" w:ascii="宋体" w:hAnsi="宋体" w:eastAsia="宋体" w:cs="宋体"/>
          <w:b w:val="0"/>
          <w:i w:val="0"/>
          <w:caps w:val="0"/>
          <w:color w:val="2B2B2B"/>
          <w:spacing w:val="0"/>
          <w:sz w:val="24"/>
          <w:szCs w:val="24"/>
          <w:shd w:val="clear" w:fill="FFFFFF"/>
          <w:lang w:eastAsia="zh-CN"/>
        </w:rPr>
        <w:t>主要用于</w:t>
      </w:r>
      <w:r>
        <w:rPr>
          <w:rFonts w:hint="eastAsia" w:ascii="宋体" w:hAnsi="宋体" w:eastAsia="宋体" w:cs="宋体"/>
          <w:b w:val="0"/>
          <w:i w:val="0"/>
          <w:caps w:val="0"/>
          <w:color w:val="2B2B2B"/>
          <w:spacing w:val="0"/>
          <w:sz w:val="24"/>
          <w:szCs w:val="24"/>
          <w:shd w:val="clear" w:fill="FFFFFF"/>
          <w:lang w:val="en-US" w:eastAsia="zh-CN"/>
        </w:rPr>
        <w:t>1</w:t>
      </w:r>
      <w:r>
        <w:rPr>
          <w:rFonts w:hint="eastAsia" w:ascii="宋体" w:hAnsi="宋体" w:eastAsia="宋体" w:cs="宋体"/>
          <w:b w:val="0"/>
          <w:i w:val="0"/>
          <w:caps w:val="0"/>
          <w:color w:val="2B2B2B"/>
          <w:spacing w:val="0"/>
          <w:sz w:val="24"/>
          <w:szCs w:val="24"/>
          <w:shd w:val="clear" w:fill="FFFFFF"/>
          <w:lang w:eastAsia="zh-CN"/>
        </w:rPr>
        <w:t>次会议接待，</w:t>
      </w:r>
      <w:r>
        <w:rPr>
          <w:rFonts w:hint="eastAsia" w:ascii="宋体" w:hAnsi="宋体" w:eastAsia="宋体" w:cs="宋体"/>
          <w:b w:val="0"/>
          <w:i w:val="0"/>
          <w:caps w:val="0"/>
          <w:color w:val="2B2B2B"/>
          <w:spacing w:val="0"/>
          <w:sz w:val="24"/>
          <w:szCs w:val="24"/>
          <w:shd w:val="clear" w:fill="FFFFFF"/>
          <w:lang w:val="en-US" w:eastAsia="zh-CN"/>
        </w:rPr>
        <w:t>8次加班餐支出。相比2014年接待支出减少2086元，</w:t>
      </w:r>
      <w:r>
        <w:rPr>
          <w:rFonts w:hint="eastAsia" w:ascii="宋体" w:hAnsi="宋体" w:eastAsia="宋体" w:cs="宋体"/>
          <w:b w:val="0"/>
          <w:i w:val="0"/>
          <w:caps w:val="0"/>
          <w:color w:val="2B2B2B"/>
          <w:spacing w:val="0"/>
          <w:sz w:val="24"/>
          <w:szCs w:val="24"/>
          <w:shd w:val="clear" w:fill="FFFFFF"/>
          <w:lang w:eastAsia="zh-CN"/>
        </w:rPr>
        <w:t>降</w:t>
      </w:r>
      <w:r>
        <w:rPr>
          <w:rFonts w:hint="eastAsia" w:ascii="宋体" w:hAnsi="宋体" w:eastAsia="宋体" w:cs="宋体"/>
          <w:b w:val="0"/>
          <w:i w:val="0"/>
          <w:caps w:val="0"/>
          <w:color w:val="2B2B2B"/>
          <w:spacing w:val="0"/>
          <w:sz w:val="24"/>
          <w:szCs w:val="24"/>
          <w:shd w:val="clear" w:fill="FFFFFF"/>
        </w:rPr>
        <w:t>幅</w:t>
      </w:r>
      <w:r>
        <w:rPr>
          <w:rFonts w:hint="eastAsia" w:ascii="宋体" w:hAnsi="宋体" w:eastAsia="宋体" w:cs="宋体"/>
          <w:b w:val="0"/>
          <w:i w:val="0"/>
          <w:caps w:val="0"/>
          <w:color w:val="2B2B2B"/>
          <w:spacing w:val="0"/>
          <w:sz w:val="24"/>
          <w:szCs w:val="24"/>
          <w:shd w:val="clear" w:fill="FFFFFF"/>
          <w:lang w:val="en-US" w:eastAsia="zh-CN"/>
        </w:rPr>
        <w:t>43%。（2）</w:t>
      </w:r>
      <w:r>
        <w:rPr>
          <w:rFonts w:hint="eastAsia" w:ascii="宋体" w:hAnsi="宋体" w:eastAsia="宋体" w:cs="宋体"/>
          <w:b w:val="0"/>
          <w:i w:val="0"/>
          <w:caps w:val="0"/>
          <w:color w:val="2B2B2B"/>
          <w:spacing w:val="0"/>
          <w:sz w:val="24"/>
          <w:szCs w:val="24"/>
          <w:shd w:val="clear" w:fill="FFFFFF"/>
        </w:rPr>
        <w:t>公务用车购置及运行支出</w:t>
      </w:r>
      <w:r>
        <w:rPr>
          <w:rFonts w:hint="eastAsia" w:ascii="宋体" w:hAnsi="宋体" w:eastAsia="宋体" w:cs="宋体"/>
          <w:b w:val="0"/>
          <w:i w:val="0"/>
          <w:caps w:val="0"/>
          <w:color w:val="2B2B2B"/>
          <w:spacing w:val="0"/>
          <w:sz w:val="24"/>
          <w:szCs w:val="24"/>
          <w:shd w:val="clear" w:fill="FFFFFF"/>
          <w:lang w:val="en-US" w:eastAsia="zh-CN"/>
        </w:rPr>
        <w:t>20020</w:t>
      </w:r>
      <w:r>
        <w:rPr>
          <w:rFonts w:hint="eastAsia" w:ascii="宋体" w:hAnsi="宋体" w:eastAsia="宋体" w:cs="宋体"/>
          <w:b w:val="0"/>
          <w:i w:val="0"/>
          <w:caps w:val="0"/>
          <w:color w:val="2B2B2B"/>
          <w:spacing w:val="0"/>
          <w:sz w:val="24"/>
          <w:szCs w:val="24"/>
          <w:shd w:val="clear" w:fill="FFFFFF"/>
        </w:rPr>
        <w:t>元（公务车运行支出</w:t>
      </w:r>
      <w:r>
        <w:rPr>
          <w:rFonts w:hint="eastAsia" w:ascii="宋体" w:hAnsi="宋体" w:eastAsia="宋体" w:cs="宋体"/>
          <w:b w:val="0"/>
          <w:i w:val="0"/>
          <w:caps w:val="0"/>
          <w:color w:val="2B2B2B"/>
          <w:spacing w:val="0"/>
          <w:sz w:val="24"/>
          <w:szCs w:val="24"/>
          <w:shd w:val="clear" w:fill="FFFFFF"/>
          <w:lang w:val="en-US" w:eastAsia="zh-CN"/>
        </w:rPr>
        <w:t>20020</w:t>
      </w:r>
      <w:r>
        <w:rPr>
          <w:rFonts w:hint="eastAsia" w:ascii="宋体" w:hAnsi="宋体" w:eastAsia="宋体" w:cs="宋体"/>
          <w:b w:val="0"/>
          <w:i w:val="0"/>
          <w:caps w:val="0"/>
          <w:color w:val="2B2B2B"/>
          <w:spacing w:val="0"/>
          <w:sz w:val="24"/>
          <w:szCs w:val="24"/>
          <w:shd w:val="clear" w:fill="FFFFFF"/>
        </w:rPr>
        <w:t>元、公务车购置支出0元）。</w:t>
      </w:r>
      <w:r>
        <w:rPr>
          <w:rFonts w:hint="eastAsia" w:ascii="宋体" w:hAnsi="宋体" w:eastAsia="宋体" w:cs="宋体"/>
          <w:b w:val="0"/>
          <w:i w:val="0"/>
          <w:caps w:val="0"/>
          <w:color w:val="2B2B2B"/>
          <w:spacing w:val="0"/>
          <w:sz w:val="24"/>
          <w:szCs w:val="24"/>
          <w:shd w:val="clear" w:fill="FFFFFF"/>
          <w:lang w:eastAsia="zh-CN"/>
        </w:rPr>
        <w:t>主要用于下基层检查工作用车。相比</w:t>
      </w:r>
      <w:r>
        <w:rPr>
          <w:rFonts w:hint="eastAsia" w:ascii="宋体" w:hAnsi="宋体" w:eastAsia="宋体" w:cs="宋体"/>
          <w:b w:val="0"/>
          <w:i w:val="0"/>
          <w:caps w:val="0"/>
          <w:color w:val="2B2B2B"/>
          <w:spacing w:val="0"/>
          <w:sz w:val="24"/>
          <w:szCs w:val="24"/>
          <w:shd w:val="clear" w:fill="FFFFFF"/>
          <w:lang w:val="en-US" w:eastAsia="zh-CN"/>
        </w:rPr>
        <w:t>2014年减少9925元</w:t>
      </w:r>
      <w:r>
        <w:rPr>
          <w:rFonts w:hint="eastAsia" w:ascii="宋体" w:hAnsi="宋体" w:eastAsia="宋体" w:cs="宋体"/>
          <w:b w:val="0"/>
          <w:i w:val="0"/>
          <w:caps w:val="0"/>
          <w:color w:val="2B2B2B"/>
          <w:spacing w:val="0"/>
          <w:sz w:val="24"/>
          <w:szCs w:val="24"/>
          <w:shd w:val="clear" w:fill="FFFFFF"/>
          <w:lang w:eastAsia="zh-CN"/>
        </w:rPr>
        <w:t>降</w:t>
      </w:r>
      <w:r>
        <w:rPr>
          <w:rFonts w:hint="eastAsia" w:ascii="宋体" w:hAnsi="宋体" w:eastAsia="宋体" w:cs="宋体"/>
          <w:b w:val="0"/>
          <w:i w:val="0"/>
          <w:caps w:val="0"/>
          <w:color w:val="2B2B2B"/>
          <w:spacing w:val="0"/>
          <w:sz w:val="24"/>
          <w:szCs w:val="24"/>
          <w:shd w:val="clear" w:fill="FFFFFF"/>
        </w:rPr>
        <w:t>幅</w:t>
      </w:r>
      <w:r>
        <w:rPr>
          <w:rFonts w:hint="eastAsia" w:ascii="宋体" w:hAnsi="宋体" w:eastAsia="宋体" w:cs="宋体"/>
          <w:b w:val="0"/>
          <w:i w:val="0"/>
          <w:caps w:val="0"/>
          <w:color w:val="2B2B2B"/>
          <w:spacing w:val="0"/>
          <w:sz w:val="24"/>
          <w:szCs w:val="24"/>
          <w:shd w:val="clear" w:fill="FFFFFF"/>
          <w:lang w:val="en-US" w:eastAsia="zh-CN"/>
        </w:rPr>
        <w:t>33.14</w:t>
      </w:r>
      <w:r>
        <w:rPr>
          <w:rFonts w:hint="eastAsia" w:ascii="宋体" w:hAnsi="宋体" w:eastAsia="宋体" w:cs="宋体"/>
          <w:b w:val="0"/>
          <w:i w:val="0"/>
          <w:caps w:val="0"/>
          <w:color w:val="2B2B2B"/>
          <w:spacing w:val="0"/>
          <w:sz w:val="24"/>
          <w:szCs w:val="24"/>
          <w:shd w:val="clear" w:fill="FFFFFF"/>
        </w:rPr>
        <w:t>%。主要原因是</w:t>
      </w:r>
      <w:r>
        <w:rPr>
          <w:rFonts w:hint="eastAsia" w:ascii="宋体" w:hAnsi="宋体" w:eastAsia="宋体" w:cs="宋体"/>
          <w:b w:val="0"/>
          <w:i w:val="0"/>
          <w:caps w:val="0"/>
          <w:color w:val="2B2B2B"/>
          <w:spacing w:val="0"/>
          <w:sz w:val="24"/>
          <w:szCs w:val="24"/>
          <w:shd w:val="clear" w:fill="FFFFFF"/>
          <w:lang w:eastAsia="zh-CN"/>
        </w:rPr>
        <w:t>认真执行中央八项规定和区州党委十项规定，控制了“三公”经费的支出。（</w:t>
      </w:r>
      <w:r>
        <w:rPr>
          <w:rFonts w:hint="eastAsia" w:ascii="宋体" w:hAnsi="宋体" w:eastAsia="宋体" w:cs="宋体"/>
          <w:b w:val="0"/>
          <w:i w:val="0"/>
          <w:caps w:val="0"/>
          <w:color w:val="2B2B2B"/>
          <w:spacing w:val="0"/>
          <w:sz w:val="24"/>
          <w:szCs w:val="24"/>
          <w:shd w:val="clear" w:fill="FFFFFF"/>
          <w:lang w:val="en-US" w:eastAsia="zh-CN"/>
        </w:rPr>
        <w:t>3）没有出国境支出情况。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2、 机关运行经费说明：2015年本部门机关运行经费支出72800元(与部门决算中一般公共预算财政拨款基本支出中公用经费之和保持一致），比2014年减少59元。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3、 关于国有资产的说明：2015年12月31日，本部门共有车辆1辆，主要用于一般公务用车。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450" w:afterAutospacing="0"/>
        <w:ind w:left="0" w:right="0" w:firstLine="420"/>
        <w:rPr>
          <w:rFonts w:hint="eastAsia" w:ascii="宋体" w:hAnsi="宋体" w:eastAsia="宋体" w:cs="宋体"/>
          <w:b w:val="0"/>
          <w:i w:val="0"/>
          <w:caps w:val="0"/>
          <w:color w:val="2B2B2B"/>
          <w:spacing w:val="0"/>
          <w:sz w:val="24"/>
          <w:szCs w:val="24"/>
        </w:rPr>
      </w:pPr>
      <w:r>
        <w:rPr>
          <w:rFonts w:hint="eastAsia" w:ascii="宋体" w:hAnsi="宋体" w:eastAsia="宋体" w:cs="宋体"/>
          <w:b w:val="0"/>
          <w:i w:val="0"/>
          <w:caps w:val="0"/>
          <w:color w:val="2B2B2B"/>
          <w:spacing w:val="0"/>
          <w:sz w:val="24"/>
          <w:szCs w:val="24"/>
          <w:bdr w:val="none" w:color="auto" w:sz="0" w:space="0"/>
          <w:shd w:val="clear" w:fill="FFFFFF"/>
        </w:rPr>
        <w:t>附件：</w:t>
      </w:r>
      <w:r>
        <w:rPr>
          <w:rFonts w:hint="eastAsia" w:ascii="宋体" w:hAnsi="宋体" w:eastAsia="宋体" w:cs="宋体"/>
          <w:b w:val="0"/>
          <w:i w:val="0"/>
          <w:caps w:val="0"/>
          <w:color w:val="000000"/>
          <w:spacing w:val="0"/>
          <w:sz w:val="24"/>
          <w:szCs w:val="24"/>
          <w:u w:val="none"/>
          <w:bdr w:val="none" w:color="auto" w:sz="0" w:space="0"/>
          <w:shd w:val="clear" w:fill="FFFFFF"/>
        </w:rPr>
        <w:fldChar w:fldCharType="begin"/>
      </w:r>
      <w:r>
        <w:rPr>
          <w:rFonts w:hint="eastAsia" w:ascii="宋体" w:hAnsi="宋体" w:eastAsia="宋体" w:cs="宋体"/>
          <w:b w:val="0"/>
          <w:i w:val="0"/>
          <w:caps w:val="0"/>
          <w:color w:val="000000"/>
          <w:spacing w:val="0"/>
          <w:sz w:val="24"/>
          <w:szCs w:val="24"/>
          <w:u w:val="none"/>
          <w:bdr w:val="none" w:color="auto" w:sz="0" w:space="0"/>
          <w:shd w:val="clear" w:fill="FFFFFF"/>
        </w:rPr>
        <w:instrText xml:space="preserve"> HYPERLINK "http://www.cj.gov.cn/wcm.files/upload/CMScj/201609/201609290745007.xls" \t "http://www.cj.gov.cn/czyjs/2015nd/js/_blank" </w:instrText>
      </w:r>
      <w:r>
        <w:rPr>
          <w:rFonts w:hint="eastAsia" w:ascii="宋体" w:hAnsi="宋体" w:eastAsia="宋体" w:cs="宋体"/>
          <w:b w:val="0"/>
          <w:i w:val="0"/>
          <w:caps w:val="0"/>
          <w:color w:val="000000"/>
          <w:spacing w:val="0"/>
          <w:sz w:val="24"/>
          <w:szCs w:val="24"/>
          <w:u w:val="none"/>
          <w:bdr w:val="none" w:color="auto" w:sz="0" w:space="0"/>
          <w:shd w:val="clear" w:fill="FFFFFF"/>
        </w:rPr>
        <w:fldChar w:fldCharType="separate"/>
      </w:r>
      <w:r>
        <w:rPr>
          <w:rStyle w:val="4"/>
          <w:rFonts w:hint="eastAsia" w:ascii="宋体" w:hAnsi="宋体" w:eastAsia="宋体" w:cs="宋体"/>
          <w:b w:val="0"/>
          <w:i w:val="0"/>
          <w:caps w:val="0"/>
          <w:color w:val="000000"/>
          <w:spacing w:val="0"/>
          <w:sz w:val="24"/>
          <w:szCs w:val="24"/>
          <w:u w:val="none"/>
          <w:bdr w:val="none" w:color="auto" w:sz="0" w:space="0"/>
          <w:shd w:val="clear" w:fill="FFFFFF"/>
        </w:rPr>
        <w:t>昌吉州直机关工委2015年决算报表</w:t>
      </w:r>
      <w:r>
        <w:rPr>
          <w:rFonts w:hint="eastAsia" w:ascii="宋体" w:hAnsi="宋体" w:eastAsia="宋体" w:cs="宋体"/>
          <w:b w:val="0"/>
          <w:i w:val="0"/>
          <w:caps w:val="0"/>
          <w:color w:val="000000"/>
          <w:spacing w:val="0"/>
          <w:sz w:val="24"/>
          <w:szCs w:val="24"/>
          <w:u w:val="none"/>
          <w:bdr w:val="none" w:color="auto" w:sz="0" w:space="0"/>
          <w:shd w:val="clear" w:fill="FFFFFF"/>
        </w:rPr>
        <w:fldChar w:fldCharType="end"/>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31127A"/>
    <w:rsid w:val="0D2D546D"/>
    <w:rsid w:val="1431127A"/>
    <w:rsid w:val="46226DA3"/>
    <w:rsid w:val="607C7A5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2018-01-12T05:26:00Z</dcterms:created>
  <dc:creator> 于江平</dc:creator>
  <cp:lastModifiedBy> 于江平</cp:lastModifiedBy>
  <dcterms:modified xsi:type="dcterms:W3CDTF">2018-01-12T07:52:08Z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