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0BF" w:rsidRDefault="008F40BF" w:rsidP="008F40BF">
      <w:pPr>
        <w:pStyle w:val="a3"/>
        <w:shd w:val="clear" w:color="auto" w:fill="FFFFFF"/>
        <w:spacing w:before="0" w:beforeAutospacing="0" w:after="450" w:afterAutospacing="0"/>
        <w:ind w:firstLine="480"/>
        <w:rPr>
          <w:color w:val="2B2B2B"/>
        </w:rPr>
      </w:pPr>
      <w:r>
        <w:rPr>
          <w:rFonts w:hint="eastAsia"/>
          <w:color w:val="2B2B2B"/>
        </w:rPr>
        <w:t>根据自治州财政局《关于做好2015年度部门决算公开工作的通知》有关规定，现将我单位2015年部门决算及“三公经费”信息公开如下。</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一、部门（单位）基本情况</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按照《自治州深化行政审批制度改革实施方案》（昌州党办[2013]33号）要求，2013年5月，自治州党委编办下发了《关于对州直政务服务和公共资源交易管理体制进行调整的通知》（昌州党机编发[2013]23号），按照“建设服务型政府，健全政务服务平台、整合政务服务资源；建立统一规范的交易平台，实行‘统一进场、管办分离、规则主导、全程监管’的运行机制，为交易主体各方提供公开、公平、公正的交易环境”的要求，将成立于2007年5月的昌吉州人民政府政务服务中心更名为昌吉州政务服务和公共资源交易管理局（以下简称：州政资局），将昌吉州工程建设交易中心、产权交易中心、政府采购中心和国土资源交易中心整体划入。单位性质为州人民政府管理的事业单位，处级建制。</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（一）主要职能</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合并后，以前单一的行政审批服务职能扩大为集行政审批、工程交易、政府采购、矿业权、产权交易等为一体的政务服务和公共资源交易管理局。负责对政府各部门进驻、委托事项办理的服务工作，负责大厅设施和场所服务的建设和管理；负责收集、存贮和发布各类政务服务信息；负责各类公共资源进场交易的服务工作；负责公共资源交易专业化的设施和场所服务的建设和管理；负责收集、存贮和发布各类公共资源交易信息，为公共资源交易活动提供政策、法规和技术咨询等相关服务；会同有关部门建设并管理公共资源交易信息库，保存交易过程相关资料。负责维护正常交易秩序，对发现的场内交易活动违法违规行为，及时向监管部门报告并协助调查。</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（二）内设机构</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内设办公室、政务服务科、工程建设交易服务科、政府采购交易服务科、矿业权及产权交易服务科、纪检监察室（派驻）和信息科7个科室。</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（三）人员编制</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1、州政资局2015年12月实有在编人数26人；编制人数30人：其中参公编制13名，事业编制17名。</w:t>
      </w:r>
      <w:r w:rsidR="00E87DC1">
        <w:rPr>
          <w:rFonts w:hint="eastAsia"/>
          <w:color w:val="2B2B2B"/>
        </w:rPr>
        <w:t>设车辆编制4辆，实有公务用车5辆。</w:t>
      </w:r>
    </w:p>
    <w:p w:rsidR="008F40BF" w:rsidRDefault="008F40BF" w:rsidP="008F40BF">
      <w:pPr>
        <w:pStyle w:val="a3"/>
        <w:shd w:val="clear" w:color="auto" w:fill="FFFFFF"/>
        <w:spacing w:before="0" w:beforeAutospacing="0" w:after="450" w:afterAutospacing="0"/>
        <w:ind w:firstLine="480"/>
        <w:rPr>
          <w:rFonts w:hint="eastAsia"/>
          <w:color w:val="2B2B2B"/>
        </w:rPr>
      </w:pPr>
      <w:r>
        <w:rPr>
          <w:rFonts w:hint="eastAsia"/>
          <w:color w:val="2B2B2B"/>
        </w:rPr>
        <w:t>2、在职人员构成情况：县处级正职2名，县处级副职2名。科级正职5名（其中：八级专业技术岗位2名），科级副职2名（其中：九级、十级专业技术</w:t>
      </w:r>
      <w:r>
        <w:rPr>
          <w:rFonts w:hint="eastAsia"/>
          <w:color w:val="2B2B2B"/>
        </w:rPr>
        <w:lastRenderedPageBreak/>
        <w:t>岗位各1名）。科员12名（其中：专业技术岗8名）办事员1名。工勤岗2名（参公1名，事业编制1名）。无离退休人员。</w:t>
      </w:r>
    </w:p>
    <w:p w:rsidR="001E6E6F" w:rsidRDefault="001E6E6F" w:rsidP="001E6E6F">
      <w:pPr>
        <w:pStyle w:val="a3"/>
        <w:shd w:val="clear" w:color="auto" w:fill="FFFFFF"/>
        <w:spacing w:before="0" w:beforeAutospacing="0" w:after="450" w:afterAutospacing="0"/>
        <w:ind w:firstLine="480"/>
        <w:rPr>
          <w:rFonts w:hint="eastAsia"/>
          <w:color w:val="2B2B2B"/>
        </w:rPr>
      </w:pPr>
      <w:r>
        <w:rPr>
          <w:rFonts w:hint="eastAsia"/>
          <w:color w:val="2B2B2B"/>
        </w:rPr>
        <w:t>从决算单位构成看，州政务服务和公共资源交易管理局部门决算包括：州政务服务和公共资源交易管理局部门本级决算、所属单位决算等。</w:t>
      </w:r>
    </w:p>
    <w:p w:rsidR="001E6E6F" w:rsidRDefault="001E6E6F" w:rsidP="001E6E6F">
      <w:pPr>
        <w:pStyle w:val="a3"/>
        <w:shd w:val="clear" w:color="auto" w:fill="FFFFFF"/>
        <w:spacing w:before="0" w:beforeAutospacing="0" w:after="450" w:afterAutospacing="0"/>
        <w:ind w:firstLine="480"/>
        <w:rPr>
          <w:rFonts w:hint="eastAsia"/>
          <w:color w:val="2B2B2B"/>
        </w:rPr>
      </w:pPr>
      <w:r>
        <w:rPr>
          <w:rFonts w:hint="eastAsia"/>
          <w:color w:val="2B2B2B"/>
        </w:rPr>
        <w:t>纳入州政务服务和公共资源交易管理局2015年部门决算编制范围的单位名单见下表：</w:t>
      </w:r>
    </w:p>
    <w:p w:rsidR="001E6E6F" w:rsidRDefault="001E6E6F" w:rsidP="001E6E6F">
      <w:pPr>
        <w:pStyle w:val="a3"/>
        <w:shd w:val="clear" w:color="auto" w:fill="FFFFFF"/>
        <w:spacing w:before="0" w:beforeAutospacing="0" w:after="450" w:afterAutospacing="0"/>
        <w:ind w:firstLine="480"/>
        <w:rPr>
          <w:rFonts w:hint="eastAsia"/>
          <w:color w:val="2B2B2B"/>
        </w:rPr>
      </w:pPr>
      <w:r>
        <w:rPr>
          <w:rFonts w:hint="eastAsia"/>
          <w:color w:val="2B2B2B"/>
        </w:rPr>
        <w:t>序号 单位名称 备注</w:t>
      </w:r>
    </w:p>
    <w:p w:rsidR="001E6E6F" w:rsidRDefault="001E6E6F" w:rsidP="001E6E6F">
      <w:pPr>
        <w:pStyle w:val="a3"/>
        <w:shd w:val="clear" w:color="auto" w:fill="FFFFFF"/>
        <w:spacing w:before="0" w:beforeAutospacing="0" w:after="450" w:afterAutospacing="0"/>
        <w:ind w:firstLine="480"/>
        <w:rPr>
          <w:rFonts w:hint="eastAsia"/>
          <w:color w:val="2B2B2B"/>
        </w:rPr>
      </w:pPr>
      <w:r>
        <w:rPr>
          <w:rFonts w:hint="eastAsia"/>
          <w:color w:val="2B2B2B"/>
        </w:rPr>
        <w:t>1 州政务服务和公共资源交易管理局单位</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2</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3</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第二部分 州</w:t>
      </w:r>
      <w:r w:rsidR="002F66ED">
        <w:rPr>
          <w:rFonts w:hint="eastAsia"/>
          <w:color w:val="2B2B2B"/>
        </w:rPr>
        <w:t>政务服务和公共资源交易管理局</w:t>
      </w:r>
      <w:r>
        <w:rPr>
          <w:rFonts w:hint="eastAsia"/>
          <w:color w:val="2B2B2B"/>
        </w:rPr>
        <w:t xml:space="preserve"> 2015年度部门决算报表(附下)</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一、收入支出决算总表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二、财政拨款收入支出决算总表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三、收入支出决算表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四、收入决算表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五、支出决算表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六、支出决算明细表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七、基本支出决算明细表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八、项目支出决算明细表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九、项目收入支出决算表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lastRenderedPageBreak/>
        <w:t>十、行政事业类项目收入支出决算表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十一、基本建设类项目收入支出决算表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十二、一般公共预算财政拨款收入支出决算表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十三、一般公共预算财政拨款支出决算明细表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十四、一般公共预算财政拨款基本支出决算明细表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十五、一般公共预算财政拨款项目支出决算明细表</w:t>
      </w:r>
    </w:p>
    <w:p w:rsidR="00CE1D31" w:rsidRDefault="00CE1D31" w:rsidP="00CE1D31">
      <w:pPr>
        <w:pStyle w:val="a3"/>
        <w:shd w:val="clear" w:color="auto" w:fill="FFFFFF"/>
        <w:spacing w:before="0" w:beforeAutospacing="0" w:after="450" w:afterAutospacing="0"/>
        <w:ind w:firstLine="480"/>
        <w:rPr>
          <w:rFonts w:hint="eastAsia"/>
          <w:color w:val="2B2B2B"/>
        </w:rPr>
      </w:pPr>
      <w:r>
        <w:rPr>
          <w:rFonts w:hint="eastAsia"/>
          <w:color w:val="2B2B2B"/>
        </w:rPr>
        <w:t>十六、政府性基金预算财政拨款收入支出决算表</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十七、政府性基金预算财政拨款支出决算明细表</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十八、政府性基金预算财政拨款基本支出决算明细表</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十九、政府性基金预算财政拨款项目支出决算明细表</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二十、财政专户管理资金收入支出决算表</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二十一、资产负债简表</w:t>
      </w:r>
    </w:p>
    <w:p w:rsidR="00CE1D31" w:rsidRPr="00CE1D31"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二十二、2015年度财政拨款“三公”经费支出表及说明</w:t>
      </w:r>
    </w:p>
    <w:p w:rsidR="00CE1D31" w:rsidRDefault="002F66ED" w:rsidP="001E6E6F">
      <w:pPr>
        <w:pStyle w:val="a3"/>
        <w:shd w:val="clear" w:color="auto" w:fill="FFFFFF"/>
        <w:spacing w:before="0" w:beforeAutospacing="0" w:after="450" w:afterAutospacing="0"/>
        <w:ind w:firstLine="480"/>
        <w:rPr>
          <w:rFonts w:hint="eastAsia"/>
          <w:color w:val="2B2B2B"/>
        </w:rPr>
      </w:pPr>
      <w:r>
        <w:rPr>
          <w:rFonts w:hint="eastAsia"/>
          <w:color w:val="2B2B2B"/>
        </w:rPr>
        <w:t>第三部分 州政务服务和公共资源交易管理部门（单位）2015年度部门决算情况说明</w:t>
      </w:r>
    </w:p>
    <w:p w:rsidR="002F66ED" w:rsidRDefault="002F66ED" w:rsidP="002F66ED">
      <w:pPr>
        <w:pStyle w:val="a3"/>
        <w:shd w:val="clear" w:color="auto" w:fill="FFFFFF"/>
        <w:spacing w:before="0" w:beforeAutospacing="0" w:after="450" w:afterAutospacing="0"/>
        <w:ind w:firstLine="480"/>
        <w:rPr>
          <w:rFonts w:hint="eastAsia"/>
          <w:color w:val="2B2B2B"/>
        </w:rPr>
      </w:pP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一、单位收支情况： 2015年收入956.58万元</w:t>
      </w:r>
      <w:r w:rsidR="001357FA">
        <w:rPr>
          <w:rFonts w:hint="eastAsia"/>
          <w:color w:val="2B2B2B"/>
        </w:rPr>
        <w:t>。</w:t>
      </w:r>
      <w:r>
        <w:rPr>
          <w:rFonts w:hint="eastAsia"/>
          <w:color w:val="2B2B2B"/>
        </w:rPr>
        <w:t>其中：财政拨款收入336.45万元，</w:t>
      </w:r>
      <w:r w:rsidR="007A2936">
        <w:rPr>
          <w:rFonts w:hint="eastAsia"/>
          <w:color w:val="2B2B2B"/>
        </w:rPr>
        <w:t>事业收入519.65万元，经营收入97.57万元，</w:t>
      </w:r>
      <w:r>
        <w:rPr>
          <w:rFonts w:hint="eastAsia"/>
          <w:color w:val="2B2B2B"/>
        </w:rPr>
        <w:t>其他收入</w:t>
      </w:r>
      <w:r w:rsidR="007A2936">
        <w:rPr>
          <w:rFonts w:hint="eastAsia"/>
          <w:color w:val="2B2B2B"/>
        </w:rPr>
        <w:t>2.90</w:t>
      </w:r>
      <w:r>
        <w:rPr>
          <w:rFonts w:hint="eastAsia"/>
          <w:color w:val="2B2B2B"/>
        </w:rPr>
        <w:t>万元。支出</w:t>
      </w:r>
      <w:r w:rsidR="003531F4">
        <w:rPr>
          <w:rFonts w:hint="eastAsia"/>
          <w:color w:val="2B2B2B"/>
        </w:rPr>
        <w:t>859.01</w:t>
      </w:r>
      <w:r>
        <w:rPr>
          <w:rFonts w:hint="eastAsia"/>
          <w:color w:val="2B2B2B"/>
        </w:rPr>
        <w:t>万元，其中：基本支出</w:t>
      </w:r>
      <w:r w:rsidR="003531F4">
        <w:rPr>
          <w:rFonts w:hint="eastAsia"/>
          <w:color w:val="2B2B2B"/>
        </w:rPr>
        <w:t>839.61</w:t>
      </w:r>
      <w:r>
        <w:rPr>
          <w:rFonts w:hint="eastAsia"/>
          <w:color w:val="2B2B2B"/>
        </w:rPr>
        <w:t>万元，项目支出</w:t>
      </w:r>
      <w:r w:rsidR="003531F4">
        <w:rPr>
          <w:rFonts w:hint="eastAsia"/>
          <w:color w:val="2B2B2B"/>
        </w:rPr>
        <w:t>19.4</w:t>
      </w:r>
      <w:r>
        <w:rPr>
          <w:rFonts w:hint="eastAsia"/>
          <w:color w:val="2B2B2B"/>
        </w:rPr>
        <w:t>万元，</w:t>
      </w:r>
      <w:r w:rsidR="00093D30">
        <w:rPr>
          <w:rFonts w:hint="eastAsia"/>
          <w:color w:val="2B2B2B"/>
        </w:rPr>
        <w:t>上年结余弥补支出97.57</w:t>
      </w:r>
      <w:r>
        <w:rPr>
          <w:rFonts w:hint="eastAsia"/>
          <w:color w:val="2B2B2B"/>
        </w:rPr>
        <w:t>万元。</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lastRenderedPageBreak/>
        <w:t>二、</w:t>
      </w:r>
      <w:r w:rsidR="00B36DAF">
        <w:rPr>
          <w:rFonts w:hint="eastAsia"/>
          <w:color w:val="2B2B2B"/>
        </w:rPr>
        <w:t>2015年收入956.58万元其中：财政拨款收入336.45万元，事业收入519.65万元，经营收入97.57万元，其他收入2.90万元。</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三、支出情况说明</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本年度支出总额为</w:t>
      </w:r>
      <w:r w:rsidR="00FF7C4A">
        <w:rPr>
          <w:rFonts w:hint="eastAsia"/>
          <w:color w:val="2B2B2B"/>
        </w:rPr>
        <w:t>859.01</w:t>
      </w:r>
      <w:r>
        <w:rPr>
          <w:rFonts w:hint="eastAsia"/>
          <w:color w:val="2B2B2B"/>
        </w:rPr>
        <w:t>万元，其中：</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1、基本支出</w:t>
      </w:r>
      <w:r w:rsidR="002D1EBF">
        <w:rPr>
          <w:rFonts w:hint="eastAsia"/>
          <w:color w:val="2B2B2B"/>
        </w:rPr>
        <w:t>839.61</w:t>
      </w:r>
      <w:r>
        <w:rPr>
          <w:rFonts w:hint="eastAsia"/>
          <w:color w:val="2B2B2B"/>
        </w:rPr>
        <w:t>万元。</w:t>
      </w:r>
    </w:p>
    <w:p w:rsidR="002F66ED" w:rsidRDefault="002F66ED" w:rsidP="002F66ED">
      <w:pPr>
        <w:pStyle w:val="a3"/>
        <w:shd w:val="clear" w:color="auto" w:fill="FFFFFF"/>
        <w:spacing w:before="0" w:beforeAutospacing="0" w:after="450" w:afterAutospacing="0"/>
        <w:ind w:firstLine="480"/>
        <w:rPr>
          <w:rFonts w:hint="eastAsia"/>
          <w:color w:val="2B2B2B"/>
        </w:rPr>
      </w:pPr>
      <w:r>
        <w:rPr>
          <w:rFonts w:hint="eastAsia"/>
          <w:color w:val="2B2B2B"/>
        </w:rPr>
        <w:t>2、项目支出</w:t>
      </w:r>
      <w:r w:rsidR="002D1EBF">
        <w:rPr>
          <w:rFonts w:hint="eastAsia"/>
          <w:color w:val="2B2B2B"/>
        </w:rPr>
        <w:t>19.4</w:t>
      </w:r>
      <w:r>
        <w:rPr>
          <w:rFonts w:hint="eastAsia"/>
          <w:color w:val="2B2B2B"/>
        </w:rPr>
        <w:t>万元，包括：</w:t>
      </w:r>
      <w:r w:rsidR="002D1EBF">
        <w:rPr>
          <w:rFonts w:hint="eastAsia"/>
          <w:color w:val="2B2B2B"/>
        </w:rPr>
        <w:t>公告费用</w:t>
      </w:r>
      <w:r>
        <w:rPr>
          <w:rFonts w:hint="eastAsia"/>
          <w:color w:val="2B2B2B"/>
        </w:rPr>
        <w:t>支出</w:t>
      </w:r>
      <w:r w:rsidR="002D1EBF">
        <w:rPr>
          <w:rFonts w:hint="eastAsia"/>
          <w:color w:val="2B2B2B"/>
        </w:rPr>
        <w:t>13</w:t>
      </w:r>
      <w:r>
        <w:rPr>
          <w:rFonts w:hint="eastAsia"/>
          <w:color w:val="2B2B2B"/>
        </w:rPr>
        <w:t>万元，2299901款其他支出</w:t>
      </w:r>
      <w:r w:rsidR="002D1EBF">
        <w:rPr>
          <w:rFonts w:hint="eastAsia"/>
          <w:color w:val="2B2B2B"/>
        </w:rPr>
        <w:t>6.4</w:t>
      </w:r>
      <w:r>
        <w:rPr>
          <w:rFonts w:hint="eastAsia"/>
          <w:color w:val="2B2B2B"/>
        </w:rPr>
        <w:t>万元；均为公共预算财政拨款支出。</w:t>
      </w:r>
    </w:p>
    <w:p w:rsidR="001357FA" w:rsidRDefault="001357FA" w:rsidP="001357FA">
      <w:pPr>
        <w:pStyle w:val="a3"/>
        <w:shd w:val="clear" w:color="auto" w:fill="FFFFFF"/>
        <w:spacing w:before="0" w:beforeAutospacing="0" w:after="450" w:afterAutospacing="0"/>
        <w:ind w:firstLine="480"/>
        <w:rPr>
          <w:rFonts w:hint="eastAsia"/>
          <w:color w:val="2B2B2B"/>
        </w:rPr>
      </w:pPr>
      <w:r>
        <w:rPr>
          <w:rFonts w:hint="eastAsia"/>
          <w:color w:val="2B2B2B"/>
        </w:rPr>
        <w:t>四、结转和结余情况说明</w:t>
      </w:r>
    </w:p>
    <w:p w:rsidR="008F40BF" w:rsidRDefault="008F40BF" w:rsidP="008F40BF">
      <w:pPr>
        <w:pStyle w:val="a3"/>
        <w:shd w:val="clear" w:color="auto" w:fill="FFFFFF"/>
        <w:spacing w:before="0" w:beforeAutospacing="0" w:after="450" w:afterAutospacing="0"/>
        <w:ind w:firstLine="480"/>
        <w:rPr>
          <w:rFonts w:hint="eastAsia"/>
          <w:color w:val="2B2B2B"/>
        </w:rPr>
      </w:pPr>
      <w:r w:rsidRPr="001357FA">
        <w:rPr>
          <w:rFonts w:hint="eastAsia"/>
          <w:color w:val="2B2B2B"/>
        </w:rPr>
        <w:t>2015年决算</w:t>
      </w:r>
      <w:r w:rsidR="001357FA">
        <w:rPr>
          <w:rFonts w:hint="eastAsia"/>
          <w:color w:val="2B2B2B"/>
        </w:rPr>
        <w:t>收入956.58万元，</w:t>
      </w:r>
      <w:r w:rsidRPr="001357FA">
        <w:rPr>
          <w:rFonts w:hint="eastAsia"/>
          <w:color w:val="2B2B2B"/>
        </w:rPr>
        <w:t>支出总额859万</w:t>
      </w:r>
      <w:r>
        <w:rPr>
          <w:rFonts w:hint="eastAsia"/>
          <w:color w:val="2B2B2B"/>
        </w:rPr>
        <w:t>元。年末产权交易</w:t>
      </w:r>
      <w:r w:rsidR="002F3C3B">
        <w:rPr>
          <w:rFonts w:hint="eastAsia"/>
          <w:color w:val="2B2B2B"/>
        </w:rPr>
        <w:t>上年</w:t>
      </w:r>
      <w:r w:rsidR="00391367">
        <w:rPr>
          <w:rFonts w:hint="eastAsia"/>
          <w:color w:val="2B2B2B"/>
        </w:rPr>
        <w:t>负</w:t>
      </w:r>
      <w:r>
        <w:rPr>
          <w:rFonts w:hint="eastAsia"/>
          <w:color w:val="2B2B2B"/>
        </w:rPr>
        <w:t>结余抵减97.57万元（系产权交易中心划转时遗留部分）</w:t>
      </w:r>
      <w:r w:rsidR="002F3C3B">
        <w:rPr>
          <w:rFonts w:hint="eastAsia"/>
          <w:color w:val="2B2B2B"/>
        </w:rPr>
        <w:t>，本年度无结余</w:t>
      </w:r>
      <w:r>
        <w:rPr>
          <w:rFonts w:hint="eastAsia"/>
          <w:color w:val="2B2B2B"/>
        </w:rPr>
        <w:t>。</w:t>
      </w:r>
    </w:p>
    <w:p w:rsidR="006C19AA" w:rsidRDefault="006C19AA" w:rsidP="006C19AA">
      <w:pPr>
        <w:pStyle w:val="a3"/>
        <w:shd w:val="clear" w:color="auto" w:fill="FFFFFF"/>
        <w:spacing w:before="0" w:beforeAutospacing="0" w:after="450" w:afterAutospacing="0"/>
        <w:ind w:firstLine="480"/>
        <w:rPr>
          <w:rFonts w:hint="eastAsia"/>
          <w:color w:val="2B2B2B"/>
        </w:rPr>
      </w:pPr>
      <w:r>
        <w:rPr>
          <w:rFonts w:hint="eastAsia"/>
          <w:color w:val="2B2B2B"/>
        </w:rPr>
        <w:t>五、 “三公”经费、会议费和培训费支出情况说明</w:t>
      </w:r>
    </w:p>
    <w:p w:rsidR="006C19AA" w:rsidRDefault="006C19AA" w:rsidP="006C19AA">
      <w:pPr>
        <w:pStyle w:val="a3"/>
        <w:shd w:val="clear" w:color="auto" w:fill="FFFFFF"/>
        <w:spacing w:before="0" w:beforeAutospacing="0" w:after="450" w:afterAutospacing="0"/>
        <w:ind w:firstLine="480"/>
        <w:rPr>
          <w:rFonts w:hint="eastAsia"/>
          <w:color w:val="2B2B2B"/>
        </w:rPr>
      </w:pPr>
      <w:r>
        <w:rPr>
          <w:rFonts w:hint="eastAsia"/>
          <w:color w:val="2B2B2B"/>
        </w:rPr>
        <w:t>“三公”经费支出情况：年度内无出国(境)支出；车辆运行费用支出</w:t>
      </w:r>
      <w:r w:rsidR="002311B8">
        <w:rPr>
          <w:rFonts w:hint="eastAsia"/>
          <w:color w:val="2B2B2B"/>
        </w:rPr>
        <w:t>9</w:t>
      </w:r>
      <w:r>
        <w:rPr>
          <w:rFonts w:hint="eastAsia"/>
          <w:color w:val="2B2B2B"/>
        </w:rPr>
        <w:t>万元，与上年支出</w:t>
      </w:r>
      <w:r w:rsidR="002311B8">
        <w:rPr>
          <w:rFonts w:hint="eastAsia"/>
          <w:color w:val="2B2B2B"/>
        </w:rPr>
        <w:t>9.49</w:t>
      </w:r>
      <w:r>
        <w:rPr>
          <w:rFonts w:hint="eastAsia"/>
          <w:color w:val="2B2B2B"/>
        </w:rPr>
        <w:t>万元相比，上升了</w:t>
      </w:r>
      <w:r w:rsidR="002311B8">
        <w:rPr>
          <w:rFonts w:hint="eastAsia"/>
          <w:color w:val="2B2B2B"/>
        </w:rPr>
        <w:t>5.18</w:t>
      </w:r>
      <w:r>
        <w:rPr>
          <w:rFonts w:hint="eastAsia"/>
          <w:color w:val="2B2B2B"/>
        </w:rPr>
        <w:t>%，增长原因：车辆老化。公务接待费支出</w:t>
      </w:r>
      <w:r w:rsidR="002311B8">
        <w:rPr>
          <w:rFonts w:hint="eastAsia"/>
          <w:color w:val="2B2B2B"/>
        </w:rPr>
        <w:t>0.4</w:t>
      </w:r>
      <w:r>
        <w:rPr>
          <w:rFonts w:hint="eastAsia"/>
          <w:color w:val="2B2B2B"/>
        </w:rPr>
        <w:t>万元，与上年支出</w:t>
      </w:r>
      <w:r w:rsidR="002311B8">
        <w:rPr>
          <w:rFonts w:hint="eastAsia"/>
          <w:color w:val="2B2B2B"/>
        </w:rPr>
        <w:t>0.64</w:t>
      </w:r>
      <w:r>
        <w:rPr>
          <w:rFonts w:hint="eastAsia"/>
          <w:color w:val="2B2B2B"/>
        </w:rPr>
        <w:t>万元相比，下降了</w:t>
      </w:r>
      <w:r w:rsidR="002311B8">
        <w:rPr>
          <w:rFonts w:hint="eastAsia"/>
          <w:color w:val="2B2B2B"/>
        </w:rPr>
        <w:t>37.5</w:t>
      </w:r>
      <w:r>
        <w:rPr>
          <w:rFonts w:hint="eastAsia"/>
          <w:color w:val="2B2B2B"/>
        </w:rPr>
        <w:t>%。本年度培训费支出</w:t>
      </w:r>
      <w:r w:rsidR="002311B8">
        <w:rPr>
          <w:rFonts w:hint="eastAsia"/>
          <w:color w:val="2B2B2B"/>
        </w:rPr>
        <w:t>0</w:t>
      </w:r>
      <w:r>
        <w:rPr>
          <w:rFonts w:hint="eastAsia"/>
          <w:color w:val="2B2B2B"/>
        </w:rPr>
        <w:t>万元与上年0.</w:t>
      </w:r>
      <w:r w:rsidR="002311B8">
        <w:rPr>
          <w:rFonts w:hint="eastAsia"/>
          <w:color w:val="2B2B2B"/>
        </w:rPr>
        <w:t>96</w:t>
      </w:r>
      <w:r>
        <w:rPr>
          <w:rFonts w:hint="eastAsia"/>
          <w:color w:val="2B2B2B"/>
        </w:rPr>
        <w:t>万元</w:t>
      </w:r>
      <w:r w:rsidR="00157A63">
        <w:rPr>
          <w:rFonts w:hint="eastAsia"/>
          <w:color w:val="2B2B2B"/>
        </w:rPr>
        <w:t>相比</w:t>
      </w:r>
      <w:r>
        <w:rPr>
          <w:rFonts w:hint="eastAsia"/>
          <w:color w:val="2B2B2B"/>
        </w:rPr>
        <w:t>下降了10</w:t>
      </w:r>
      <w:r w:rsidR="002311B8">
        <w:rPr>
          <w:rFonts w:hint="eastAsia"/>
          <w:color w:val="2B2B2B"/>
        </w:rPr>
        <w:t>0</w:t>
      </w:r>
      <w:r>
        <w:rPr>
          <w:rFonts w:hint="eastAsia"/>
          <w:color w:val="2B2B2B"/>
        </w:rPr>
        <w:t>%。</w:t>
      </w:r>
      <w:r w:rsidR="00157A63">
        <w:rPr>
          <w:rFonts w:hint="eastAsia"/>
          <w:color w:val="2B2B2B"/>
        </w:rPr>
        <w:t>下降原因，压缩经费支出。</w:t>
      </w:r>
    </w:p>
    <w:p w:rsidR="006C19AA" w:rsidRDefault="006C19AA" w:rsidP="006C19AA">
      <w:pPr>
        <w:pStyle w:val="a3"/>
        <w:shd w:val="clear" w:color="auto" w:fill="FFFFFF"/>
        <w:spacing w:before="0" w:beforeAutospacing="0" w:after="450" w:afterAutospacing="0"/>
        <w:ind w:firstLine="480"/>
        <w:rPr>
          <w:rFonts w:hint="eastAsia"/>
          <w:color w:val="2B2B2B"/>
        </w:rPr>
      </w:pPr>
      <w:r>
        <w:rPr>
          <w:rFonts w:hint="eastAsia"/>
          <w:color w:val="2B2B2B"/>
        </w:rPr>
        <w:t>六、预算执行情况分析说明。</w:t>
      </w:r>
    </w:p>
    <w:p w:rsidR="00111F07" w:rsidRDefault="00111F07" w:rsidP="00111F07">
      <w:pPr>
        <w:pStyle w:val="a3"/>
        <w:shd w:val="clear" w:color="auto" w:fill="FFFFFF"/>
        <w:spacing w:before="0" w:beforeAutospacing="0" w:after="450" w:afterAutospacing="0"/>
        <w:ind w:firstLine="480"/>
        <w:rPr>
          <w:color w:val="2B2B2B"/>
        </w:rPr>
      </w:pPr>
      <w:r>
        <w:rPr>
          <w:rFonts w:hint="eastAsia"/>
          <w:color w:val="2B2B2B"/>
        </w:rPr>
        <w:t>六、部门（单位）预算执行情况分析说明</w:t>
      </w:r>
    </w:p>
    <w:p w:rsidR="00111F07" w:rsidRDefault="00111F07" w:rsidP="00111F07">
      <w:pPr>
        <w:pStyle w:val="a3"/>
        <w:shd w:val="clear" w:color="auto" w:fill="FFFFFF"/>
        <w:spacing w:before="0" w:beforeAutospacing="0" w:after="450" w:afterAutospacing="0"/>
        <w:ind w:firstLine="480"/>
        <w:rPr>
          <w:rFonts w:hint="eastAsia"/>
          <w:color w:val="2B2B2B"/>
        </w:rPr>
      </w:pPr>
      <w:r>
        <w:rPr>
          <w:rFonts w:hint="eastAsia"/>
          <w:color w:val="2B2B2B"/>
        </w:rPr>
        <w:t>（一）2014年度年初预算数295万元，2015年度年初预算数262.85万元，减少32.15</w:t>
      </w:r>
      <w:r w:rsidR="00917886">
        <w:rPr>
          <w:rFonts w:hint="eastAsia"/>
          <w:color w:val="2B2B2B"/>
        </w:rPr>
        <w:t>万元。分析原因，压缩经费</w:t>
      </w:r>
      <w:r>
        <w:rPr>
          <w:rFonts w:hint="eastAsia"/>
          <w:color w:val="2B2B2B"/>
        </w:rPr>
        <w:t>。</w:t>
      </w:r>
    </w:p>
    <w:p w:rsidR="00111F07" w:rsidRDefault="00111F07" w:rsidP="00111F07">
      <w:pPr>
        <w:pStyle w:val="a3"/>
        <w:shd w:val="clear" w:color="auto" w:fill="FFFFFF"/>
        <w:spacing w:before="0" w:beforeAutospacing="0" w:after="450" w:afterAutospacing="0"/>
        <w:ind w:firstLine="480"/>
        <w:rPr>
          <w:rFonts w:hint="eastAsia"/>
          <w:color w:val="2B2B2B"/>
        </w:rPr>
      </w:pPr>
      <w:r>
        <w:rPr>
          <w:rFonts w:hint="eastAsia"/>
          <w:color w:val="2B2B2B"/>
        </w:rPr>
        <w:t>（二）</w:t>
      </w:r>
      <w:r w:rsidR="00705B7C">
        <w:rPr>
          <w:rFonts w:hint="eastAsia"/>
          <w:color w:val="2B2B2B"/>
        </w:rPr>
        <w:t>2</w:t>
      </w:r>
      <w:r>
        <w:rPr>
          <w:rFonts w:hint="eastAsia"/>
          <w:color w:val="2B2B2B"/>
        </w:rPr>
        <w:t>014年度全年</w:t>
      </w:r>
      <w:r w:rsidR="00705B7C">
        <w:rPr>
          <w:rFonts w:hint="eastAsia"/>
          <w:color w:val="2B2B2B"/>
        </w:rPr>
        <w:t>决算</w:t>
      </w:r>
      <w:r>
        <w:rPr>
          <w:rFonts w:hint="eastAsia"/>
          <w:color w:val="2B2B2B"/>
        </w:rPr>
        <w:t>收入</w:t>
      </w:r>
      <w:r w:rsidR="00705B7C">
        <w:rPr>
          <w:rFonts w:hint="eastAsia"/>
          <w:color w:val="2B2B2B"/>
        </w:rPr>
        <w:t>784.57</w:t>
      </w:r>
      <w:r>
        <w:rPr>
          <w:rFonts w:hint="eastAsia"/>
          <w:color w:val="2B2B2B"/>
        </w:rPr>
        <w:t>万元，2015年度全年收入</w:t>
      </w:r>
      <w:r w:rsidR="00705B7C">
        <w:rPr>
          <w:rFonts w:hint="eastAsia"/>
          <w:color w:val="2B2B2B"/>
        </w:rPr>
        <w:t>336.45</w:t>
      </w:r>
      <w:r>
        <w:rPr>
          <w:rFonts w:hint="eastAsia"/>
          <w:color w:val="2B2B2B"/>
        </w:rPr>
        <w:t>元，</w:t>
      </w:r>
      <w:r w:rsidR="00705B7C">
        <w:rPr>
          <w:rFonts w:hint="eastAsia"/>
          <w:color w:val="2B2B2B"/>
        </w:rPr>
        <w:t>减少448.12</w:t>
      </w:r>
      <w:r>
        <w:rPr>
          <w:rFonts w:hint="eastAsia"/>
          <w:color w:val="2B2B2B"/>
        </w:rPr>
        <w:t>万元，分析原因：</w:t>
      </w:r>
      <w:r w:rsidR="00705B7C">
        <w:rPr>
          <w:rFonts w:hint="eastAsia"/>
          <w:color w:val="2B2B2B"/>
        </w:rPr>
        <w:t>2014年单位组建，财政拨开办费用</w:t>
      </w:r>
      <w:r>
        <w:rPr>
          <w:rFonts w:hint="eastAsia"/>
          <w:color w:val="2B2B2B"/>
        </w:rPr>
        <w:t>。</w:t>
      </w:r>
    </w:p>
    <w:p w:rsidR="00111F07" w:rsidRDefault="00111F07" w:rsidP="00111F07">
      <w:pPr>
        <w:pStyle w:val="a3"/>
        <w:shd w:val="clear" w:color="auto" w:fill="FFFFFF"/>
        <w:spacing w:before="0" w:beforeAutospacing="0" w:after="450" w:afterAutospacing="0"/>
        <w:ind w:firstLine="480"/>
        <w:rPr>
          <w:rFonts w:hint="eastAsia"/>
          <w:color w:val="2B2B2B"/>
        </w:rPr>
      </w:pPr>
      <w:r>
        <w:rPr>
          <w:rFonts w:hint="eastAsia"/>
          <w:color w:val="2B2B2B"/>
        </w:rPr>
        <w:t>（三）收入支出结构分析</w:t>
      </w:r>
    </w:p>
    <w:p w:rsidR="00111F07" w:rsidRDefault="00111F07" w:rsidP="00111F07">
      <w:pPr>
        <w:pStyle w:val="a3"/>
        <w:shd w:val="clear" w:color="auto" w:fill="FFFFFF"/>
        <w:spacing w:before="0" w:beforeAutospacing="0" w:after="450" w:afterAutospacing="0"/>
        <w:ind w:firstLine="480"/>
        <w:rPr>
          <w:rFonts w:hint="eastAsia"/>
          <w:color w:val="2B2B2B"/>
        </w:rPr>
      </w:pPr>
      <w:r>
        <w:rPr>
          <w:rFonts w:hint="eastAsia"/>
          <w:color w:val="2B2B2B"/>
        </w:rPr>
        <w:lastRenderedPageBreak/>
        <w:t>1、201 5年度经费收支情况：财政拨款收入</w:t>
      </w:r>
      <w:r w:rsidR="00705B7C">
        <w:rPr>
          <w:rFonts w:hint="eastAsia"/>
          <w:color w:val="2B2B2B"/>
        </w:rPr>
        <w:t>336.45</w:t>
      </w:r>
      <w:r>
        <w:rPr>
          <w:rFonts w:hint="eastAsia"/>
          <w:color w:val="2B2B2B"/>
        </w:rPr>
        <w:t>万元，</w:t>
      </w:r>
      <w:r w:rsidR="00705B7C">
        <w:rPr>
          <w:rFonts w:hint="eastAsia"/>
          <w:color w:val="2B2B2B"/>
        </w:rPr>
        <w:t>事业收入519.65万元，经营收入97.57万元，</w:t>
      </w:r>
      <w:r>
        <w:rPr>
          <w:rFonts w:hint="eastAsia"/>
          <w:color w:val="2B2B2B"/>
        </w:rPr>
        <w:t xml:space="preserve">其他收入 </w:t>
      </w:r>
      <w:r w:rsidR="00705B7C">
        <w:rPr>
          <w:rFonts w:hint="eastAsia"/>
          <w:color w:val="2B2B2B"/>
        </w:rPr>
        <w:t>2.9</w:t>
      </w:r>
      <w:r>
        <w:rPr>
          <w:rFonts w:hint="eastAsia"/>
          <w:color w:val="2B2B2B"/>
        </w:rPr>
        <w:t>万元，合计：</w:t>
      </w:r>
      <w:r w:rsidR="00705B7C">
        <w:rPr>
          <w:rFonts w:hint="eastAsia"/>
          <w:color w:val="2B2B2B"/>
        </w:rPr>
        <w:t>956.58</w:t>
      </w:r>
      <w:r>
        <w:rPr>
          <w:rFonts w:hint="eastAsia"/>
          <w:color w:val="2B2B2B"/>
        </w:rPr>
        <w:t>万元。财政拨款占总收入</w:t>
      </w:r>
      <w:r w:rsidR="00705B7C">
        <w:rPr>
          <w:rFonts w:hint="eastAsia"/>
          <w:color w:val="2B2B2B"/>
        </w:rPr>
        <w:t>35.17</w:t>
      </w:r>
      <w:r>
        <w:rPr>
          <w:rFonts w:hint="eastAsia"/>
          <w:color w:val="2B2B2B"/>
        </w:rPr>
        <w:t>%。</w:t>
      </w:r>
    </w:p>
    <w:p w:rsidR="00111F07" w:rsidRDefault="00111F07" w:rsidP="00111F07">
      <w:pPr>
        <w:pStyle w:val="a3"/>
        <w:shd w:val="clear" w:color="auto" w:fill="FFFFFF"/>
        <w:spacing w:before="0" w:beforeAutospacing="0" w:after="450" w:afterAutospacing="0"/>
        <w:ind w:firstLine="480"/>
        <w:rPr>
          <w:rFonts w:hint="eastAsia"/>
          <w:color w:val="2B2B2B"/>
        </w:rPr>
      </w:pPr>
      <w:r>
        <w:rPr>
          <w:rFonts w:hint="eastAsia"/>
          <w:color w:val="2B2B2B"/>
        </w:rPr>
        <w:t>其中：基本支出收入</w:t>
      </w:r>
      <w:r w:rsidR="00705B7C">
        <w:rPr>
          <w:rFonts w:hint="eastAsia"/>
          <w:color w:val="2B2B2B"/>
        </w:rPr>
        <w:t>249.85</w:t>
      </w:r>
      <w:r>
        <w:rPr>
          <w:rFonts w:hint="eastAsia"/>
          <w:color w:val="2B2B2B"/>
        </w:rPr>
        <w:t>万元，占总收入</w:t>
      </w:r>
      <w:r w:rsidR="00705B7C">
        <w:rPr>
          <w:rFonts w:hint="eastAsia"/>
          <w:color w:val="2B2B2B"/>
        </w:rPr>
        <w:t>26.12</w:t>
      </w:r>
      <w:r>
        <w:rPr>
          <w:rFonts w:hint="eastAsia"/>
          <w:color w:val="2B2B2B"/>
        </w:rPr>
        <w:t>%，行政事业类项目收入</w:t>
      </w:r>
      <w:r w:rsidR="00705B7C">
        <w:rPr>
          <w:rFonts w:hint="eastAsia"/>
          <w:color w:val="2B2B2B"/>
        </w:rPr>
        <w:t>13</w:t>
      </w:r>
      <w:r>
        <w:rPr>
          <w:rFonts w:hint="eastAsia"/>
          <w:color w:val="2B2B2B"/>
        </w:rPr>
        <w:t>万元，占总收入</w:t>
      </w:r>
      <w:r w:rsidR="00705B7C">
        <w:rPr>
          <w:rFonts w:hint="eastAsia"/>
          <w:color w:val="2B2B2B"/>
        </w:rPr>
        <w:t>1.36</w:t>
      </w:r>
      <w:r>
        <w:rPr>
          <w:rFonts w:hint="eastAsia"/>
          <w:color w:val="2B2B2B"/>
        </w:rPr>
        <w:t>%。</w:t>
      </w:r>
    </w:p>
    <w:p w:rsidR="00111F07" w:rsidRDefault="00111F07" w:rsidP="00111F07">
      <w:pPr>
        <w:pStyle w:val="a3"/>
        <w:shd w:val="clear" w:color="auto" w:fill="FFFFFF"/>
        <w:spacing w:before="0" w:beforeAutospacing="0" w:after="450" w:afterAutospacing="0"/>
        <w:ind w:firstLine="480"/>
        <w:rPr>
          <w:rFonts w:hint="eastAsia"/>
          <w:color w:val="2B2B2B"/>
        </w:rPr>
      </w:pPr>
      <w:r>
        <w:rPr>
          <w:rFonts w:hint="eastAsia"/>
          <w:color w:val="2B2B2B"/>
        </w:rPr>
        <w:t>七、其他重要事项的情况说明</w:t>
      </w:r>
    </w:p>
    <w:p w:rsidR="00111F07" w:rsidRDefault="00111F07" w:rsidP="00111F07">
      <w:pPr>
        <w:pStyle w:val="a3"/>
        <w:shd w:val="clear" w:color="auto" w:fill="FFFFFF"/>
        <w:spacing w:before="0" w:beforeAutospacing="0" w:after="450" w:afterAutospacing="0"/>
        <w:ind w:firstLine="480"/>
        <w:rPr>
          <w:rFonts w:hint="eastAsia"/>
          <w:color w:val="2B2B2B"/>
        </w:rPr>
      </w:pPr>
      <w:r>
        <w:rPr>
          <w:rFonts w:hint="eastAsia"/>
          <w:color w:val="2B2B2B"/>
        </w:rPr>
        <w:t>1、资产负债情况分析</w:t>
      </w:r>
    </w:p>
    <w:p w:rsidR="00111F07" w:rsidRDefault="00111F07" w:rsidP="00111F07">
      <w:pPr>
        <w:pStyle w:val="a3"/>
        <w:shd w:val="clear" w:color="auto" w:fill="FFFFFF"/>
        <w:spacing w:before="0" w:beforeAutospacing="0" w:after="450" w:afterAutospacing="0"/>
        <w:ind w:firstLine="480"/>
        <w:rPr>
          <w:rFonts w:hint="eastAsia"/>
          <w:color w:val="2B2B2B"/>
        </w:rPr>
      </w:pPr>
      <w:r>
        <w:rPr>
          <w:rFonts w:hint="eastAsia"/>
          <w:color w:val="2B2B2B"/>
        </w:rPr>
        <w:t>2014年资产负债率</w:t>
      </w:r>
      <w:r w:rsidR="00705B7C">
        <w:rPr>
          <w:rFonts w:hint="eastAsia"/>
          <w:color w:val="2B2B2B"/>
        </w:rPr>
        <w:t>24.53</w:t>
      </w:r>
      <w:r>
        <w:rPr>
          <w:rFonts w:hint="eastAsia"/>
          <w:color w:val="2B2B2B"/>
        </w:rPr>
        <w:t>%，2015年度资产负债率</w:t>
      </w:r>
      <w:r w:rsidR="00705B7C">
        <w:rPr>
          <w:rFonts w:hint="eastAsia"/>
          <w:color w:val="2B2B2B"/>
        </w:rPr>
        <w:t>35.19</w:t>
      </w:r>
      <w:r>
        <w:rPr>
          <w:rFonts w:hint="eastAsia"/>
          <w:color w:val="2B2B2B"/>
        </w:rPr>
        <w:t>%，</w:t>
      </w:r>
      <w:r w:rsidR="00705B7C">
        <w:rPr>
          <w:rFonts w:hint="eastAsia"/>
          <w:color w:val="2B2B2B"/>
        </w:rPr>
        <w:t>资产负债率有所上升</w:t>
      </w:r>
      <w:r>
        <w:rPr>
          <w:rFonts w:hint="eastAsia"/>
          <w:color w:val="2B2B2B"/>
        </w:rPr>
        <w:t>，</w:t>
      </w:r>
      <w:r w:rsidR="00705B7C">
        <w:rPr>
          <w:rFonts w:hint="eastAsia"/>
          <w:color w:val="2B2B2B"/>
        </w:rPr>
        <w:t>为提高</w:t>
      </w:r>
      <w:r>
        <w:rPr>
          <w:rFonts w:hint="eastAsia"/>
          <w:color w:val="2B2B2B"/>
        </w:rPr>
        <w:t>资产</w:t>
      </w:r>
      <w:r w:rsidR="00705B7C">
        <w:rPr>
          <w:rFonts w:hint="eastAsia"/>
          <w:color w:val="2B2B2B"/>
        </w:rPr>
        <w:t>管理效益，今后强大负债清理力度，尽快清政府采购退保证金，降低资产负债率。</w:t>
      </w:r>
    </w:p>
    <w:p w:rsidR="00111F07" w:rsidRDefault="00111F07" w:rsidP="006C19AA">
      <w:pPr>
        <w:pStyle w:val="a3"/>
        <w:shd w:val="clear" w:color="auto" w:fill="FFFFFF"/>
        <w:spacing w:before="0" w:beforeAutospacing="0" w:after="450" w:afterAutospacing="0"/>
        <w:ind w:firstLine="480"/>
        <w:rPr>
          <w:rFonts w:hint="eastAsia"/>
          <w:color w:val="2B2B2B"/>
        </w:rPr>
      </w:pPr>
    </w:p>
    <w:p w:rsidR="009F3CF9" w:rsidRDefault="009F3CF9" w:rsidP="006C19AA">
      <w:pPr>
        <w:pStyle w:val="a3"/>
        <w:shd w:val="clear" w:color="auto" w:fill="FFFFFF"/>
        <w:spacing w:before="0" w:beforeAutospacing="0" w:after="450" w:afterAutospacing="0"/>
        <w:ind w:firstLine="480"/>
        <w:rPr>
          <w:rFonts w:hint="eastAsia"/>
          <w:color w:val="2B2B2B"/>
        </w:rPr>
      </w:pPr>
    </w:p>
    <w:p w:rsidR="009F3CF9" w:rsidRDefault="009F3CF9" w:rsidP="006C19AA">
      <w:pPr>
        <w:pStyle w:val="a3"/>
        <w:shd w:val="clear" w:color="auto" w:fill="FFFFFF"/>
        <w:spacing w:before="0" w:beforeAutospacing="0" w:after="450" w:afterAutospacing="0"/>
        <w:ind w:firstLine="480"/>
        <w:rPr>
          <w:rFonts w:hint="eastAsia"/>
          <w:color w:val="2B2B2B"/>
        </w:rPr>
      </w:pPr>
    </w:p>
    <w:p w:rsidR="009F3CF9" w:rsidRPr="00111F07" w:rsidRDefault="009F3CF9" w:rsidP="006C19AA">
      <w:pPr>
        <w:pStyle w:val="a3"/>
        <w:shd w:val="clear" w:color="auto" w:fill="FFFFFF"/>
        <w:spacing w:before="0" w:beforeAutospacing="0" w:after="450" w:afterAutospacing="0"/>
        <w:ind w:firstLine="480"/>
        <w:rPr>
          <w:rFonts w:hint="eastAsia"/>
          <w:color w:val="2B2B2B"/>
        </w:rPr>
      </w:pPr>
      <w:r>
        <w:rPr>
          <w:rFonts w:hint="eastAsia"/>
          <w:color w:val="2B2B2B"/>
        </w:rPr>
        <w:t xml:space="preserve">                       州政务服务和公共资源交易管理局</w:t>
      </w:r>
    </w:p>
    <w:sectPr w:rsidR="009F3CF9" w:rsidRPr="00111F07" w:rsidSect="005950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40BF"/>
    <w:rsid w:val="00050F77"/>
    <w:rsid w:val="00093D30"/>
    <w:rsid w:val="00111F07"/>
    <w:rsid w:val="001357FA"/>
    <w:rsid w:val="00157A63"/>
    <w:rsid w:val="001E6E6F"/>
    <w:rsid w:val="002311B8"/>
    <w:rsid w:val="002D1EBF"/>
    <w:rsid w:val="002F3C3B"/>
    <w:rsid w:val="002F66ED"/>
    <w:rsid w:val="003531F4"/>
    <w:rsid w:val="00391367"/>
    <w:rsid w:val="00595084"/>
    <w:rsid w:val="006C19AA"/>
    <w:rsid w:val="00705B7C"/>
    <w:rsid w:val="007A2936"/>
    <w:rsid w:val="00836356"/>
    <w:rsid w:val="008F40BF"/>
    <w:rsid w:val="00917886"/>
    <w:rsid w:val="0097527F"/>
    <w:rsid w:val="009E0799"/>
    <w:rsid w:val="009F3CF9"/>
    <w:rsid w:val="00AC490E"/>
    <w:rsid w:val="00B36DAF"/>
    <w:rsid w:val="00CE1D31"/>
    <w:rsid w:val="00E41293"/>
    <w:rsid w:val="00E87DC1"/>
    <w:rsid w:val="00FF7C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0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F40B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C19AA"/>
    <w:rPr>
      <w:color w:val="0000FF"/>
      <w:u w:val="single"/>
    </w:rPr>
  </w:style>
</w:styles>
</file>

<file path=word/webSettings.xml><?xml version="1.0" encoding="utf-8"?>
<w:webSettings xmlns:r="http://schemas.openxmlformats.org/officeDocument/2006/relationships" xmlns:w="http://schemas.openxmlformats.org/wordprocessingml/2006/main">
  <w:divs>
    <w:div w:id="391200542">
      <w:bodyDiv w:val="1"/>
      <w:marLeft w:val="0"/>
      <w:marRight w:val="0"/>
      <w:marTop w:val="0"/>
      <w:marBottom w:val="0"/>
      <w:divBdr>
        <w:top w:val="none" w:sz="0" w:space="0" w:color="auto"/>
        <w:left w:val="none" w:sz="0" w:space="0" w:color="auto"/>
        <w:bottom w:val="none" w:sz="0" w:space="0" w:color="auto"/>
        <w:right w:val="none" w:sz="0" w:space="0" w:color="auto"/>
      </w:divBdr>
    </w:div>
    <w:div w:id="761802522">
      <w:bodyDiv w:val="1"/>
      <w:marLeft w:val="0"/>
      <w:marRight w:val="0"/>
      <w:marTop w:val="0"/>
      <w:marBottom w:val="0"/>
      <w:divBdr>
        <w:top w:val="none" w:sz="0" w:space="0" w:color="auto"/>
        <w:left w:val="none" w:sz="0" w:space="0" w:color="auto"/>
        <w:bottom w:val="none" w:sz="0" w:space="0" w:color="auto"/>
        <w:right w:val="none" w:sz="0" w:space="0" w:color="auto"/>
      </w:divBdr>
    </w:div>
    <w:div w:id="1525362691">
      <w:bodyDiv w:val="1"/>
      <w:marLeft w:val="0"/>
      <w:marRight w:val="0"/>
      <w:marTop w:val="0"/>
      <w:marBottom w:val="0"/>
      <w:divBdr>
        <w:top w:val="none" w:sz="0" w:space="0" w:color="auto"/>
        <w:left w:val="none" w:sz="0" w:space="0" w:color="auto"/>
        <w:bottom w:val="none" w:sz="0" w:space="0" w:color="auto"/>
        <w:right w:val="none" w:sz="0" w:space="0" w:color="auto"/>
      </w:divBdr>
    </w:div>
    <w:div w:id="2065130313">
      <w:bodyDiv w:val="1"/>
      <w:marLeft w:val="0"/>
      <w:marRight w:val="0"/>
      <w:marTop w:val="0"/>
      <w:marBottom w:val="0"/>
      <w:divBdr>
        <w:top w:val="none" w:sz="0" w:space="0" w:color="auto"/>
        <w:left w:val="none" w:sz="0" w:space="0" w:color="auto"/>
        <w:bottom w:val="none" w:sz="0" w:space="0" w:color="auto"/>
        <w:right w:val="none" w:sz="0" w:space="0" w:color="auto"/>
      </w:divBdr>
      <w:divsChild>
        <w:div w:id="1599679339">
          <w:marLeft w:val="0"/>
          <w:marRight w:val="0"/>
          <w:marTop w:val="0"/>
          <w:marBottom w:val="0"/>
          <w:divBdr>
            <w:top w:val="none" w:sz="0" w:space="0" w:color="auto"/>
            <w:left w:val="none" w:sz="0" w:space="0" w:color="auto"/>
            <w:bottom w:val="none" w:sz="0" w:space="0" w:color="auto"/>
            <w:right w:val="none" w:sz="0" w:space="0" w:color="auto"/>
          </w:divBdr>
          <w:divsChild>
            <w:div w:id="633679154">
              <w:marLeft w:val="0"/>
              <w:marRight w:val="0"/>
              <w:marTop w:val="0"/>
              <w:marBottom w:val="0"/>
              <w:divBdr>
                <w:top w:val="none" w:sz="0" w:space="0" w:color="auto"/>
                <w:left w:val="none" w:sz="0" w:space="0" w:color="auto"/>
                <w:bottom w:val="none" w:sz="0" w:space="0" w:color="auto"/>
                <w:right w:val="none" w:sz="0" w:space="0" w:color="auto"/>
              </w:divBdr>
              <w:divsChild>
                <w:div w:id="1456291862">
                  <w:marLeft w:val="0"/>
                  <w:marRight w:val="0"/>
                  <w:marTop w:val="0"/>
                  <w:marBottom w:val="0"/>
                  <w:divBdr>
                    <w:top w:val="none" w:sz="0" w:space="0" w:color="auto"/>
                    <w:left w:val="none" w:sz="0" w:space="0" w:color="auto"/>
                    <w:bottom w:val="none" w:sz="0" w:space="0" w:color="auto"/>
                    <w:right w:val="none" w:sz="0" w:space="0" w:color="auto"/>
                  </w:divBdr>
                  <w:divsChild>
                    <w:div w:id="1803501857">
                      <w:marLeft w:val="0"/>
                      <w:marRight w:val="0"/>
                      <w:marTop w:val="0"/>
                      <w:marBottom w:val="0"/>
                      <w:divBdr>
                        <w:top w:val="none" w:sz="0" w:space="0" w:color="auto"/>
                        <w:left w:val="none" w:sz="0" w:space="0" w:color="auto"/>
                        <w:bottom w:val="none" w:sz="0" w:space="0" w:color="auto"/>
                        <w:right w:val="none" w:sz="0" w:space="0" w:color="auto"/>
                      </w:divBdr>
                    </w:div>
                    <w:div w:id="1075316746">
                      <w:marLeft w:val="0"/>
                      <w:marRight w:val="0"/>
                      <w:marTop w:val="0"/>
                      <w:marBottom w:val="0"/>
                      <w:divBdr>
                        <w:top w:val="none" w:sz="0" w:space="0" w:color="auto"/>
                        <w:left w:val="none" w:sz="0" w:space="0" w:color="auto"/>
                        <w:bottom w:val="none" w:sz="0" w:space="0" w:color="auto"/>
                        <w:right w:val="none" w:sz="0" w:space="0" w:color="auto"/>
                      </w:divBdr>
                    </w:div>
                    <w:div w:id="41296619">
                      <w:marLeft w:val="0"/>
                      <w:marRight w:val="0"/>
                      <w:marTop w:val="0"/>
                      <w:marBottom w:val="0"/>
                      <w:divBdr>
                        <w:top w:val="none" w:sz="0" w:space="0" w:color="auto"/>
                        <w:left w:val="none" w:sz="0" w:space="0" w:color="auto"/>
                        <w:bottom w:val="none" w:sz="0" w:space="0" w:color="auto"/>
                        <w:right w:val="none" w:sz="0" w:space="0" w:color="auto"/>
                      </w:divBdr>
                    </w:div>
                    <w:div w:id="809519929">
                      <w:marLeft w:val="0"/>
                      <w:marRight w:val="0"/>
                      <w:marTop w:val="0"/>
                      <w:marBottom w:val="0"/>
                      <w:divBdr>
                        <w:top w:val="none" w:sz="0" w:space="0" w:color="auto"/>
                        <w:left w:val="none" w:sz="0" w:space="0" w:color="auto"/>
                        <w:bottom w:val="none" w:sz="0" w:space="0" w:color="auto"/>
                        <w:right w:val="none" w:sz="0" w:space="0" w:color="auto"/>
                      </w:divBdr>
                    </w:div>
                  </w:divsChild>
                </w:div>
                <w:div w:id="1251112379">
                  <w:marLeft w:val="0"/>
                  <w:marRight w:val="0"/>
                  <w:marTop w:val="0"/>
                  <w:marBottom w:val="0"/>
                  <w:divBdr>
                    <w:top w:val="none" w:sz="0" w:space="0" w:color="auto"/>
                    <w:left w:val="none" w:sz="0" w:space="0" w:color="auto"/>
                    <w:bottom w:val="none" w:sz="0" w:space="0" w:color="auto"/>
                    <w:right w:val="none" w:sz="0" w:space="0" w:color="auto"/>
                  </w:divBdr>
                  <w:divsChild>
                    <w:div w:id="411203804">
                      <w:marLeft w:val="0"/>
                      <w:marRight w:val="0"/>
                      <w:marTop w:val="0"/>
                      <w:marBottom w:val="0"/>
                      <w:divBdr>
                        <w:top w:val="none" w:sz="0" w:space="0" w:color="auto"/>
                        <w:left w:val="none" w:sz="0" w:space="0" w:color="auto"/>
                        <w:bottom w:val="none" w:sz="0" w:space="0" w:color="auto"/>
                        <w:right w:val="none" w:sz="0" w:space="0" w:color="auto"/>
                      </w:divBdr>
                      <w:divsChild>
                        <w:div w:id="1240284672">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373404">
          <w:marLeft w:val="0"/>
          <w:marRight w:val="0"/>
          <w:marTop w:val="0"/>
          <w:marBottom w:val="0"/>
          <w:divBdr>
            <w:top w:val="none" w:sz="0" w:space="0" w:color="auto"/>
            <w:left w:val="none" w:sz="0" w:space="0" w:color="auto"/>
            <w:bottom w:val="none" w:sz="0" w:space="0" w:color="auto"/>
            <w:right w:val="none" w:sz="0" w:space="0" w:color="auto"/>
          </w:divBdr>
          <w:divsChild>
            <w:div w:id="1006396837">
              <w:marLeft w:val="-225"/>
              <w:marRight w:val="-225"/>
              <w:marTop w:val="0"/>
              <w:marBottom w:val="0"/>
              <w:divBdr>
                <w:top w:val="none" w:sz="0" w:space="0" w:color="auto"/>
                <w:left w:val="none" w:sz="0" w:space="0" w:color="auto"/>
                <w:bottom w:val="none" w:sz="0" w:space="0" w:color="auto"/>
                <w:right w:val="none" w:sz="0" w:space="0" w:color="auto"/>
              </w:divBdr>
            </w:div>
          </w:divsChild>
        </w:div>
        <w:div w:id="1634826796">
          <w:marLeft w:val="0"/>
          <w:marRight w:val="0"/>
          <w:marTop w:val="0"/>
          <w:marBottom w:val="0"/>
          <w:divBdr>
            <w:top w:val="none" w:sz="0" w:space="0" w:color="auto"/>
            <w:left w:val="none" w:sz="0" w:space="0" w:color="auto"/>
            <w:bottom w:val="none" w:sz="0" w:space="0" w:color="auto"/>
            <w:right w:val="none" w:sz="0" w:space="0" w:color="auto"/>
          </w:divBdr>
          <w:divsChild>
            <w:div w:id="862090120">
              <w:marLeft w:val="-225"/>
              <w:marRight w:val="-225"/>
              <w:marTop w:val="0"/>
              <w:marBottom w:val="0"/>
              <w:divBdr>
                <w:top w:val="none" w:sz="0" w:space="0" w:color="auto"/>
                <w:left w:val="none" w:sz="0" w:space="0" w:color="auto"/>
                <w:bottom w:val="none" w:sz="0" w:space="0" w:color="auto"/>
                <w:right w:val="none" w:sz="0" w:space="0" w:color="auto"/>
              </w:divBdr>
              <w:divsChild>
                <w:div w:id="2093551538">
                  <w:marLeft w:val="0"/>
                  <w:marRight w:val="0"/>
                  <w:marTop w:val="0"/>
                  <w:marBottom w:val="0"/>
                  <w:divBdr>
                    <w:top w:val="none" w:sz="0" w:space="0" w:color="auto"/>
                    <w:left w:val="none" w:sz="0" w:space="0" w:color="auto"/>
                    <w:bottom w:val="none" w:sz="0" w:space="0" w:color="auto"/>
                    <w:right w:val="none" w:sz="0" w:space="0" w:color="auto"/>
                  </w:divBdr>
                  <w:divsChild>
                    <w:div w:id="1943607470">
                      <w:marLeft w:val="0"/>
                      <w:marRight w:val="0"/>
                      <w:marTop w:val="0"/>
                      <w:marBottom w:val="0"/>
                      <w:divBdr>
                        <w:top w:val="none" w:sz="0" w:space="0" w:color="auto"/>
                        <w:left w:val="none" w:sz="0" w:space="0" w:color="auto"/>
                        <w:bottom w:val="none" w:sz="0" w:space="0" w:color="auto"/>
                        <w:right w:val="none" w:sz="0" w:space="0" w:color="auto"/>
                      </w:divBdr>
                      <w:divsChild>
                        <w:div w:id="243883334">
                          <w:marLeft w:val="0"/>
                          <w:marRight w:val="0"/>
                          <w:marTop w:val="0"/>
                          <w:marBottom w:val="0"/>
                          <w:divBdr>
                            <w:top w:val="none" w:sz="0" w:space="0" w:color="auto"/>
                            <w:left w:val="none" w:sz="0" w:space="0" w:color="auto"/>
                            <w:bottom w:val="none" w:sz="0" w:space="0" w:color="auto"/>
                            <w:right w:val="none" w:sz="0" w:space="0" w:color="auto"/>
                          </w:divBdr>
                        </w:div>
                      </w:divsChild>
                    </w:div>
                    <w:div w:id="249000981">
                      <w:marLeft w:val="0"/>
                      <w:marRight w:val="0"/>
                      <w:marTop w:val="0"/>
                      <w:marBottom w:val="0"/>
                      <w:divBdr>
                        <w:top w:val="none" w:sz="0" w:space="0" w:color="auto"/>
                        <w:left w:val="none" w:sz="0" w:space="0" w:color="auto"/>
                        <w:bottom w:val="none" w:sz="0" w:space="0" w:color="auto"/>
                        <w:right w:val="none" w:sz="0" w:space="0" w:color="auto"/>
                      </w:divBdr>
                      <w:divsChild>
                        <w:div w:id="1010647759">
                          <w:marLeft w:val="0"/>
                          <w:marRight w:val="0"/>
                          <w:marTop w:val="0"/>
                          <w:marBottom w:val="0"/>
                          <w:divBdr>
                            <w:top w:val="none" w:sz="0" w:space="0" w:color="auto"/>
                            <w:left w:val="none" w:sz="0" w:space="0" w:color="auto"/>
                            <w:bottom w:val="none" w:sz="0" w:space="0" w:color="auto"/>
                            <w:right w:val="none" w:sz="0" w:space="0" w:color="auto"/>
                          </w:divBdr>
                          <w:divsChild>
                            <w:div w:id="1716734580">
                              <w:marLeft w:val="0"/>
                              <w:marRight w:val="0"/>
                              <w:marTop w:val="0"/>
                              <w:marBottom w:val="0"/>
                              <w:divBdr>
                                <w:top w:val="none" w:sz="0" w:space="0" w:color="auto"/>
                                <w:left w:val="none" w:sz="0" w:space="0" w:color="auto"/>
                                <w:bottom w:val="none" w:sz="0" w:space="0" w:color="auto"/>
                                <w:right w:val="none" w:sz="0" w:space="0" w:color="auto"/>
                              </w:divBdr>
                              <w:divsChild>
                                <w:div w:id="1630355644">
                                  <w:marLeft w:val="0"/>
                                  <w:marRight w:val="0"/>
                                  <w:marTop w:val="0"/>
                                  <w:marBottom w:val="150"/>
                                  <w:divBdr>
                                    <w:top w:val="none" w:sz="0" w:space="0" w:color="auto"/>
                                    <w:left w:val="none" w:sz="0" w:space="0" w:color="auto"/>
                                    <w:bottom w:val="none" w:sz="0" w:space="0" w:color="auto"/>
                                    <w:right w:val="none" w:sz="0" w:space="0" w:color="auto"/>
                                  </w:divBdr>
                                </w:div>
                                <w:div w:id="52582409">
                                  <w:marLeft w:val="0"/>
                                  <w:marRight w:val="0"/>
                                  <w:marTop w:val="0"/>
                                  <w:marBottom w:val="0"/>
                                  <w:divBdr>
                                    <w:top w:val="none" w:sz="0" w:space="0" w:color="auto"/>
                                    <w:left w:val="none" w:sz="0" w:space="0" w:color="auto"/>
                                    <w:bottom w:val="none" w:sz="0" w:space="0" w:color="auto"/>
                                    <w:right w:val="none" w:sz="0" w:space="0" w:color="auto"/>
                                  </w:divBdr>
                                  <w:divsChild>
                                    <w:div w:id="809132290">
                                      <w:marLeft w:val="0"/>
                                      <w:marRight w:val="0"/>
                                      <w:marTop w:val="0"/>
                                      <w:marBottom w:val="0"/>
                                      <w:divBdr>
                                        <w:top w:val="none" w:sz="0" w:space="0" w:color="auto"/>
                                        <w:left w:val="none" w:sz="0" w:space="0" w:color="auto"/>
                                        <w:bottom w:val="none" w:sz="0" w:space="0" w:color="auto"/>
                                        <w:right w:val="none" w:sz="0" w:space="0" w:color="auto"/>
                                      </w:divBdr>
                                    </w:div>
                                    <w:div w:id="146658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341889">
                              <w:marLeft w:val="0"/>
                              <w:marRight w:val="0"/>
                              <w:marTop w:val="0"/>
                              <w:marBottom w:val="0"/>
                              <w:divBdr>
                                <w:top w:val="none" w:sz="0" w:space="0" w:color="auto"/>
                                <w:left w:val="none" w:sz="0" w:space="0" w:color="auto"/>
                                <w:bottom w:val="none" w:sz="0" w:space="0" w:color="auto"/>
                                <w:right w:val="none" w:sz="0" w:space="0" w:color="auto"/>
                              </w:divBdr>
                              <w:divsChild>
                                <w:div w:id="1686905940">
                                  <w:marLeft w:val="0"/>
                                  <w:marRight w:val="0"/>
                                  <w:marTop w:val="0"/>
                                  <w:marBottom w:val="150"/>
                                  <w:divBdr>
                                    <w:top w:val="none" w:sz="0" w:space="0" w:color="auto"/>
                                    <w:left w:val="none" w:sz="0" w:space="0" w:color="auto"/>
                                    <w:bottom w:val="none" w:sz="0" w:space="0" w:color="auto"/>
                                    <w:right w:val="none" w:sz="0" w:space="0" w:color="auto"/>
                                  </w:divBdr>
                                </w:div>
                                <w:div w:id="291405690">
                                  <w:marLeft w:val="0"/>
                                  <w:marRight w:val="0"/>
                                  <w:marTop w:val="0"/>
                                  <w:marBottom w:val="0"/>
                                  <w:divBdr>
                                    <w:top w:val="none" w:sz="0" w:space="0" w:color="auto"/>
                                    <w:left w:val="none" w:sz="0" w:space="0" w:color="auto"/>
                                    <w:bottom w:val="none" w:sz="0" w:space="0" w:color="auto"/>
                                    <w:right w:val="none" w:sz="0" w:space="0" w:color="auto"/>
                                  </w:divBdr>
                                </w:div>
                              </w:divsChild>
                            </w:div>
                            <w:div w:id="2125072875">
                              <w:marLeft w:val="0"/>
                              <w:marRight w:val="0"/>
                              <w:marTop w:val="0"/>
                              <w:marBottom w:val="0"/>
                              <w:divBdr>
                                <w:top w:val="none" w:sz="0" w:space="0" w:color="auto"/>
                                <w:left w:val="none" w:sz="0" w:space="0" w:color="auto"/>
                                <w:bottom w:val="none" w:sz="0" w:space="0" w:color="auto"/>
                                <w:right w:val="none" w:sz="0" w:space="0" w:color="auto"/>
                              </w:divBdr>
                              <w:divsChild>
                                <w:div w:id="1607301886">
                                  <w:marLeft w:val="0"/>
                                  <w:marRight w:val="0"/>
                                  <w:marTop w:val="0"/>
                                  <w:marBottom w:val="150"/>
                                  <w:divBdr>
                                    <w:top w:val="none" w:sz="0" w:space="0" w:color="auto"/>
                                    <w:left w:val="none" w:sz="0" w:space="0" w:color="auto"/>
                                    <w:bottom w:val="none" w:sz="0" w:space="0" w:color="auto"/>
                                    <w:right w:val="none" w:sz="0" w:space="0" w:color="auto"/>
                                  </w:divBdr>
                                </w:div>
                                <w:div w:id="1916892822">
                                  <w:marLeft w:val="0"/>
                                  <w:marRight w:val="0"/>
                                  <w:marTop w:val="0"/>
                                  <w:marBottom w:val="0"/>
                                  <w:divBdr>
                                    <w:top w:val="none" w:sz="0" w:space="0" w:color="auto"/>
                                    <w:left w:val="none" w:sz="0" w:space="0" w:color="auto"/>
                                    <w:bottom w:val="none" w:sz="0" w:space="0" w:color="auto"/>
                                    <w:right w:val="none" w:sz="0" w:space="0" w:color="auto"/>
                                  </w:divBdr>
                                  <w:divsChild>
                                    <w:div w:id="1115320932">
                                      <w:marLeft w:val="-225"/>
                                      <w:marRight w:val="-225"/>
                                      <w:marTop w:val="0"/>
                                      <w:marBottom w:val="0"/>
                                      <w:divBdr>
                                        <w:top w:val="none" w:sz="0" w:space="0" w:color="auto"/>
                                        <w:left w:val="none" w:sz="0" w:space="0" w:color="auto"/>
                                        <w:bottom w:val="none" w:sz="0" w:space="0" w:color="auto"/>
                                        <w:right w:val="none" w:sz="0" w:space="0" w:color="auto"/>
                                      </w:divBdr>
                                    </w:div>
                                    <w:div w:id="301229856">
                                      <w:marLeft w:val="-225"/>
                                      <w:marRight w:val="-225"/>
                                      <w:marTop w:val="0"/>
                                      <w:marBottom w:val="0"/>
                                      <w:divBdr>
                                        <w:top w:val="none" w:sz="0" w:space="0" w:color="auto"/>
                                        <w:left w:val="none" w:sz="0" w:space="0" w:color="auto"/>
                                        <w:bottom w:val="none" w:sz="0" w:space="0" w:color="auto"/>
                                        <w:right w:val="none" w:sz="0" w:space="0" w:color="auto"/>
                                      </w:divBdr>
                                    </w:div>
                                    <w:div w:id="1251621960">
                                      <w:marLeft w:val="-225"/>
                                      <w:marRight w:val="-225"/>
                                      <w:marTop w:val="0"/>
                                      <w:marBottom w:val="0"/>
                                      <w:divBdr>
                                        <w:top w:val="none" w:sz="0" w:space="0" w:color="auto"/>
                                        <w:left w:val="none" w:sz="0" w:space="0" w:color="auto"/>
                                        <w:bottom w:val="none" w:sz="0" w:space="0" w:color="auto"/>
                                        <w:right w:val="none" w:sz="0" w:space="0" w:color="auto"/>
                                      </w:divBdr>
                                    </w:div>
                                    <w:div w:id="70837902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048533553">
                              <w:marLeft w:val="0"/>
                              <w:marRight w:val="0"/>
                              <w:marTop w:val="0"/>
                              <w:marBottom w:val="0"/>
                              <w:divBdr>
                                <w:top w:val="none" w:sz="0" w:space="0" w:color="auto"/>
                                <w:left w:val="none" w:sz="0" w:space="0" w:color="auto"/>
                                <w:bottom w:val="none" w:sz="0" w:space="0" w:color="auto"/>
                                <w:right w:val="none" w:sz="0" w:space="0" w:color="auto"/>
                              </w:divBdr>
                              <w:divsChild>
                                <w:div w:id="2080664852">
                                  <w:marLeft w:val="0"/>
                                  <w:marRight w:val="0"/>
                                  <w:marTop w:val="0"/>
                                  <w:marBottom w:val="0"/>
                                  <w:divBdr>
                                    <w:top w:val="none" w:sz="0" w:space="0" w:color="auto"/>
                                    <w:left w:val="none" w:sz="0" w:space="0" w:color="auto"/>
                                    <w:bottom w:val="none" w:sz="0" w:space="0" w:color="auto"/>
                                    <w:right w:val="none" w:sz="0" w:space="0" w:color="auto"/>
                                  </w:divBdr>
                                  <w:divsChild>
                                    <w:div w:id="286811726">
                                      <w:marLeft w:val="0"/>
                                      <w:marRight w:val="0"/>
                                      <w:marTop w:val="0"/>
                                      <w:marBottom w:val="150"/>
                                      <w:divBdr>
                                        <w:top w:val="none" w:sz="0" w:space="0" w:color="auto"/>
                                        <w:left w:val="none" w:sz="0" w:space="0" w:color="auto"/>
                                        <w:bottom w:val="none" w:sz="0" w:space="0" w:color="auto"/>
                                        <w:right w:val="none" w:sz="0" w:space="0" w:color="auto"/>
                                      </w:divBdr>
                                    </w:div>
                                    <w:div w:id="21550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610467">
          <w:marLeft w:val="9705"/>
          <w:marRight w:val="0"/>
          <w:marTop w:val="0"/>
          <w:marBottom w:val="0"/>
          <w:divBdr>
            <w:top w:val="none" w:sz="0" w:space="0" w:color="auto"/>
            <w:left w:val="none" w:sz="0" w:space="0" w:color="auto"/>
            <w:bottom w:val="none" w:sz="0" w:space="0" w:color="auto"/>
            <w:right w:val="none" w:sz="0" w:space="0" w:color="auto"/>
          </w:divBdr>
          <w:divsChild>
            <w:div w:id="135798733">
              <w:marLeft w:val="0"/>
              <w:marRight w:val="0"/>
              <w:marTop w:val="0"/>
              <w:marBottom w:val="0"/>
              <w:divBdr>
                <w:top w:val="none" w:sz="0" w:space="0" w:color="auto"/>
                <w:left w:val="none" w:sz="0" w:space="0" w:color="auto"/>
                <w:bottom w:val="none" w:sz="0" w:space="0" w:color="auto"/>
                <w:right w:val="none" w:sz="0" w:space="0" w:color="auto"/>
              </w:divBdr>
            </w:div>
            <w:div w:id="508059595">
              <w:marLeft w:val="0"/>
              <w:marRight w:val="0"/>
              <w:marTop w:val="0"/>
              <w:marBottom w:val="0"/>
              <w:divBdr>
                <w:top w:val="none" w:sz="0" w:space="0" w:color="auto"/>
                <w:left w:val="none" w:sz="0" w:space="0" w:color="auto"/>
                <w:bottom w:val="none" w:sz="0" w:space="0" w:color="auto"/>
                <w:right w:val="none" w:sz="0" w:space="0" w:color="auto"/>
              </w:divBdr>
            </w:div>
            <w:div w:id="154691243">
              <w:marLeft w:val="0"/>
              <w:marRight w:val="0"/>
              <w:marTop w:val="0"/>
              <w:marBottom w:val="0"/>
              <w:divBdr>
                <w:top w:val="none" w:sz="0" w:space="0" w:color="auto"/>
                <w:left w:val="none" w:sz="0" w:space="0" w:color="auto"/>
                <w:bottom w:val="none" w:sz="0" w:space="0" w:color="auto"/>
                <w:right w:val="none" w:sz="0" w:space="0" w:color="auto"/>
              </w:divBdr>
            </w:div>
          </w:divsChild>
        </w:div>
        <w:div w:id="2080901238">
          <w:marLeft w:val="0"/>
          <w:marRight w:val="0"/>
          <w:marTop w:val="0"/>
          <w:marBottom w:val="0"/>
          <w:divBdr>
            <w:top w:val="none" w:sz="0" w:space="0" w:color="auto"/>
            <w:left w:val="none" w:sz="0" w:space="0" w:color="auto"/>
            <w:bottom w:val="none" w:sz="0" w:space="0" w:color="auto"/>
            <w:right w:val="none" w:sz="0" w:space="0" w:color="auto"/>
          </w:divBdr>
          <w:divsChild>
            <w:div w:id="987126360">
              <w:marLeft w:val="0"/>
              <w:marRight w:val="0"/>
              <w:marTop w:val="0"/>
              <w:marBottom w:val="0"/>
              <w:divBdr>
                <w:top w:val="none" w:sz="0" w:space="0" w:color="auto"/>
                <w:left w:val="none" w:sz="0" w:space="0" w:color="auto"/>
                <w:bottom w:val="none" w:sz="0" w:space="0" w:color="auto"/>
                <w:right w:val="none" w:sz="0" w:space="0" w:color="auto"/>
              </w:divBdr>
              <w:divsChild>
                <w:div w:id="1393962222">
                  <w:marLeft w:val="-225"/>
                  <w:marRight w:val="-225"/>
                  <w:marTop w:val="0"/>
                  <w:marBottom w:val="0"/>
                  <w:divBdr>
                    <w:top w:val="none" w:sz="0" w:space="0" w:color="auto"/>
                    <w:left w:val="none" w:sz="0" w:space="0" w:color="auto"/>
                    <w:bottom w:val="none" w:sz="0" w:space="0" w:color="auto"/>
                    <w:right w:val="none" w:sz="0" w:space="0" w:color="auto"/>
                  </w:divBdr>
                  <w:divsChild>
                    <w:div w:id="1432362015">
                      <w:marLeft w:val="0"/>
                      <w:marRight w:val="0"/>
                      <w:marTop w:val="975"/>
                      <w:marBottom w:val="0"/>
                      <w:divBdr>
                        <w:top w:val="none" w:sz="0" w:space="0" w:color="auto"/>
                        <w:left w:val="none" w:sz="0" w:space="0" w:color="auto"/>
                        <w:bottom w:val="none" w:sz="0" w:space="0" w:color="auto"/>
                        <w:right w:val="none" w:sz="0" w:space="0" w:color="auto"/>
                      </w:divBdr>
                    </w:div>
                  </w:divsChild>
                </w:div>
              </w:divsChild>
            </w:div>
          </w:divsChild>
        </w:div>
        <w:div w:id="723214473">
          <w:marLeft w:val="999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admin2</dc:creator>
  <cp:lastModifiedBy>admin2</cp:lastModifiedBy>
  <cp:revision>28</cp:revision>
  <dcterms:created xsi:type="dcterms:W3CDTF">2018-01-17T03:37:00Z</dcterms:created>
  <dcterms:modified xsi:type="dcterms:W3CDTF">2018-01-17T05:39:00Z</dcterms:modified>
</cp:coreProperties>
</file>