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9F329">
      <w:bookmarkStart w:id="0" w:name="_GoBack"/>
      <w:bookmarkEnd w:id="0"/>
    </w:p>
    <w:p w14:paraId="5BCCF8C9">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1952CFA3">
      <w:pPr>
        <w:spacing w:line="540" w:lineRule="exact"/>
        <w:jc w:val="center"/>
        <w:rPr>
          <w:rFonts w:ascii="华文中宋" w:hAnsi="华文中宋" w:eastAsia="华文中宋" w:cs="宋体"/>
          <w:b/>
          <w:kern w:val="0"/>
          <w:sz w:val="52"/>
          <w:szCs w:val="52"/>
        </w:rPr>
      </w:pPr>
    </w:p>
    <w:p w14:paraId="3A877A6F">
      <w:pPr>
        <w:spacing w:line="540" w:lineRule="exact"/>
        <w:jc w:val="center"/>
        <w:rPr>
          <w:rFonts w:ascii="华文中宋" w:hAnsi="华文中宋" w:eastAsia="华文中宋" w:cs="宋体"/>
          <w:b/>
          <w:kern w:val="0"/>
          <w:sz w:val="52"/>
          <w:szCs w:val="52"/>
        </w:rPr>
      </w:pPr>
    </w:p>
    <w:p w14:paraId="0BB6A298">
      <w:pPr>
        <w:spacing w:line="540" w:lineRule="exact"/>
        <w:jc w:val="center"/>
        <w:rPr>
          <w:rFonts w:ascii="华文中宋" w:hAnsi="华文中宋" w:eastAsia="华文中宋" w:cs="宋体"/>
          <w:b/>
          <w:kern w:val="0"/>
          <w:sz w:val="52"/>
          <w:szCs w:val="52"/>
        </w:rPr>
      </w:pPr>
    </w:p>
    <w:p w14:paraId="24EDA23F">
      <w:pPr>
        <w:spacing w:line="540" w:lineRule="exact"/>
        <w:jc w:val="center"/>
        <w:rPr>
          <w:rFonts w:ascii="华文中宋" w:hAnsi="华文中宋" w:eastAsia="华文中宋" w:cs="宋体"/>
          <w:b/>
          <w:kern w:val="0"/>
          <w:sz w:val="52"/>
          <w:szCs w:val="52"/>
        </w:rPr>
      </w:pPr>
    </w:p>
    <w:p w14:paraId="43FC782E">
      <w:pPr>
        <w:spacing w:line="540" w:lineRule="exact"/>
        <w:jc w:val="center"/>
        <w:rPr>
          <w:rFonts w:ascii="华文中宋" w:hAnsi="华文中宋" w:eastAsia="华文中宋" w:cs="宋体"/>
          <w:b/>
          <w:kern w:val="0"/>
          <w:sz w:val="52"/>
          <w:szCs w:val="52"/>
        </w:rPr>
      </w:pPr>
    </w:p>
    <w:p w14:paraId="47A2AEE1">
      <w:pPr>
        <w:spacing w:line="540" w:lineRule="exact"/>
        <w:jc w:val="center"/>
        <w:rPr>
          <w:rFonts w:ascii="华文中宋" w:hAnsi="华文中宋" w:eastAsia="华文中宋" w:cs="宋体"/>
          <w:b/>
          <w:kern w:val="0"/>
          <w:sz w:val="52"/>
          <w:szCs w:val="52"/>
        </w:rPr>
      </w:pPr>
    </w:p>
    <w:p w14:paraId="1C216C84">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18D0B408">
      <w:pPr>
        <w:spacing w:line="540" w:lineRule="exact"/>
        <w:jc w:val="center"/>
        <w:rPr>
          <w:rFonts w:ascii="华文中宋" w:hAnsi="华文中宋" w:eastAsia="华文中宋" w:cs="宋体"/>
          <w:b/>
          <w:kern w:val="0"/>
          <w:sz w:val="52"/>
          <w:szCs w:val="52"/>
        </w:rPr>
      </w:pPr>
    </w:p>
    <w:p w14:paraId="060E5E2E">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hint="eastAsia" w:ascii="楷体" w:hAnsi="楷体" w:eastAsia="楷体"/>
          <w:spacing w:val="-4"/>
          <w:sz w:val="32"/>
          <w:szCs w:val="32"/>
        </w:rPr>
        <w:t>2024</w:t>
      </w:r>
      <w:r>
        <w:rPr>
          <w:rFonts w:hint="eastAsia" w:hAnsi="宋体" w:eastAsia="仿宋_GB2312" w:cs="宋体"/>
          <w:kern w:val="0"/>
          <w:sz w:val="36"/>
          <w:szCs w:val="36"/>
        </w:rPr>
        <w:t xml:space="preserve">  年度）</w:t>
      </w:r>
    </w:p>
    <w:p w14:paraId="080EFCDC">
      <w:pPr>
        <w:spacing w:line="540" w:lineRule="exact"/>
        <w:jc w:val="center"/>
        <w:rPr>
          <w:rFonts w:hAnsi="宋体" w:eastAsia="仿宋_GB2312" w:cs="宋体"/>
          <w:kern w:val="0"/>
          <w:sz w:val="30"/>
          <w:szCs w:val="30"/>
        </w:rPr>
      </w:pPr>
    </w:p>
    <w:p w14:paraId="2FC982D4">
      <w:pPr>
        <w:spacing w:line="540" w:lineRule="exact"/>
        <w:jc w:val="center"/>
        <w:rPr>
          <w:rFonts w:hAnsi="宋体" w:eastAsia="仿宋_GB2312" w:cs="宋体"/>
          <w:kern w:val="0"/>
          <w:sz w:val="30"/>
          <w:szCs w:val="30"/>
        </w:rPr>
      </w:pPr>
    </w:p>
    <w:p w14:paraId="597022AF">
      <w:pPr>
        <w:spacing w:line="540" w:lineRule="exact"/>
        <w:jc w:val="center"/>
        <w:rPr>
          <w:rFonts w:hAnsi="宋体" w:eastAsia="仿宋_GB2312" w:cs="宋体"/>
          <w:kern w:val="0"/>
          <w:sz w:val="30"/>
          <w:szCs w:val="30"/>
        </w:rPr>
      </w:pPr>
    </w:p>
    <w:p w14:paraId="35BDB703">
      <w:pPr>
        <w:spacing w:line="540" w:lineRule="exact"/>
        <w:jc w:val="center"/>
        <w:rPr>
          <w:rFonts w:hAnsi="宋体" w:eastAsia="仿宋_GB2312" w:cs="宋体"/>
          <w:kern w:val="0"/>
          <w:sz w:val="30"/>
          <w:szCs w:val="30"/>
        </w:rPr>
      </w:pPr>
    </w:p>
    <w:p w14:paraId="7D7F3F9E">
      <w:pPr>
        <w:spacing w:line="540" w:lineRule="exact"/>
        <w:jc w:val="center"/>
        <w:rPr>
          <w:rFonts w:hAnsi="宋体" w:eastAsia="仿宋_GB2312" w:cs="宋体"/>
          <w:kern w:val="0"/>
          <w:sz w:val="30"/>
          <w:szCs w:val="30"/>
        </w:rPr>
      </w:pPr>
    </w:p>
    <w:p w14:paraId="368CBBD9">
      <w:pPr>
        <w:spacing w:line="540" w:lineRule="exact"/>
        <w:jc w:val="center"/>
        <w:rPr>
          <w:rFonts w:hAnsi="宋体" w:eastAsia="仿宋_GB2312" w:cs="宋体"/>
          <w:kern w:val="0"/>
          <w:sz w:val="30"/>
          <w:szCs w:val="30"/>
        </w:rPr>
      </w:pPr>
    </w:p>
    <w:p w14:paraId="4315E2E0">
      <w:pPr>
        <w:spacing w:line="540" w:lineRule="exact"/>
        <w:rPr>
          <w:rFonts w:hAnsi="宋体" w:eastAsia="仿宋_GB2312" w:cs="宋体"/>
          <w:kern w:val="0"/>
          <w:sz w:val="30"/>
          <w:szCs w:val="30"/>
        </w:rPr>
      </w:pPr>
    </w:p>
    <w:p w14:paraId="30C0280C">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480DA411">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机关运行补助(单位资金)</w:t>
      </w:r>
    </w:p>
    <w:p w14:paraId="404A3B09">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中共昌吉回族自治州委员会组织部</w:t>
      </w:r>
    </w:p>
    <w:p w14:paraId="3834EFEA">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中共昌吉回族自治州委员会组织部</w:t>
      </w:r>
    </w:p>
    <w:p w14:paraId="1E09C2EF">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付强</w:t>
      </w:r>
    </w:p>
    <w:p w14:paraId="52006B41">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hint="eastAsia" w:ascii="楷体" w:hAnsi="楷体" w:eastAsia="楷体"/>
          <w:spacing w:val="-4"/>
          <w:sz w:val="32"/>
          <w:szCs w:val="32"/>
        </w:rPr>
        <w:t>2025年05月15日</w:t>
      </w:r>
    </w:p>
    <w:p w14:paraId="53BE6301">
      <w:pPr>
        <w:spacing w:line="700" w:lineRule="exact"/>
        <w:ind w:firstLine="708" w:firstLineChars="236"/>
        <w:jc w:val="left"/>
        <w:rPr>
          <w:rFonts w:hAnsi="宋体" w:eastAsia="仿宋_GB2312" w:cs="宋体"/>
          <w:kern w:val="0"/>
          <w:sz w:val="30"/>
          <w:szCs w:val="30"/>
        </w:rPr>
      </w:pPr>
    </w:p>
    <w:p w14:paraId="1B563610">
      <w:pPr>
        <w:spacing w:line="540" w:lineRule="exact"/>
        <w:rPr>
          <w:rStyle w:val="19"/>
          <w:rFonts w:ascii="黑体" w:hAnsi="黑体" w:eastAsia="黑体"/>
          <w:b w:val="0"/>
          <w:spacing w:val="-4"/>
          <w:sz w:val="32"/>
          <w:szCs w:val="32"/>
        </w:rPr>
      </w:pPr>
    </w:p>
    <w:p w14:paraId="59398DA5">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518071CE">
      <w:pPr>
        <w:spacing w:line="540" w:lineRule="exact"/>
        <w:ind w:firstLine="567"/>
        <w:rPr>
          <w:rStyle w:val="19"/>
          <w:rFonts w:hint="default" w:ascii="楷体" w:hAnsi="楷体" w:eastAsia="楷体"/>
          <w:spacing w:val="-4"/>
          <w:sz w:val="32"/>
          <w:szCs w:val="32"/>
          <w:lang w:val="en-US" w:eastAsia="zh-CN"/>
        </w:rPr>
      </w:pPr>
      <w:r>
        <w:rPr>
          <w:rStyle w:val="19"/>
          <w:rFonts w:hint="eastAsia" w:ascii="楷体" w:hAnsi="楷体" w:eastAsia="楷体"/>
          <w:spacing w:val="-4"/>
          <w:sz w:val="32"/>
          <w:szCs w:val="32"/>
        </w:rPr>
        <w:t>（一）项目概况</w:t>
      </w:r>
      <w:r>
        <w:rPr>
          <w:rStyle w:val="19"/>
          <w:rFonts w:hint="eastAsia" w:ascii="楷体" w:hAnsi="楷体" w:eastAsia="楷体"/>
          <w:spacing w:val="-4"/>
          <w:sz w:val="32"/>
          <w:szCs w:val="32"/>
          <w:lang w:eastAsia="zh-CN"/>
        </w:rPr>
        <w:t>。</w:t>
      </w:r>
    </w:p>
    <w:p w14:paraId="75149032">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项目概况:1.项目背景,根据自治区党委办公厅、自治区人民政府办公厅《关于印发&lt;昌吉回族自治州机构改革方案&gt;的通知》(新党厅字〔2019〕7号)和自治州党委办公室、自治州人民政府办公室印发的《关于〈昌吉回族自治州机构改革方案〉的实施意见》(昌州党办发〔2019〕1号)，自治州党委组织部在自治州党委领导下,负责贯彻新时代党的组织路线和以习近平同志为核心的党中央治疆方略、聚焦社会稳定和长治久安总目标,落实党中央关于组织体系、领导班子建设,领导干部队伍、公务员队伍、人才队伍建设的方针政策和自治州党委决策部署。该项目为州党委组织部运行补助经费，主要用于保障昌吉州党委组织部机关业务正常、高效运转，提高办公效率，充分调动职工的积极性、主动性、创造性，提高组织工作效率。2.主要内容</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1）项目名称：机关运行补助经费（以下简称“该项目”或“项目”）（2）项目主要内容：此项目的实施，完成了昌吉州重点人才项目柔性引才引进培养并举办了赴内地人才引进、第24批博士服务团调研、组工干部能力素质提升培训、高层次人才赴闽培养、部机关的信息系统集成及通讯软件开发。3.实施情况:实施主体：中共昌吉回族自治州委员会组织部。实施时间：本项目实施周期为2024年1月1日-2024年12月10日。实施情况：项目的实施完成了昌吉州重点人才项目柔性引才引进培养并举办了赴内地人才引进、第24批博士服务团调研、组工干部能力素质提升培训、高层次人才赴闽培养、部机关的信息系统集成及通讯软件开发。通过项目的实施提升了单位管理水平，保障了单位业务工作高效正常运转。提高办公效率，充分调动职工的积极性、主动性、创造性，提高组织工作效率。4.项目实施主体:（1）主要职能①负责党的组织制度建设。②负责基层组织和党员队伍建设。③负责领导班子和领导干部队伍特别是优秀年轻干部队伍建设。④负责公务员队伍建设。⑤负责人才工作。⑥负责干部队伍建设宏观指导和干部教育培训、管理监督、综合（绩效）考核工作。⑦负责干部人才援疆工作。⑧负责党的建设和组织工作研究。⑨统一管理中共昌吉回族自治州委员会机构编制委员会办公室,归口管理中共昌吉回族自治州委员会老干部局。⑩完成自治州党委交办的其他任务。（2）机构设置情况:中共昌吉回族自治州委员会组织部机构设置：无下属预算单位，内设15个科室，分别是：办公室（组织人事科）、调研室、组织一科、组织二科、组织三科、组织四科、干部一科、干部二科、干部三科、干部四科、干部监督科、干部教育科、人才工作科、援疆工作科、公务员一科、公务员二科。中共昌吉回族自治州委员会组织部单位人员总数70名，其中：在职69名，退休1名，离休0名。实有人员70人。5.资金投入和使用情况:（1）项目资金安排落实、总投入等情况分析,本项目预算安排总额为1246.5万元，资金来源为单位自有资金，其中：财政资金0万元，其他资金1246.5万元，2024年实际收到预算资金1246.5万元，预算资金到位率为100%。（2）项目资金实际使用情况分析,截至2024年12月31日，本项目实际支付资金1246.5万元，预算执行率100%。本项目资金主要用于支付昌吉州重点人才项目柔性引才引进培养640万元，组工干部能力素质提升培训47.1万元、高层次人才赴闽培养66.79万元、部机关的信息系统集成及通讯软件开发122.96万元。</w:t>
      </w:r>
    </w:p>
    <w:p w14:paraId="51B7AA75">
      <w:pPr>
        <w:spacing w:line="540" w:lineRule="exact"/>
        <w:ind w:firstLine="567"/>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14:paraId="396F5A81">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项目绩效目标：1.总体目标，完成昌吉州重点人才项目柔性引才引进培养并举办了赴内地人才引进、第24批博士服务团调研、组工干部能力素质提升培训、高层次人才赴闽培养、部机关的信息系统集成及通讯软件开发。通过项目的实施提升了单位管理水平，保障了单位业务工作高效正常运转。提高办公效率，充分调动职工的积极性、主动性、创造性，提高组织工作效率。2.阶段性目标：根据《中华人民共和国预算法》《财政支出绩效评价管理暂行办法》（财预〔2020〕10号）、《中共中央 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1）项目产出指标①数量指标“保障信息化建设类支出”指标，预期指标值为“≥10次”；“开展培训”指标，预期指标值为“≥9次”；“高层次人才培养人数”指标，预期指标值为“=23人”；②质量指标“各项保运转工作完成率”指标，预期指标值为“=100%”；③时效指标“各项工作完成时限”指标，预期指标值为“=2024年12月10日”；（2）项目成本指标①经济成本指标“援疆经费”指标，预期指标值为“≤1238.59万元”；“人才发展专项经费”指标，预期指标值为“≤7.91万元”；②社会成本指标，无此类指标；③生态环境成本指标，无此类指标；（3）项目效益指标①经济效益指标，无此类指标；②社会效益指标，“通过人才培养搭建闽昌两地交往交流交融桥梁，推动相关领域优势互补、深入合作”指标，预期指标值为“长期”；③生态效益指标，无此类指标；（4）项目满意度指标①满意度指标，无此类指标。</w:t>
      </w:r>
    </w:p>
    <w:p w14:paraId="0AE359FA">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14:paraId="7209C173">
      <w:pPr>
        <w:spacing w:line="540" w:lineRule="exact"/>
        <w:ind w:firstLine="567" w:firstLineChars="181"/>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14:paraId="2A9006E8">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1.绩效评价的目的：为全面实施预算绩效管理，建立科学、合理的项目支出绩效评价管理体系，提高财政资源配置效率和使用效益，根据财政部印发《项目支出绩效评价管理办法》（财预〔2020〕10号）、《自治区财政支出绩效评价管理暂行办法》（新财预〔2018〕189号）、《关于印发&lt;自治州财政支出绩效评价管理暂行办法&gt;的通知》（昌州财预〔2018〕171号）、《关于印发&lt;自治区项目支出绩效目标设置指引&gt;的通知》（新财预〔2022〕42号）文件精神，我单位针对机关运行补助经费开展本次部门项目支出绩效评价工作。通过绩效评价，促进本单位总结经验、发现问题、改进工作，旨在评价本项目前期审批、实施过程及实施效果，促进预算管理不断完善，加快绩效目标的实现，保证财政资金有效、合理使用，具体绩效评价的目的细分如下：一是通过部门项目支出绩效评价，进一步严格落实《中华人民共和国预算法》以及党中央、国务院关于加强预算绩效管理的指示精神，建立健全“花钱必问效、无效必问责”的绩效预算管理机制、提升财政资金的使用效能。二是通过部门项目支出绩效评价，进一步做实绩效目标，根据项目绩效目标设立情况，细化形成多维度绩效指标，将绩效指标细化为数量指标、质量指标、时效指标、经济成本指标、社会成本指标、社会生态环境成本指标、经济效益指标、社会效益指标、服务对象满意度指标等内容，保证项目绩效指标设置科学、规范、合理、可衡量。三是通过部门项目支出绩效评价，进一步纠正对绩效管理理解上的偏差，建立更加全面科学的绩效指标体系，督促在预算编制中，将资金申请、绩效目标和具体指标统筹考虑，形成“花钱问效”的责任契约机制，进一步强化预算绩效管理的严肃性和约束力，推动绩效管理向全方位的绩效预算转变，逐步建立“以绩效目标为导向，以绩效评价为手段，以评价结果应用为保障，全方位、全覆盖、全过程”的绩效预算管理新体制。四是通过部门项目支出绩效评价，从绩效的角度发现本项目在决策、实施和管理过程中存在的问题，寻求解决方案，为进一步深化项目管理工作提供依据，以促进项目进一步的推进和后期项目维护和评价工作提供更深一步的理论和实际支持。2.绩效评价对象，此次我单位根据《财政支出绩效评价管理暂行办法》（财预〔2020〕10号）文件要求实施评价工作，本次评价对象为机关运行补助经费，评价核心为项目资金、项目产出、项目效益。3.绩效评价范围，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p>
    <w:p w14:paraId="1950B720">
      <w:pPr>
        <w:spacing w:line="540" w:lineRule="exact"/>
        <w:ind w:firstLine="567"/>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14:paraId="77E09A86">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1.绩效评价原则：依据《中华人民共和国预算法》《中共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1）科学公正。绩效评价应当运用科学合理的方法，按照规范的程序，对项目绩效进行客观、公正地反映。（2）统筹兼顾。单位自评、部门评价和财政评价应职责明确，各有侧重，相互衔接。单位自评应由项目单位自主实施，即“谁支出、谁自评”。部门评价和财政评价应在单位自评的基础上开展，必要时可委托第三方机构实施。（3）激励约束。绩效评价结果应与预算安排、政策调整、改进管理实质性挂钩，体现奖优罚劣和激励相容导向，有效要安排、低效要压减、无效要问责。（4）公开透明。绩效评价结果应依法依规公开，并自觉接受社会监督。根据以上原则，绩效评价应遵循如下要求：（1）在数据采集时，采取客观数据，主管部门审查、社会中介组织复查，与问卷调查相结合的形式，以保证各项指标的真实性。（2）保证评价结果的真实性、公正性，提高评价报告的公信力。（3）绩效评价报告应当简明扼要，除了对绩效评价的过程、结果描述外，还应总结经验，指出问题，并就共性问题提出可操作性改进建议。评价工作组本着科学规范、公平公正、绩效相关的原则，采用全面、重点、现场和非现场相结合的方式进行评价。2.绩效评价指标体系，我单位通过实施资料研读及前期调研，结合项目的实际开展情况，按照《项目支出绩效评价管理办法》（财预〔2020〕10号）文件要求，结合项目特点，经与专家组充分协商，设置指标体系结构如下：设置一级指标共5个，包括：决策指标（21.00%）、过程指标（19.00%）、产出指标（30.00%）、效益指标（20.00%）、满意度指标（10.00%）五类指标。主要围绕资金使用、项目管理、资源配置等方面，客观分析项目的产出和效果，从而考察项目预算定额标准的合理性，进而提出完善意见。整个评价框架构成体现从投入、过程到产出、效果和影响的绩效逻辑路径。详细指标体系见“附件1：项目支出绩效评价体系”。3.评价方法，我单位根据本项目资金的性质和特点，选用比较法、公众评判法对项目进行评价，旨在通过综合分析影响绩效目标实现、实施效果的内外部因素，从而评价本项目绩效。其中：比较法，是指通过对绩效目标与实施效果、历史与当期情况、不同部门和地区同类支出的比较，综合分析绩效目标实现程度；公众评判法，是指通过专家评估、公众问卷及抽样调查等对财政支出效果进行评判，评价绩效目标实现程度。三级指标分析环节：总体采用比较法，同时辅以文献法、成本效益法、因素分析法以及公众评判法，根据不同三级指标类型进行逐项分析。①定量指标分析环节：主要采用对比三级指标预期指标值和三级指标截止评价日的完成情况，综合分析绩效目标实现程度。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hint="eastAsia" w:ascii="楷体" w:hAnsi="楷体" w:eastAsia="楷体"/>
          <w:b w:val="0"/>
          <w:bCs w:val="0"/>
          <w:spacing w:val="-4"/>
          <w:sz w:val="32"/>
          <w:szCs w:val="32"/>
        </w:rPr>
        <w:br w:type="textWrapping"/>
      </w:r>
      <w:r>
        <w:rPr>
          <w:rStyle w:val="19"/>
          <w:rFonts w:hint="eastAsia" w:ascii="楷体" w:hAnsi="楷体" w:eastAsia="楷体"/>
          <w:b w:val="0"/>
          <w:bCs w:val="0"/>
          <w:spacing w:val="-4"/>
          <w:sz w:val="32"/>
          <w:szCs w:val="32"/>
        </w:rPr>
        <w:t>②定性指标分析环节：主要采用公众评判法，通过问卷及抽样调查等方式评价本项目实施后社会公众对于其实施效果的满意程度，将调研结果按照《关于印发&lt;自治区项目支出绩效目标设置指引&gt;的通知》（新财预〔2022〕42号）要求分为基本达成目标、部分实现目标、实现目标程度较低三档，分别按照该指标对应分值区间100.00%（含）-80.00%（含）、80.00%-60.00%（含）、60.00%-0.00%合理确定分值，详细评价方法的应用如下：立项依据充分性：比较法、文献法，查找法律法规政策以及规划，对比实际执行内容和政策支持内容是否匹配。立项程序规范性：比较法、文献法，查找相关项目设立的政策和文件要求，对比分析实际执行程序是否按照政策及文件要求执行，分析立项程序的规范性。绩效目标合理性：比较法，对比分析年初编制项目支出绩效目标表与项目内容的相关性、资金的匹配性等。绩效指标明确性：比较法，比较分析年初编制项目支出绩效目标表是否符合双七原则，是否可衡量。预算编制科学性：成本效益分析法，分析在产出一定的情况下，成本取值是否有依据，是否经过询价，是否按照市场最低成本编制。资金分配合理性：因素分析法，综合分析资金的分配依据是否充分，分配金额是否与项目实施单位需求金额一致，资金到位率：比较法，资金到位率预期指标值应为100.00%，通过实际计算，分析实际完成值和预期指标值之间的差距和原因。预算执行率：比较法，预算执行率预期指标值应为100.00%，通过实际计算，分析实际完成值和预期指标值之间的差距和原因。资金使用合规性：文献法、实地勘察法，一是查找资金管理办法，包括专项资金管理办法和单位自有资金管理办法；二是通过查账了解具体开支情况，是否专款专用，是否按照标准支出。管理制度健全性：文献法、比较法，查阅项目实施人员提供的财务和业务管理制度，将已建立的制度与现行的法律法规和政策要求进行对比，分析项目制度的合法性、合规性、完整性。制度执行有效性：比较法，结合项目实际实施过程性文件，根据已建设的财务管理制度和项目管理制度综合分析制度执行的有效性。定量指标：比较法，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公众评判法，通过问卷及抽样调查等方式评价本项目实施后社会公众对于其实施效果的满意程度。4.评价标准，绩效评价标准通常包括计划标准、行业标准、历史标准等，用于对绩效指标完成情况进行比较、分析、评价。具体绩效评价标准解释如下：计划标准：指以预先制定的目标、计划、预算、定额等作为评价标准。行业标准：指参照国家公布的行业指标数据制定的评价标准。历史标准：指参照历史数据制定的评价标准，为体现绩效改进的原则，在可实现的条件下应当确定相对较高的评价标准。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02178125">
      <w:pPr>
        <w:spacing w:line="540" w:lineRule="exact"/>
        <w:ind w:firstLine="567" w:firstLineChars="181"/>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14:paraId="1075CB1B">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1.前期准备，我单位于2025年3月10日，确定绩效评价工作小组，正式开始前期准备工作，通过对评价对象前期调研，确定了评价的目的、方法以及评价的原则，根据项目的内容和特征制定了评价指标体系及评价标准。绩效评价工作小组人员名单及分工如下：张国栋（评价小组组长）：主要负责项目策划和监督，全面负责项目绩效评价报告的最终质量，对评价人员出具的最终报告质量进行复核，确保评估结果的客观性；吴鹤宣（评价小组组员）：主要负责资料的收集，取证、数据统计分析；杨朔（评价小组组员）：主要负责项目报告的制定，指标的研判，数据分析及报告撰写。2.组织实施，2025年3月11日-3月14日，评价工作进入实施阶段。在数据采集方面，评价小组整理单位前期提交的资料，与项目实施负责人沟通，了解资金的内容、操作流程、管理机制、资金使用方向等情况并采集信息，了解项目设置背景及资金使用等情况。3.分析评价，2025年3月15日-3月20日，评价小组按照绩效评价的原则和规范，对取得的资料进行审查核实，对采集的数据进行分析，按照绩效评价指标评分表逐项进行打分、分析、汇总各方评价结果。4.撰写与提交评价报告，2025年3月21日-3月28日，评价小组撰写绩效评价报告，按照新疆维吾尔自治区财政绩效管理信息系统绩效评价模块中统一格式和文本框架撰写绩效评价报告并提交审核。5.问题整改，经审核通过后，由评价小组将报告推送至项目实施人员，由项目实施人员根据报告评价结论、存在的问题以及改进建议落实问题整改，并形成整改报告，由评价小组负责监督和核查整改落实情况，确保绩效评价落到实处。6.档案整理，建立和落实档案管理制度，将项目相关资料存档，包括但不限于：评价项目基本情况和相关文件、评价实施方案、项目支付资料等相关档案。</w:t>
      </w:r>
    </w:p>
    <w:p w14:paraId="0BF39052">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14:paraId="31FBD78F">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综合评价情况：经评价，本项目达成年初设立的绩效目标，在实施过程中取得了良好的成效，保障工作人员工资福利支出，保证单位日常运行，保障部机关各业务科室正常开展相关工作，充分调动职工积极性、主动性、创造性，提高组织系统工作效率，不断提高服务水平、服务质量和服务效果，提高职工满意度。通过人才培养搭建闽昌两地交往交流交融桥梁，推动相关领域优势互补、深入合作;通过开展三期组工干部能力素质提升班，提升组工干部政治理论素养和履职能力水平，加快推进全州组织工作高质量发展。通过各类培训重点围绕</w:t>
      </w:r>
      <w:r>
        <w:rPr>
          <w:rStyle w:val="19"/>
          <w:rFonts w:hint="eastAsia" w:ascii="楷体" w:hAnsi="楷体" w:eastAsia="楷体"/>
          <w:b w:val="0"/>
          <w:bCs w:val="0"/>
          <w:spacing w:val="-4"/>
          <w:sz w:val="32"/>
          <w:szCs w:val="32"/>
          <w:lang w:eastAsia="zh-CN"/>
        </w:rPr>
        <w:t>习近平新时代中国特色社会主义思想</w:t>
      </w:r>
      <w:r>
        <w:rPr>
          <w:rStyle w:val="19"/>
          <w:rFonts w:hint="eastAsia" w:ascii="楷体" w:hAnsi="楷体" w:eastAsia="楷体"/>
          <w:b w:val="0"/>
          <w:bCs w:val="0"/>
          <w:spacing w:val="-4"/>
          <w:sz w:val="32"/>
          <w:szCs w:val="32"/>
        </w:rPr>
        <w:t>，提升党性修养、促进业务发展、服务群众能力。但在实施过程中也存在一些不足：绩效预算认识不够充分，绩效理念有待进一步强化，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预算执行的灵活性不足。（二）评价结论：此次绩效评价通过绩效评价小组论证的评价指标体系及评分标准，采用因素分析法和比较法对本项目绩效进行客观评价，最终评分结果：总分为100分，绩效评级为“优”。综合评价结论如下：本项目共设置三级指标数量19个，实现三级指标数量19个，总体完成率为100%。项目决策类指标共设置6个，满分指标6个，得分率100%；过程管理类指标共设置5个，满分指标5个，得分率100%；项目产出类指标共设置7个，满分指标7个，得分率100%；项目效益类指标共设置1个，满分指标1个，得分率100%；项目满意度类指标共设置0个，满分指标0个，得分率0%。详细情况见“表3-1：项目综合得分表”及“附件2：项目综合得分表”。</w:t>
      </w:r>
    </w:p>
    <w:p w14:paraId="110CE500">
      <w:pPr>
        <w:spacing w:line="540" w:lineRule="exact"/>
        <w:ind w:firstLine="64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14:paraId="53A448D2">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14:paraId="7E0A5608">
      <w:pPr>
        <w:tabs>
          <w:tab w:val="center" w:pos="4295"/>
        </w:tabs>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项目决策类指标由3个二级指标和6个三级指标构成，权重分21.00分，实际得分21分。1.项目立项情况分析（1）立项依据充分性：本项目立项符合《昌吉州《关于下达昌吉州本级预算单位2023年部门预算的通知》（昌州财行﹝2023﹞2号）文件。符合行业发展规划和政策要求；本项目立项符合《昌吉州党委组织部单位配置内设机构和人员编制规定》中职责范围中的“负责党的建设和组织工作研究。”，属于我单位履职所需；根据《财政资金直接支付申请书》，本项目资金性质为“公共财政预算” 属于公共财政支持范围，符合中央、地方事权支出责任划分原则；经检查我单位财政管理一体化信息系统，本项目不存在重复。综上所述，本指标满分为5.00分，根据评分标准得5分，本项目立项依据充分。（2）立项程序规范性，本项目为非基础建设类项目，不涉及发改立项批复流程，由我单位自行编制项目实施方案和项目预算申请计划，经过与部务会研究确定最终预算方案。经查看，该项目申请设立过程产生的相关文件，符合相关要求，本项目为非基础建设类项目，属于专项资金安排项目，不涉及事前绩效评估、可行性研究以及风险评估，由我单位严格按照《关于批复昌吉州本级2024年部门预算的通知》（昌州财预〔2024〕2号）文件要求实施项目。综上所述，本指标满分为3.00分，根据评分标准得3分，本项目立项程序规范。2.绩效目标情况分析：（1）绩效目标合理性①该项目已设置年度绩效目标，具体内容为保障工作人员工资福利支出，保证单位日常运行，保障部机关各业务科室正常开展相关工作，充分调动职工积极性、主动性、创造性，提高组织系统工作效率，不断提高服务水平、服务质量和服务效果，提高职工满意度。通过人才培养搭建闽昌两地交往交流交融桥梁，推动相关领域优势互补、深入合作;通过开展三期组工干部能力素质提升班，提升组工干部政治理论素养和履职能力水平，加快推进全州组织工作高质量发展。通过各类培训重点围绕</w:t>
      </w:r>
      <w:r>
        <w:rPr>
          <w:rStyle w:val="19"/>
          <w:rFonts w:hint="eastAsia" w:ascii="楷体" w:hAnsi="楷体" w:eastAsia="楷体"/>
          <w:b w:val="0"/>
          <w:bCs w:val="0"/>
          <w:spacing w:val="-4"/>
          <w:sz w:val="32"/>
          <w:szCs w:val="32"/>
          <w:lang w:eastAsia="zh-CN"/>
        </w:rPr>
        <w:t>习近平新时代中国特色社会主义思想</w:t>
      </w:r>
      <w:r>
        <w:rPr>
          <w:rStyle w:val="19"/>
          <w:rFonts w:hint="eastAsia" w:ascii="楷体" w:hAnsi="楷体" w:eastAsia="楷体"/>
          <w:b w:val="0"/>
          <w:bCs w:val="0"/>
          <w:spacing w:val="-4"/>
          <w:sz w:val="32"/>
          <w:szCs w:val="32"/>
        </w:rPr>
        <w:t>，提升党性修养、促进业务发展、服务群众能力。②该项目实际工作内容为：完成了昌吉州重点人才项目柔性引才引进培养并举办了赴内地人才引进、第24批博士服务团调研、组工干部能力素质提升培训、高层次人才赴闽培养、部机关的信息系统集成及通讯软件开发。绩效目标与实际工作内容一致，两者具有相关性。③该项目按照绩效目标完成数量指标、质量指标、时效指标、成本指标，完成保障工作人员工资福利支出，保证单位日常运行，保障部机关各业务科室正常开展相关工作，开展培训9次，保障信息化建设支出10次，组织23名高层次人才培养，充分调动职工积极性、主动性、创造性，提高组织系统工作效率，不断提高服务水平、服务质量和服务效果，提高职工满意度；通过该项目的实施，提升了党性修养，促进了业务发展、服务群众能力。④该项目批复的预算金额为1246.5万元，《项目支出绩效目标表》中预算金额为1246.5万元，预算确定的项目资金与预算确定的项目投资额相匹配。综上所述，本指标满分为4.00分，根据评分标准得4分，本项目绩效目标设置合理。（2）绩效指标明确性，经检查我单位年初设置的《项目支出绩效目标表》，得出如下结论：本项目已将年度绩效目标进行细化为绩效指标体系，共设置一级指标3个，二级指标5个，三级指标8个，定量指标6个，定性指标2个，指标量化率为75%，量化率达70.00%以上。该《项目绩效目标表》中，数量指标指标值为“保障信息化建设类支出（次）”“开展培训（次）”“高层次人才培养人数（人）”，三级指标的年度指标值与年度绩效目标中任务数一致，已设置时效指标“各项工作完成时限”。已设置的绩效目标具备明确性、可衡量性、可实现性、相关性、时限性。综上所述，本指标满分为3.00分，根据评分标准得3分，本项目所设置绩效指标明确。3.资金投入情况分析：（1）预算编制科学性，本项目预算编制通过以往年度的实际执行情况，综合考虑本年度情况，综合编制预算，即预算编制较科学且经过论证；预算申请内容为保障保障工作人员工资福利支出，保证单位日常运行，保障部机关各业务科室正常开展相关工作，保证昌吉州重点人才项目柔性引才引进培养并举办了赴内地人才引进、第24批博士服务团调研、组工干部能力素质提升培训、高层次人才赴闽培养、部机关的信息系统集成及通讯软件开发等重点工作完成，实际内容为保障保障工作人员工资福利支出，保证单位日常运行，保障部机关各业务科室正常开展相关工作，保证昌吉州重点人才项目柔性引才引进培养并举办了赴内地人才引进、第24批博士服务团调研、组工干部能力素质提升培训、高层次人才赴闽培养、部机关的信息系统集成及通讯软件开发等重点工作完成。预算申请与《机关运行补助经费实施方案》中涉及的项目内容匹配；本项目预算申请资金1246.5万元，我单位在预算申请中严格按照项目实施内容及测算标准进行核算，其中：援疆费用1238.59万元、人才发展专项费用7.91万元。预算确定资金量与实际工作任务相匹配。本项目预算额度测算依据充分，严格按照标准编制，预算确定资金量与实际工作任务相匹配；综上所述，本指标满分为4.00分，根据评分标准得4分，本项目预算编制科学。（2）资金分配合理性：本项目实际分配资金以根据《关于批复昌吉州本级2024年部门预算的通知》（昌州财预〔2024〕2号）为依据进行资金分配，预算资金分配依据充分。根据《关于批复昌吉州本级2024年部门预算的通知》（昌州财预〔2024〕2号），本项目实际到位资金1246.5万元，资金分配额度合理，与我单位实际需求相适应。综上所述，本指标满分为2.00分，根据评分标准得2分，本项目资金分配合理。</w:t>
      </w:r>
      <w:r>
        <w:rPr>
          <w:rStyle w:val="19"/>
          <w:rFonts w:hint="eastAsia" w:ascii="楷体" w:hAnsi="楷体" w:eastAsia="楷体"/>
          <w:b w:val="0"/>
          <w:bCs w:val="0"/>
          <w:spacing w:val="-4"/>
          <w:sz w:val="32"/>
          <w:szCs w:val="32"/>
        </w:rPr>
        <w:tab/>
      </w:r>
    </w:p>
    <w:p w14:paraId="6675171E">
      <w:pPr>
        <w:spacing w:line="540" w:lineRule="exact"/>
        <w:ind w:firstLine="567" w:firstLineChars="181"/>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14:paraId="704AD660">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项目过程管理类指标由2个二级指标和5个三级指标构成，权重分19.00分，实际得分19分。1.资金管理情况分析：（1）资金到位率，本项目预算资金为1246.5万元，其中：财政安排资金0万元，其他资金1246.5万元，实际到位资金1246.5万元，资金到位率=（实际到位资金/预算资金）×100.00%=（1246.5/1246.5）×100.00%=100%。得分=（实际执行率-60.00%）/（1-60.00%）×4.00=4分。综上所述，本指标满分为4.00分，根据评分标准得4分，本项目资金分配合理。（2）预算执行率：本项目实际支出资金1246.5万元，预算执行率=（实际支出资金/实际到位资金）×100.00%=（1246.5/1246.5）×100.00%=100%；项目已完成，总体完成率为100%；得分=（实际完成率-60.00%）/（1-60.00%）×权重=100%×5.00=5分。综上所述，本指标满分为5.00分，根据评分标准得5分，本项目资金分配合理。（3）资金使用合规性：通过检查本项目签订的合同、资金申请文件、发票等财务付款凭证，得出本项目资金支出符合国家财经法规、《政府会计制度》以及《昌吉州党委组织部“三重一大”事项集体决策制度》《昌吉州党委组织部财务管理制度》《专项资金管理办法》，资金的拨付有完整的审批程序和手续，资金实际使用方向与预算批复用途一致，不存在截留、挤占、挪用、虚列支出的情况。综上所述，本指标满分为4.00分，根据评分标准得4.00分，资金支出符合我单位财务管理制度规定。2.组织实施情况分析：（1）管理制度健全性，我单位已制定《昌吉州党委组织部“三重一大”事项集体决策制度》《昌吉州党委组织部财务管理制度》，上述已建立的制度均符合行政事业单位内控管理要求，财务和业务管理制度合法、合规、完整，本项目执行符合上述制度规定。综上所述，本指标满分为2.00分，根据评分标准得2.00分，项目制度建设健全。（2）制度执行有效性：①该项目的实施符合《昌吉州党委组织部财务管理制度》《昌吉州党委组织部“三重一大”事项集体决策制度》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②经现场查证项目合同书、验收评审表、财务支付凭证等资料齐全并及时归档。③该项目是否存在调整，调整手续是否齐全，如未调整，则填“该项目实施过程中不存在调整事项”。④该项目实施所需要的项目人员和场地设备均已落实到位，具体涉及内容包括：项目资金支出严格按照自治区、地区以及本单位资金管理办法执行，项目启动实施后，为了加快本项目的实施，成立了绩效评价工作领导小组，由付强任组长，负责项目的组织工作；范紫娟任副组长，负责项目的实施工作；组员包括：石瑛和孙晓敏，主要负责项目监督管理、验收以及资金核拨等工作。综上所述，本指标满分为4.00分，根据评分标准得4.00分，本项目所建立制度执行有效。</w:t>
      </w:r>
    </w:p>
    <w:p w14:paraId="4CD9853F">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14:paraId="09DA4215">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项目产出情况：项目产出类指标由5个二级指标和8个三级指标构成，权重分60.00分，实际得分60分。1.数量指标完成情况分析：“保障信息化建设类支出”指标：预期指标值为“≥10次”，实际完成指标值为“=10次”，指标完成率为100.00%。综上所述，本指标满分为3分，根据评分标准得3分。“开展培训”指标：预期指标值为“≥9次”，实际完成指标值为“=9次”，指标完成率为100%。综上所述，本指标满分为3分，根据评分标准得3分。“高层次人才培养人数”指标：预期指标值为“=23人”，实际完成指标值为“=23人”，指标完成率为100%。综上所述，本指标满分为3分，根据评分标准得3分。2.质量指标完成情况分析：“各项保运转工作完成率”指标：预期指标值为“=100%”，实际完成指标值为“=100%”，指标完成率为100%。综上所述，本指标满分为3分，根据评分标准得3分。3.时效指标完成情况分析：“各项工作完成时限”指标：预期指标值为“2024年12月10日”，实际完成指标值为“2024年12月10日”，指标完成率为100%。综上所述，本指标满分为3分，根据评分标准得3分。4.成本指标完成情况分析：（1）经济成本指标完成情况分析，“援疆经费”指标：预期指标值为“≤1238.59万元”，实际完成指标值为“1238.59万元”，指标完成率为100%。综上所述，本指标满分为8分，根据评分标准得8分。“人才发展专项经费”指标：预期指标值为“≤7.91万元”，实际完成指标值为“7.91万元”，指标完成率为100%。综上所述，本指标满分为7分，根据评分标准得7分。（2）社会成本指标完成情况分析，无此类指标。（3）生态环境成本指标完成情况分析，无此类指标。</w:t>
      </w:r>
    </w:p>
    <w:p w14:paraId="6B939A34">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14:paraId="725A7608">
      <w:pPr>
        <w:spacing w:line="540" w:lineRule="exact"/>
        <w:ind w:firstLine="567"/>
        <w:rPr>
          <w:rStyle w:val="19"/>
          <w:rFonts w:hint="eastAsia" w:ascii="楷体" w:hAnsi="楷体" w:eastAsia="楷体"/>
          <w:b w:val="0"/>
          <w:bCs w:val="0"/>
          <w:spacing w:val="-4"/>
          <w:sz w:val="32"/>
          <w:szCs w:val="32"/>
        </w:rPr>
      </w:pPr>
      <w:r>
        <w:rPr>
          <w:rStyle w:val="19"/>
          <w:rFonts w:hint="eastAsia" w:ascii="楷体" w:hAnsi="楷体" w:eastAsia="楷体"/>
          <w:b w:val="0"/>
          <w:bCs w:val="0"/>
          <w:spacing w:val="-4"/>
          <w:sz w:val="32"/>
          <w:szCs w:val="32"/>
        </w:rPr>
        <w:t>项目效益情况：项目效益类指标由1个二级指标和1个三级指标构成，权重分30.00分，实际得分30分。1.经济效益完成情况分析，无此类指标。2.社会效益完成情况分析：“通过人才培养搭建闽昌两地交往交流交融桥梁，推动相关领域优势互补、深入合作”指标：预期指标值为“长期”，实际完成指标值为“达到预期指标”，指标完成率为100.00%。综上所述，本指标满分为30分，根据评分标准得30分。3.生态效益完成情况分析，无此类指标。</w:t>
      </w:r>
    </w:p>
    <w:p w14:paraId="2B8049C7">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项目满意度类指标由0个二级指标和0个三级指标构成，权重分0分，实际得分0分。1.满意度完成情况分析，无此类指标。</w:t>
      </w:r>
    </w:p>
    <w:p w14:paraId="10F5F7C6">
      <w:pPr>
        <w:spacing w:line="540" w:lineRule="exact"/>
        <w:ind w:firstLine="567"/>
        <w:rPr>
          <w:rStyle w:val="19"/>
          <w:rFonts w:hint="eastAsia" w:ascii="楷体" w:hAnsi="楷体" w:eastAsia="楷体"/>
          <w:b w:val="0"/>
          <w:bCs w:val="0"/>
          <w:spacing w:val="-4"/>
          <w:sz w:val="32"/>
          <w:szCs w:val="32"/>
        </w:rPr>
      </w:pPr>
    </w:p>
    <w:p w14:paraId="7F00F73C">
      <w:pPr>
        <w:spacing w:line="540" w:lineRule="exact"/>
        <w:ind w:firstLine="567"/>
        <w:rPr>
          <w:rStyle w:val="19"/>
          <w:rFonts w:ascii="楷体" w:hAnsi="楷体" w:eastAsia="楷体"/>
          <w:spacing w:val="-4"/>
          <w:sz w:val="32"/>
          <w:szCs w:val="32"/>
        </w:rPr>
      </w:pPr>
    </w:p>
    <w:p w14:paraId="2CD367AF">
      <w:pPr>
        <w:numPr>
          <w:ilvl w:val="0"/>
          <w:numId w:val="1"/>
        </w:numPr>
        <w:spacing w:line="540" w:lineRule="exact"/>
        <w:ind w:firstLine="640"/>
        <w:rPr>
          <w:rStyle w:val="19"/>
          <w:rFonts w:hint="eastAsia" w:ascii="黑体" w:hAnsi="黑体" w:eastAsia="黑体"/>
          <w:b w:val="0"/>
          <w:spacing w:val="-4"/>
          <w:sz w:val="32"/>
          <w:szCs w:val="32"/>
        </w:rPr>
      </w:pPr>
      <w:r>
        <w:rPr>
          <w:rStyle w:val="19"/>
          <w:rFonts w:hint="eastAsia" w:ascii="黑体" w:hAnsi="黑体" w:eastAsia="黑体"/>
          <w:b w:val="0"/>
          <w:spacing w:val="-4"/>
          <w:sz w:val="32"/>
          <w:szCs w:val="32"/>
        </w:rPr>
        <w:t>主要经验及做法、存在的问题及原因分析</w:t>
      </w:r>
    </w:p>
    <w:p w14:paraId="514186B7">
      <w:pPr>
        <w:spacing w:line="540" w:lineRule="exact"/>
        <w:ind w:firstLine="567"/>
        <w:rPr>
          <w:rFonts w:ascii="仿宋_GB2312" w:eastAsia="仿宋_GB2312"/>
          <w:spacing w:val="-4"/>
          <w:sz w:val="32"/>
          <w:szCs w:val="32"/>
        </w:rPr>
      </w:pPr>
      <w:r>
        <w:rPr>
          <w:rStyle w:val="19"/>
          <w:rFonts w:hint="eastAsia" w:ascii="楷体" w:hAnsi="楷体" w:eastAsia="楷体"/>
          <w:b w:val="0"/>
          <w:bCs w:val="0"/>
          <w:spacing w:val="-4"/>
          <w:sz w:val="32"/>
          <w:szCs w:val="32"/>
        </w:rPr>
        <w:t xml:space="preserve">（一）主要经验及做法：在机关运行补助经费项目实施过程中，科学的预算编制是关键。通过对机关各项工作的细致梳理，结合往年经费使用情况和当年工作重点，制定合理的预算方案。细化预算科目，明确各项经费的支出范围和标准，确保经费分配的合理性和精准性。同时，建立预算动态调整机制，根据工作实际进展和需求变化，及时调整预算安排，提高经费使用效率。机关运行补助经费项目涉及多个部门和环节，加强沟通协调至关重要。建立定期的沟通协调机制，加强部门之间的信息共享和协作配合。及时解决经费使用过程中出现的问题，形成工作合力。同时，加强与上级主管部门和财政部门的沟通联系，争取政策支持和经费保障，为项目的顺利实施创造良好的外部环境。（二）存在的问题及原因分析：对部分工作任务的复杂性和成本估计不充分，致使预算与实际需求偏差大，尽管制度完善，但在实际操作中，资金支付不及时等情况仍时有发生，监督执行力度有待提升。资源配置不合理：存在资产分配不均衡现象，部分部门设备闲置，另一些部门设备短缺，影响工作效率。绩效指标未能全面准确反映经费使用效益，评估过程主观性强，导致评估结果不能有效指导经费管理。沟通协调效率低：部门间沟通协作存在障碍，信息传递不及时，在经费申请、审批和使用过程中出现延误，影响项目进度。 </w:t>
      </w:r>
    </w:p>
    <w:p w14:paraId="32449687">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lang w:val="en-US" w:eastAsia="zh-CN"/>
        </w:rPr>
        <w:t>六</w:t>
      </w:r>
      <w:r>
        <w:rPr>
          <w:rStyle w:val="19"/>
          <w:rFonts w:hint="eastAsia" w:ascii="黑体" w:hAnsi="黑体" w:eastAsia="黑体"/>
          <w:b w:val="0"/>
          <w:spacing w:val="-4"/>
          <w:sz w:val="32"/>
          <w:szCs w:val="32"/>
        </w:rPr>
        <w:t>、有关建议</w:t>
      </w:r>
    </w:p>
    <w:p w14:paraId="427C04DE">
      <w:pPr>
        <w:spacing w:line="540" w:lineRule="exact"/>
        <w:ind w:firstLine="567"/>
        <w:rPr>
          <w:rStyle w:val="19"/>
          <w:rFonts w:ascii="楷体" w:hAnsi="楷体" w:eastAsia="楷体"/>
          <w:spacing w:val="-4"/>
          <w:sz w:val="32"/>
          <w:szCs w:val="32"/>
        </w:rPr>
      </w:pPr>
      <w:r>
        <w:rPr>
          <w:rStyle w:val="19"/>
          <w:rFonts w:hint="eastAsia" w:ascii="楷体" w:hAnsi="楷体" w:eastAsia="楷体"/>
          <w:b w:val="0"/>
          <w:bCs w:val="0"/>
          <w:spacing w:val="-4"/>
          <w:sz w:val="32"/>
          <w:szCs w:val="32"/>
        </w:rPr>
        <w:t>将预算科目细化到具体的工作事项、设备购置、服务采购等，明确各项费用的具体用途和金额，提高预算的可操作性和可控性。预留弹性空间：考虑到可能出现的临时性任务、突发情况或不可预见的费用支出，在预算中设置一定比例的机动经费，以增强预算的灵活性。加强部门参与：鼓励各部门积极参与预算编制，充分听取他们的意见和建议，使预算更符合实际工作需求，提高部门执行预算的积极性和责任感。以机关实际需求为导向，确定项目核心目标与具体工作边界，防止目标模糊或范围随意变更，比如明确办公设备采购项目的规格、数量及适用部门。 制定详细计划：分解项目任务，设定关键节点与里程碑，明确各阶段任务、责任人及时间限制，保障项目有序推进。执行阶段：严格流程管理：规范项目流程，从经费申请、物资采购到服务验收，各环节严格按既定流程执行，确保项目实施的规范性。加强沟通协调：搭建高效沟通平台，促进部门间信息共享与协同合作，及时解决项目推进中的问题。</w:t>
      </w:r>
    </w:p>
    <w:p w14:paraId="1A660EC4">
      <w:pPr>
        <w:spacing w:line="540" w:lineRule="exact"/>
        <w:ind w:firstLine="640"/>
        <w:rPr>
          <w:rStyle w:val="19"/>
          <w:rFonts w:ascii="黑体" w:hAnsi="黑体" w:eastAsia="黑体"/>
          <w:b w:val="0"/>
          <w:spacing w:val="-4"/>
          <w:sz w:val="32"/>
          <w:szCs w:val="32"/>
        </w:rPr>
      </w:pPr>
      <w:r>
        <w:rPr>
          <w:rStyle w:val="19"/>
          <w:rFonts w:hint="eastAsia" w:ascii="黑体" w:hAnsi="黑体" w:eastAsia="黑体"/>
          <w:b w:val="0"/>
          <w:spacing w:val="-4"/>
          <w:sz w:val="32"/>
          <w:szCs w:val="32"/>
          <w:lang w:val="en-US" w:eastAsia="zh-CN"/>
        </w:rPr>
        <w:t>七</w:t>
      </w:r>
      <w:r>
        <w:rPr>
          <w:rStyle w:val="19"/>
          <w:rFonts w:hint="eastAsia" w:ascii="黑体" w:hAnsi="黑体" w:eastAsia="黑体"/>
          <w:b w:val="0"/>
          <w:spacing w:val="-4"/>
          <w:sz w:val="32"/>
          <w:szCs w:val="32"/>
        </w:rPr>
        <w:t>、其他需要说明的问题</w:t>
      </w:r>
    </w:p>
    <w:p w14:paraId="4FDA9633">
      <w:pPr>
        <w:spacing w:line="540" w:lineRule="exact"/>
        <w:ind w:firstLine="567"/>
        <w:rPr>
          <w:rStyle w:val="19"/>
          <w:rFonts w:ascii="楷体" w:hAnsi="楷体" w:eastAsia="楷体"/>
          <w:b w:val="0"/>
          <w:bCs w:val="0"/>
          <w:spacing w:val="-4"/>
          <w:sz w:val="32"/>
          <w:szCs w:val="32"/>
        </w:rPr>
      </w:pPr>
      <w:r>
        <w:rPr>
          <w:rStyle w:val="19"/>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二）评价结果作为安排政府预算、完善政策和改进管理的重要依据。原则上，对评价等级为优、良的，根据情况予以支持；对评价等级为中、差的，要完善政策、改进管理，根据情况核减预算。（三）评价结果分别编入政府决算和部门预算，报送本级人民代表大会常务委员会，并依法予以公开。（四）对使用财政资金严重低效无效并造成重大损失的责任人，要按照相关规定追责问责。对绩效评价过程中发现的资金使用单位和个人的财政违法行为，依照《中华人民共和国预算法》《财政违法行为处罚处分条例》等有关规定追究责任，发现违纪违法问题线索的，应当及时移送纪检监察机关。（五）工作人员在绩效评价管理工作中存在违反《项目支出绩效评价管理办法》（财预〔2020〕10号）文件行为的，其他滥用职权、玩忽职守、徇私舞弊等违法违纪行为的，依照《中华人民共和国预算法》《中华人民共和国公务员法》《中华人民共和国监察法》《财政违法行为处罚处分条例》等国家有关规定追究相应责任，涉嫌犯罪的，依法移送司法机关处理。</w:t>
      </w:r>
    </w:p>
    <w:p w14:paraId="73D0D2E6">
      <w:pPr>
        <w:spacing w:line="540" w:lineRule="exact"/>
        <w:ind w:firstLine="567"/>
        <w:rPr>
          <w:rStyle w:val="19"/>
          <w:rFonts w:ascii="仿宋" w:hAnsi="仿宋" w:eastAsia="仿宋"/>
          <w:b w:val="0"/>
          <w:spacing w:val="-4"/>
          <w:sz w:val="32"/>
          <w:szCs w:val="32"/>
        </w:rPr>
      </w:pPr>
    </w:p>
    <w:p w14:paraId="41A3D94F">
      <w:pPr>
        <w:spacing w:line="540" w:lineRule="exact"/>
        <w:ind w:firstLine="567"/>
        <w:rPr>
          <w:rStyle w:val="19"/>
          <w:rFonts w:ascii="仿宋" w:hAnsi="仿宋" w:eastAsia="仿宋"/>
          <w:b w:val="0"/>
          <w:spacing w:val="-4"/>
          <w:sz w:val="32"/>
          <w:szCs w:val="32"/>
        </w:rPr>
      </w:pPr>
    </w:p>
    <w:p w14:paraId="241F8792">
      <w:pPr>
        <w:spacing w:line="540" w:lineRule="exact"/>
        <w:ind w:firstLine="567"/>
        <w:rPr>
          <w:rStyle w:val="19"/>
          <w:rFonts w:ascii="仿宋" w:hAnsi="仿宋" w:eastAsia="仿宋"/>
          <w:b w:val="0"/>
          <w:spacing w:val="-4"/>
          <w:sz w:val="32"/>
          <w:szCs w:val="32"/>
        </w:rPr>
      </w:pPr>
    </w:p>
    <w:p w14:paraId="45DCC460">
      <w:pPr>
        <w:spacing w:line="540" w:lineRule="exact"/>
        <w:ind w:firstLine="567"/>
        <w:rPr>
          <w:rStyle w:val="19"/>
          <w:rFonts w:ascii="仿宋" w:hAnsi="仿宋" w:eastAsia="仿宋"/>
          <w:b w:val="0"/>
          <w:spacing w:val="-4"/>
          <w:sz w:val="32"/>
          <w:szCs w:val="32"/>
        </w:rPr>
      </w:pPr>
    </w:p>
    <w:p w14:paraId="244CBE39">
      <w:pPr>
        <w:spacing w:line="540" w:lineRule="exact"/>
        <w:ind w:firstLine="567"/>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1F3AD2F1">
        <w:pPr>
          <w:pStyle w:val="12"/>
          <w:jc w:val="center"/>
        </w:pPr>
        <w:r>
          <w:fldChar w:fldCharType="begin"/>
        </w:r>
        <w:r>
          <w:instrText xml:space="preserve">PAGE   \* MERGEFORMAT</w:instrText>
        </w:r>
        <w:r>
          <w:fldChar w:fldCharType="separate"/>
        </w:r>
        <w:r>
          <w:rPr>
            <w:lang w:val="zh-CN"/>
          </w:rPr>
          <w:t>2</w:t>
        </w:r>
        <w:r>
          <w:fldChar w:fldCharType="end"/>
        </w:r>
      </w:p>
    </w:sdtContent>
  </w:sdt>
  <w:p w14:paraId="7CD61140">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000000"/>
    <w:rsid w:val="1F79616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6"/>
    <w:semiHidden/>
    <w:unhideWhenUsed/>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uiPriority w:val="10"/>
    <w:rPr>
      <w:rFonts w:asciiTheme="majorHAnsi" w:hAnsiTheme="majorHAnsi" w:eastAsiaTheme="majorEastAsia"/>
      <w:b/>
      <w:bCs/>
      <w:kern w:val="28"/>
      <w:sz w:val="32"/>
      <w:szCs w:val="32"/>
    </w:rPr>
  </w:style>
  <w:style w:type="character" w:customStyle="1" w:styleId="31">
    <w:name w:val="副标题 Char"/>
    <w:basedOn w:val="18"/>
    <w:link w:val="14"/>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uiPriority w:val="99"/>
    <w:rPr>
      <w:rFonts w:ascii="Calibri" w:hAnsi="Calibri" w:eastAsia="宋体"/>
      <w:kern w:val="2"/>
      <w:sz w:val="18"/>
      <w:szCs w:val="18"/>
    </w:rPr>
  </w:style>
  <w:style w:type="character" w:customStyle="1" w:styleId="45">
    <w:name w:val="页脚 Char"/>
    <w:basedOn w:val="18"/>
    <w:link w:val="12"/>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86A4BE803B594D54BB30BEB283D7FDDD_13</vt:lpwstr>
  </property>
</Properties>
</file>

<file path=customXml/itemProps1.xml><?xml version="1.0" encoding="utf-8"?>
<ds:datastoreItem xmlns:ds="http://schemas.openxmlformats.org/officeDocument/2006/customXml" ds:itemID="{47fb4660-5de0-46cc-954a-b82e659348a9}">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1432</Words>
  <Characters>1515</Characters>
  <Lines>4</Lines>
  <Paragraphs>1</Paragraphs>
  <TotalTime>7</TotalTime>
  <ScaleCrop>false</ScaleCrop>
  <LinksUpToDate>false</LinksUpToDate>
  <CharactersWithSpaces>1527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恺_xFF08_预算处_xFF09_</dc:creator>
  <cp:lastModifiedBy>巴霍巴利</cp:lastModifiedBy>
  <cp:lastPrinted>2018-12-31T10:56:00Z</cp:lastPrinted>
  <dcterms:modified xsi:type="dcterms:W3CDTF">2026-06-08T09:25:01Z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86A4BE803B594D54BB30BEB283D7FDDD_13</vt:lpwstr>
  </property>
  <property fmtid="{D5CDD505-2E9C-101B-9397-08002B2CF9AE}" pid="4" name="KSOTemplateDocerSaveRecord">
    <vt:lpwstr>eyJoZGlkIjoiYmIyMGIzMGJlM2Y1MTVkM2JhYjA2MDhhYzY1MzViNWUiLCJ1c2VySWQiOiI0MzI3ODY3NDQifQ==</vt:lpwstr>
  </property>
</Properties>
</file>