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3C8BB">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05B874BF">
      <w:pPr>
        <w:spacing w:line="540" w:lineRule="exact"/>
        <w:jc w:val="center"/>
        <w:rPr>
          <w:rFonts w:hint="eastAsia" w:ascii="华文中宋" w:hAnsi="华文中宋" w:eastAsia="华文中宋" w:cs="宋体"/>
          <w:b/>
          <w:kern w:val="0"/>
          <w:sz w:val="52"/>
          <w:szCs w:val="52"/>
        </w:rPr>
      </w:pPr>
    </w:p>
    <w:p w14:paraId="10636974">
      <w:pPr>
        <w:spacing w:line="540" w:lineRule="exact"/>
        <w:jc w:val="center"/>
        <w:rPr>
          <w:rFonts w:hint="eastAsia" w:ascii="华文中宋" w:hAnsi="华文中宋" w:eastAsia="华文中宋" w:cs="宋体"/>
          <w:b/>
          <w:kern w:val="0"/>
          <w:sz w:val="52"/>
          <w:szCs w:val="52"/>
        </w:rPr>
      </w:pPr>
    </w:p>
    <w:p w14:paraId="50D1451B">
      <w:pPr>
        <w:spacing w:line="540" w:lineRule="exact"/>
        <w:jc w:val="center"/>
        <w:rPr>
          <w:rFonts w:hint="eastAsia" w:ascii="华文中宋" w:hAnsi="华文中宋" w:eastAsia="华文中宋" w:cs="宋体"/>
          <w:b/>
          <w:kern w:val="0"/>
          <w:sz w:val="52"/>
          <w:szCs w:val="52"/>
        </w:rPr>
      </w:pPr>
    </w:p>
    <w:p w14:paraId="0754FEF8">
      <w:pPr>
        <w:spacing w:line="540" w:lineRule="exact"/>
        <w:jc w:val="center"/>
        <w:rPr>
          <w:rFonts w:hint="eastAsia" w:ascii="华文中宋" w:hAnsi="华文中宋" w:eastAsia="华文中宋" w:cs="宋体"/>
          <w:b/>
          <w:kern w:val="0"/>
          <w:sz w:val="52"/>
          <w:szCs w:val="52"/>
        </w:rPr>
      </w:pPr>
    </w:p>
    <w:p w14:paraId="62C6219F">
      <w:pPr>
        <w:spacing w:line="540" w:lineRule="exact"/>
        <w:jc w:val="center"/>
        <w:rPr>
          <w:rFonts w:hint="eastAsia" w:ascii="华文中宋" w:hAnsi="华文中宋" w:eastAsia="华文中宋" w:cs="宋体"/>
          <w:b/>
          <w:kern w:val="0"/>
          <w:sz w:val="52"/>
          <w:szCs w:val="52"/>
        </w:rPr>
      </w:pPr>
    </w:p>
    <w:p w14:paraId="6604AD12">
      <w:pPr>
        <w:spacing w:line="540" w:lineRule="exact"/>
        <w:jc w:val="center"/>
        <w:rPr>
          <w:rFonts w:hint="eastAsia" w:ascii="华文中宋" w:hAnsi="华文中宋" w:eastAsia="华文中宋" w:cs="宋体"/>
          <w:b/>
          <w:kern w:val="0"/>
          <w:sz w:val="52"/>
          <w:szCs w:val="52"/>
        </w:rPr>
      </w:pPr>
    </w:p>
    <w:p w14:paraId="5C708359">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36BD82E">
      <w:pPr>
        <w:spacing w:line="540" w:lineRule="exact"/>
        <w:jc w:val="center"/>
        <w:rPr>
          <w:rFonts w:hint="eastAsia" w:ascii="华文中宋" w:hAnsi="华文中宋" w:eastAsia="华文中宋" w:cs="宋体"/>
          <w:b/>
          <w:kern w:val="0"/>
          <w:sz w:val="52"/>
          <w:szCs w:val="52"/>
        </w:rPr>
      </w:pPr>
    </w:p>
    <w:p w14:paraId="3B51374D">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5C34F9A">
      <w:pPr>
        <w:spacing w:line="540" w:lineRule="exact"/>
        <w:jc w:val="center"/>
        <w:rPr>
          <w:rFonts w:hint="eastAsia" w:hAnsi="宋体" w:eastAsia="仿宋_GB2312" w:cs="宋体"/>
          <w:kern w:val="0"/>
          <w:sz w:val="30"/>
          <w:szCs w:val="30"/>
        </w:rPr>
      </w:pPr>
    </w:p>
    <w:p w14:paraId="20D19D7D">
      <w:pPr>
        <w:spacing w:line="540" w:lineRule="exact"/>
        <w:jc w:val="center"/>
        <w:rPr>
          <w:rFonts w:hint="eastAsia" w:hAnsi="宋体" w:eastAsia="仿宋_GB2312" w:cs="宋体"/>
          <w:kern w:val="0"/>
          <w:sz w:val="30"/>
          <w:szCs w:val="30"/>
        </w:rPr>
      </w:pPr>
    </w:p>
    <w:p w14:paraId="24939662">
      <w:pPr>
        <w:spacing w:line="540" w:lineRule="exact"/>
        <w:jc w:val="center"/>
        <w:rPr>
          <w:rFonts w:hint="eastAsia" w:hAnsi="宋体" w:eastAsia="仿宋_GB2312" w:cs="宋体"/>
          <w:kern w:val="0"/>
          <w:sz w:val="30"/>
          <w:szCs w:val="30"/>
        </w:rPr>
      </w:pPr>
    </w:p>
    <w:p w14:paraId="4CFCFC80">
      <w:pPr>
        <w:spacing w:line="540" w:lineRule="exact"/>
        <w:jc w:val="center"/>
        <w:rPr>
          <w:rFonts w:hint="eastAsia" w:hAnsi="宋体" w:eastAsia="仿宋_GB2312" w:cs="宋体"/>
          <w:kern w:val="0"/>
          <w:sz w:val="30"/>
          <w:szCs w:val="30"/>
        </w:rPr>
      </w:pPr>
    </w:p>
    <w:p w14:paraId="206F9E9B">
      <w:pPr>
        <w:spacing w:line="540" w:lineRule="exact"/>
        <w:jc w:val="center"/>
        <w:rPr>
          <w:rFonts w:hint="eastAsia" w:hAnsi="宋体" w:eastAsia="仿宋_GB2312" w:cs="宋体"/>
          <w:kern w:val="0"/>
          <w:sz w:val="30"/>
          <w:szCs w:val="30"/>
        </w:rPr>
      </w:pPr>
    </w:p>
    <w:p w14:paraId="75246D8F">
      <w:pPr>
        <w:spacing w:line="540" w:lineRule="exact"/>
        <w:jc w:val="center"/>
        <w:rPr>
          <w:rFonts w:hint="eastAsia" w:hAnsi="宋体" w:eastAsia="仿宋_GB2312" w:cs="宋体"/>
          <w:kern w:val="0"/>
          <w:sz w:val="30"/>
          <w:szCs w:val="30"/>
        </w:rPr>
      </w:pPr>
    </w:p>
    <w:p w14:paraId="118BEB35">
      <w:pPr>
        <w:spacing w:line="540" w:lineRule="exact"/>
        <w:rPr>
          <w:rFonts w:hint="eastAsia" w:hAnsi="宋体" w:eastAsia="仿宋_GB2312" w:cs="宋体"/>
          <w:kern w:val="0"/>
          <w:sz w:val="30"/>
          <w:szCs w:val="30"/>
        </w:rPr>
      </w:pPr>
    </w:p>
    <w:p w14:paraId="3FCB053B">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6A946C04">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文体活动进景区补助经费</w:t>
      </w:r>
    </w:p>
    <w:p w14:paraId="5B00CF83">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昌吉回族自治州文化体育广播电视和旅游局</w:t>
      </w:r>
    </w:p>
    <w:p w14:paraId="4925AA4F">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昌吉回族自治州文化体育广播电视和旅游局</w:t>
      </w:r>
    </w:p>
    <w:p w14:paraId="45036ABF">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张磊</w:t>
      </w:r>
    </w:p>
    <w:p w14:paraId="2F22F742">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6B745898">
      <w:pPr>
        <w:spacing w:line="700" w:lineRule="exact"/>
        <w:ind w:firstLine="708" w:firstLineChars="236"/>
        <w:jc w:val="left"/>
        <w:rPr>
          <w:rFonts w:hint="eastAsia" w:hAnsi="宋体" w:eastAsia="仿宋_GB2312" w:cs="宋体"/>
          <w:kern w:val="0"/>
          <w:sz w:val="30"/>
          <w:szCs w:val="30"/>
        </w:rPr>
      </w:pPr>
    </w:p>
    <w:p w14:paraId="6977B335">
      <w:pPr>
        <w:spacing w:line="540" w:lineRule="exact"/>
        <w:rPr>
          <w:rStyle w:val="18"/>
          <w:rFonts w:hint="eastAsia" w:ascii="黑体" w:hAnsi="黑体" w:eastAsia="黑体"/>
          <w:b w:val="0"/>
          <w:spacing w:val="-4"/>
          <w:sz w:val="32"/>
          <w:szCs w:val="32"/>
        </w:rPr>
      </w:pPr>
    </w:p>
    <w:p w14:paraId="3022D8FD">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EB287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2F7D47A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党财〔2023〕1号文件要求，为深入实施“文化润疆”和“旅游兴疆”战略，2023年州文旅局实施文体活动进景区项目，通过结合州人民政府本年度安排的重点文旅融合活动，增加景区文化内涵，延长游客在景区停留时间，加快门票经济向旅游综合经济转变，拉动我州旅游市场综合消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（1）项目名称：文化进景区项目（以下简称“该项目”或“项目”）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主要内容为支持阜康市天山天池景区、农高区新疆农博园景区、奇台县腰站子景区开展形式多样、文旅体融合、老百姓喜闻乐见的文化旅游活动25场次，增加景区文化内涵，延长游客在景区停留时间，加快门票经济向旅游综合经济转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实施主体：昌吉州文化体育广播电视和旅游局。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一是结合自治区文旅厅“村晚”重点活动，支持腰站子村承办自治区“村晚”活动。全年五场次围绕“村晚”预热活动和主活动取得了圆满成功，吸引媒体曝光量600万人次，自治区文旅厅给与高度评价，获评国家“村晚”示范点，带火了周边乡村年货节、百姓大舞台等乡村旅游业态，累计吸引周边游客15万人次，拉动江布拉克、吉布库镇农家乐、民宿、农产品等综合消费640.00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结合自治区巡视组对州党委巡视问题清单，以加快天山天池资源开发、挖掘西王母神话、拓展天山天池景区游客体验项目为目的，支持天山天池景区围绕世界自然遗产文化，举办大锅羊肉节、新年祈福节、冰雪风情节等文化旅游融合节庆活动，通过核心景区客流量传播昌吉州特色文化，增加天山天池景区客流量和游客体验项目。各类活动累计报道53篇，2023年，天山天池景区客流达历史峰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结合州人民政府安排“庭州文化艺术节”重点活动，以打造周末根据地、以节造势、吸引乌吐石克哈游客、培育游客沉浸式体验消费项目为目的，支持新疆农博园景区举办菊花展、冰雪文化长廊、“喜宴”节目、非遗展等文旅融合活动，增强景区吸引力，打造新疆研学、亲子、科普、周末游综合目的地。2023年，全年举办相关文化活动15场次。本项目实施后，带动新疆农博园景区投资300余万元，打造疆内首个回民宴席实景剧，在全疆形成一定品牌影响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11月开始实施，截止2024年3月已全部完成，通过本项目的实施，扩大了我州文旅融合品牌知名度和影响力，丰富了我州冬春季旅游市场供给，提升了重点景区的文化内涵，加快实施了文旅融合提质行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(一)牢牢掌握意识形态工作领导权和主动权，拟订文化、体育、广播电视和旅游事业发展规划和政策措施、规章制度，并组织实施。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(二)统筹文化、体育、广播电视和旅游事业、产业振兴发展，推进文化、体育、广播电视和旅游融合发展，推动落实文化、体育、广播电视和旅游体制机制改革工作。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管理自治州重大文化、体育和旅游活动，指导自治州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(五)指导文化和旅游市场发展，对文化和旅游市场经营进行行业监管，推进文化和旅游行业信用体系建设，依法规范文化和旅游市场。负责文化和旅游安全的综合协调与监督管理，指导文化和旅游应急救援工作。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(六)管理全州文艺事业，指导艺术创作生产、传播推广及艺术研究、评论，推动各门类艺术、各艺术品种繁荣发展。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(七)管理公共文化事业，协调推进全州现代公共文化服务体系建设，深入实施文化惠民工程，推动城乡基本公共文化服务标准化、均等化。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(八)管理全州非物质文化遗产保护工作，推动非物质文化遗产的保护、传承、普及、弘扬和振兴，传承和弘扬中华优秀传统文化。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管理、指导全州体育发展;负责推动多元化体育服务体系建设，推进体育公共服务。统筹规划全州群众体育发展，负责推行全民健身计划，推动国民体质监测和社会体育指导工作队伍制度建设;指导公共体育设施的建设，负责对公共体育设施的监督管理。统筹规划全州竞技体育发展，设置体育运动项目，指导协调体育训练和体育竞赛，承办和参加全国、全区性的运动竞赛，指导运动队伍建设，协调运动员社会保障工作;统筹规划全州青少年体育发展，指导和推进青少年体育工作。协调、指导、管理我州承办的国际性、商业性体育比赛和经批准开展的特殊体育经营活动。负责体育彩票发行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指导实施广播电视节目评价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(十一)指导统筹文物工作。负责文物保护管理、抢救维修、科技研究、文物鉴定、文物进出境以及宣传教育等工作。指导博物馆和革命文物工作。依法规范社会文物流通、经销和拍卖活动等工作。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指导自治州文化市场综合执法工作。拟订文化和旅游市场综合执法工作标准与规范并监督实施;指导、推动自治州文化市场综合执法队伍建设;指导、监督全州文化和旅游市场综合执法工作;承担行政复议工作，维护市场秩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(十三)指导、管理文化、体育和旅游对外及对港澳台交流、合作、宣传、推广;组织文化、体育和旅游对外及对港澳台交流活动。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(十四)完成自治州党委、自治州人民政府交办的其他任务。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州党委办公室、政府办公室《昌吉回族自治州文化体育广播电视和旅游局职能配置、内设机构和人员编制规定》（昌州党办字[2019]49号），昌吉州文化体育广播电视和旅游局（以下简称“州文旅局”）为正处级单位，机关核定行政编制27名，其中：处级领导职数4名，科级领导职数12名。列机关工勤编制5名。内设8个科室：办公室（组织人事科）、规划产业科、市场监督管理科（行政审批科）、文化艺术科、体育科、广播电视管理科、文物保护管理科。其中，科级领导职数12名(正科级8名，副科级4名)，截至目前，已配备科级干部12名（正科级8名，副科级4名），空余科级干部岗位0名（正科级0名，副科级0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本项目预算安排总额为50.00万元，资金来源为本级部门预算，其中：财政资金50.00万元，其他资金0.00万元，2023年实际收到预算资金50.00万元，预算资金到位率为100.00%。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50.00万元，预算执行率100.00%。本项目资金主要用于支付新疆农博园举办“喜宴”8场次，支持举办冬季“非遗文创集市暨冰雪装备展”共7场次，补助30.00万元;西域旅游公司举办冬季“登高望远祈福节”、大锅羊肉节、冰雪风情节5场次，补助10.00万元;奇台县半截沟镇腰站子村举办冬季“村晚”5场次，补助10.00万元。</w:t>
      </w:r>
    </w:p>
    <w:p w14:paraId="7432E8B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6016E23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文旅融合节庆活动20场次、开展展陈宣传，举办线上营销活动5场次、冰雪文旅、文旅融合活动举办率达90.00%以上、景区文体旅活动覆盖率达30.00%以上、项目完成及时率达90.00%以上。通过开展文化体育展演、非遗展示进景区等线上线下活动，催热我州冬春季旅游市场，加大“引客入昌”，实现旅游人次、收入增加，推动文旅融合，进一步满足疆内外旅客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“开展文旅融合节庆活动”指标，预期指标值为“大于等于20场次”；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“开展展陈宣传、举办线上营销活动”指标，预期指标值为“大于等于5场次”；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“冰雪文旅、文体融合活动举办率”指标，预期指标值为“大于等于90.00%”；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“景区文体旅活动覆盖率”指标，预期指标值为“大于30.00%”；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“项目完成及时率”指标，预期指标值为“大于等于90.00%”；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“预算空置率”指标，预期指标值为“小于等于100.00%”；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“项目资金概算”指标，预期指标值为“等于50.00万元”；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“昌吉州文旅品牌知名度和影响力”指标，预期指标值为“有效提升”；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“文旅企业满意度”指标，预期指标值为“大于等于90.00%”。</w:t>
      </w:r>
    </w:p>
    <w:p w14:paraId="68F220B0">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BDCFAA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789603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此次我单位根据《财政支出绩效评价管理暂行办法》（财预〔2020〕10号）文件要求实施评价工作，本次评价对象为文化进景区项目，评价核心为项目资金、项目产出、项目效益。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(5)《昌吉州文旅局财务管理办法》；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(6)《昌吉州文旅局合同管理办法》；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(7)《昌吉州文旅局资产管理办法》；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(8)《昌吉州文旅局政府采购管理办法》。</w:t>
      </w:r>
    </w:p>
    <w:p w14:paraId="4C3C0B1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6837D8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D727E26">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5C5E722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杨建伟（评价小组组长）：主要负责项目策划和监督，全面负责项目绩效评价办稿的最终质量，对评估人员出具的最终报告质量进行复核，确保评估结果的客观性；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许金卉（评价小组组员）：主要负责资料的收集，取证、数据统计分析；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杨景茜（评价小组组员）：主要负责主要负责项目报告的制定，指标的研判，数据分析及报告撰写。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2024年3月6日-3月13日，评价工作进入实施阶段。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经调研了解，该项目主要受益群体包括涉旅企业。我们根据绩效评价目标和绩效指标体系，设计满意度调查问卷进行问卷调查，其中奖补受益对象共选取样本120家，共发放问卷120份，最终收回120份。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2024年3月14日-3月20日，评价小组按照绩效评价的原则和规范，对取得的资料进行审查核实，对采集的数据进行分析，按照绩效评价指标评分表逐项进行打分、分析、汇总各方评价结果。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2024年3月20日-3月31日，评价小组撰写绩效评价报告，按照新疆维吾尔自治区财政绩效管理信息系统绩效评价模块中统一格式和文本框架撰写绩效评价报告并提交审核。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E4E8090">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4A6DCD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文旅融合节庆活动20场次、开展展陈宣传，举办线上营销活动5场次、冰雪文旅、文旅融合活动举办率达100.00%、景区文体旅活动覆盖率达100.00%、项目完成及时率达100.00%，发挥了推动文旅融合，进一步满足疆内外游客市场需求的效益。但在实施过程中也存在一些不足：绩效预算认识不够充分，绩效理念有待进一步强化。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100.00%。最终评分结果：总分为100.00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项目产出类指标共设置7个，满分指标7个，得分率100.00%；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60731DB6">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B47C7C1">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BC6FB86">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本项目立项符合中共中央办公厅、国务院办公厅印发</w:t>
      </w:r>
      <w:r>
        <w:rPr>
          <w:rStyle w:val="18"/>
          <w:rFonts w:hint="eastAsia" w:ascii="楷体" w:hAnsi="楷体" w:eastAsia="楷体"/>
          <w:b w:val="0"/>
          <w:bCs w:val="0"/>
          <w:spacing w:val="-4"/>
          <w:sz w:val="32"/>
          <w:szCs w:val="32"/>
          <w:lang w:eastAsia="zh-CN"/>
        </w:rPr>
        <w:t>《“十四五”文化发展规划》</w:t>
      </w:r>
      <w:r>
        <w:rPr>
          <w:rStyle w:val="18"/>
          <w:rFonts w:hint="eastAsia" w:ascii="楷体" w:hAnsi="楷体" w:eastAsia="楷体"/>
          <w:b w:val="0"/>
          <w:bCs w:val="0"/>
          <w:spacing w:val="-4"/>
          <w:sz w:val="32"/>
          <w:szCs w:val="32"/>
        </w:rPr>
        <w:t>中：“依托文化资源培育旅游产品、提升旅游品位，让人们在领略自然之美中感悟文化之美、陶冶心灵之美。深入挖掘地域文化特色，将文化内容、文化符号、文化故事融入景区景点，把社会主义先进文化、革命文化、中华优秀传统文化纳入旅游的线路设计、展陈展示、讲解体验，让旅游成为人们感悟中华文化、增强文化自信的过程。”；本项目立项符合中共昌吉州委员会办公室昌吉州人民政府办公室印发《关于进一步推进昌吉州全域旅游高质量发展的实施意见》的通知中：“深化文旅融合。坚持以文塑旅、以旅彰文，推进文化和旅游深度融合发展。力推新疆大剧院《千回西域》演出品牌，打造《北庭故城(暂定名)》精品剧目，鼓励有条件的县市推出1-2”内容，部旅游演艺精品，支持《别失八里》《天山兄弟情》《天山。誓言》等剧目交流演出，持续开展“文艺进景区”系列活动，打响昌吉州文化品牌。符合行业发展规划和政策要求；本项目立项符合《昌吉回族自治州文化体育广播电视和旅游局职能配置、内设机构和人员编制规定》中职责范围中的“管理全州文艺事业，知道艺术创作生产、传播推广及艺术研究、评论，推动各门类艺术、各艺术品种繁荣发展”，属于我单位履职所需；根据《财政资金直接支付申请书》，本项目资金性质为“公共财政预算”功能分类为“文化活动”经济分类为“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下达昌吉州本级预算单位2023年部门预算的通知》(昌州党财〔2023〕1号)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主要针对今冬明春冰雪旅游过质量发展，支持县市、园区文旅部门指导旅行社、文旅企业、乡镇村集体和农民合作社等，积极举办“昌吉的冬日·别样的温暖”文化、体育+旅游节庆活动，进一步丰富游客冬季旅游的需求体验。”本项目实际工作内容为：用于对新疆农业博览园、西域旅游公司、奇台腰站子村“文化进景区”节庆、展示展演活动的补助，共计补助18场次，50.00万元。绩效目标与实际工作内容一致，两者具有相关性;本项目按照绩效目标完成了数量指标、质量指标、时效指标、成本指标，有效保障了推动文旅融合，进一步满足疆内外旅客需求，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本项目预算编制通过往年项目执行情况估算得出，即预算编制较科学且经过论证；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预算申请内容为文化进景区，项目实际内容为文化进景区，预算申请与《文化进景区项目实施方案》中涉及的项目内容匹配；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50.00万元，我单位在预算申请中严格按照单位标准和数量进行核算，其中：新疆农博园举办“喜宴”8场次，支持举办冬季“非遗文创集市暨冰雪装备展”共7场次，补助30.00万元;西域旅游公司支持举办冬季“登高望远祈福节”、大9锅羊肉节、冰雪风情节5场次，补助10.00万元;腰站子村支持举办冬季“村晚”5场次，补助10.00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文化进景区项目资金的请示》和《文化进景区项目实施方案》为依据进行资金分配，预算资金分配依据充分。根据《关于下达昌吉州本级预算单位2023年部门预算的通知》文件显示，本项目实际到位资金50.00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BAC174D">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406B3B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本项目预算资金为50.00万元，其中：本级财政安排资金50.00万元，其他资金0.00万元，实际到位资金50.00万元，资金到位率=（实际到位资金/预算资金）×100.00%=（50/50）*100.00%=100%。得分=资金到位率*分值=100%*4=4.00分。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本项目实际支出资金50.00万元，预算执行率=（实际支出资金/实际到位资金）×100.00%=（50/50）*100.00%=100%。得分=预算执行率*分值=100%*5=5.00分。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文旅局财务管理办法》《昌吉州文旅局合同管理办法》《昌吉州文旅局资产管理办法》《昌吉州文旅局政府采购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文旅局财务管理办法》《昌吉州文旅局合同管理办法》《昌吉州文旅局资产管理办法》《昌吉州文旅局政府采购管理办法》，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文化进景区项目工作领导小组，由党组书记王艳华任组长，负责项目的组织工作；杨建伟任副组长，负责项目的实施工作；组员包括：张磊和许金卉，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0299661">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67AB65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项目产出类指标由4个二级指标和7个三级指标构成，权重分30.00分，实际得分30.00分。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“开展文旅融合节庆活动”指标：预期指标值为“大于等于20次”，实际完成指标值为“20次”，指标完成率为100.00%。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“开展展陈宣传，举办线上营销活动”指标：预期指标值为“大于等于5次”，实际完成指标值为“5次”，指标完成率为100.00%。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“冰雪文旅、文旅融合活动举办率”指标：预期指标值为“大于等于90.00%”，实际完成指标值为“100.00%”，指标完成率为100.00%。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“景区文体旅活动覆盖”指标：预期指标值为“大于等于30.00%”，实际完成指标值为“100.00%”，指标完成率为100.00%。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“预算控制率”指标：预期指标值为“小于等于100.00%”，实际完成指标值为“100.00%”，指标完成率为100.00%。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“项目资金概况”指标：预期指标值为“等于50.00万元”，实际完成指标值为“50.00万元”，指标完成率为100.00%。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p>
    <w:p w14:paraId="4CB317A7">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D9F43E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“推动文旅融合，进一步满足疆内外旅客需求”指标：预期指标值为“有效提升”，实际完成指标值为“基本达成目标”，指标完成率为100.00%。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“文旅企业满意度”指标：预期指标值为“大于等于90.00%”，实际完成指标值为“100.00%”，指标完成率为100.00%。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31FCAD6A">
      <w:pPr>
        <w:spacing w:line="540" w:lineRule="exact"/>
        <w:ind w:firstLine="567"/>
        <w:rPr>
          <w:rStyle w:val="18"/>
          <w:rFonts w:hint="eastAsia" w:ascii="楷体" w:hAnsi="楷体" w:eastAsia="楷体"/>
          <w:spacing w:val="-4"/>
          <w:sz w:val="32"/>
          <w:szCs w:val="32"/>
        </w:rPr>
      </w:pPr>
    </w:p>
    <w:p w14:paraId="459593B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16500BDA">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本项目年初预算资金总额为50.00万元，全年预算数为50.00万元，全年执行数为50.00万元，预算执行率为100.00%。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项目预算执行进度与绩效指标完成进度无偏差。</w:t>
      </w:r>
    </w:p>
    <w:p w14:paraId="17E36B2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A92C9E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领导高度重视、亲自部署，并予以充分的人力、财力保障。将各项目工作列入年度干部绩效考核实施方案，将各项目工作落实到具体科室、具体岗位、具体个人。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3C57893E">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0538D47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希望财政部门加强对绩效填报单位业务工作人员的培训，提高相关人员工作水平。采取多种培训形式对单位财务人员、业务科室人员进行集中培训，进一步树牢绩效观念，提高本单位工作人员的绩效管理能力和工作水平，为预算绩效管理相关工作的顺利开展提供保障。</w:t>
      </w:r>
    </w:p>
    <w:p w14:paraId="703B6A8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3273086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2160A00">
      <w:pPr>
        <w:spacing w:line="540" w:lineRule="exact"/>
        <w:ind w:firstLine="567"/>
        <w:rPr>
          <w:rStyle w:val="18"/>
          <w:rFonts w:hint="eastAsia" w:ascii="仿宋" w:hAnsi="仿宋" w:eastAsia="仿宋"/>
          <w:b w:val="0"/>
          <w:spacing w:val="-4"/>
          <w:sz w:val="32"/>
          <w:szCs w:val="32"/>
        </w:rPr>
      </w:pPr>
    </w:p>
    <w:p w14:paraId="228A466B">
      <w:pPr>
        <w:spacing w:line="540" w:lineRule="exact"/>
        <w:ind w:firstLine="567"/>
        <w:rPr>
          <w:rStyle w:val="18"/>
          <w:rFonts w:hint="eastAsia" w:ascii="仿宋" w:hAnsi="仿宋" w:eastAsia="仿宋"/>
          <w:b w:val="0"/>
          <w:spacing w:val="-4"/>
          <w:sz w:val="32"/>
          <w:szCs w:val="32"/>
        </w:rPr>
      </w:pPr>
    </w:p>
    <w:p w14:paraId="2DBC34FE">
      <w:pPr>
        <w:spacing w:line="540" w:lineRule="exact"/>
        <w:ind w:firstLine="567"/>
        <w:rPr>
          <w:rStyle w:val="18"/>
          <w:rFonts w:hint="eastAsia" w:ascii="仿宋" w:hAnsi="仿宋" w:eastAsia="仿宋"/>
          <w:b w:val="0"/>
          <w:spacing w:val="-4"/>
          <w:sz w:val="32"/>
          <w:szCs w:val="32"/>
        </w:rPr>
      </w:pPr>
    </w:p>
    <w:p w14:paraId="2849AEA5">
      <w:pPr>
        <w:spacing w:line="540" w:lineRule="exact"/>
        <w:ind w:firstLine="567"/>
        <w:rPr>
          <w:rStyle w:val="18"/>
          <w:rFonts w:hint="eastAsia" w:ascii="仿宋" w:hAnsi="仿宋" w:eastAsia="仿宋"/>
          <w:b w:val="0"/>
          <w:spacing w:val="-4"/>
          <w:sz w:val="32"/>
          <w:szCs w:val="32"/>
        </w:rPr>
      </w:pPr>
    </w:p>
    <w:p w14:paraId="2DBDB686">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8A84E6-7C96-45CA-B4CA-4006486E35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671BBDC-E135-41FF-A1F0-0D79E08C899E}"/>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8F16E19A-A751-4593-8F11-04E827402453}"/>
  </w:font>
  <w:font w:name="华文中宋">
    <w:panose1 w:val="02010600040101010101"/>
    <w:charset w:val="86"/>
    <w:family w:val="auto"/>
    <w:pitch w:val="default"/>
    <w:sig w:usb0="00000287" w:usb1="080F0000" w:usb2="00000000" w:usb3="00000000" w:csb0="0004009F" w:csb1="DFD70000"/>
    <w:embedRegular r:id="rId4" w:fontKey="{CF2080BF-6CD3-4DCB-958A-2BD7299DD245}"/>
  </w:font>
  <w:font w:name="方正小标宋_GBK">
    <w:panose1 w:val="02000000000000000000"/>
    <w:charset w:val="86"/>
    <w:family w:val="script"/>
    <w:pitch w:val="default"/>
    <w:sig w:usb0="A00002BF" w:usb1="38CF7CFA" w:usb2="00082016" w:usb3="00000000" w:csb0="00040001" w:csb1="00000000"/>
    <w:embedRegular r:id="rId5" w:fontKey="{B9D54484-BA33-40E2-ACCD-C4458EAA3FD4}"/>
  </w:font>
  <w:font w:name="仿宋_GB2312">
    <w:altName w:val="仿宋"/>
    <w:panose1 w:val="02010609030101010101"/>
    <w:charset w:val="86"/>
    <w:family w:val="modern"/>
    <w:pitch w:val="default"/>
    <w:sig w:usb0="00000000" w:usb1="00000000" w:usb2="00000000" w:usb3="00000000" w:csb0="00040000" w:csb1="00000000"/>
    <w:embedRegular r:id="rId6" w:fontKey="{31DB1B73-26FD-4D44-8AF5-F2929F5F9EC8}"/>
  </w:font>
  <w:font w:name="楷体">
    <w:panose1 w:val="02010609060101010101"/>
    <w:charset w:val="86"/>
    <w:family w:val="modern"/>
    <w:pitch w:val="default"/>
    <w:sig w:usb0="800002BF" w:usb1="38CF7CFA" w:usb2="00000016" w:usb3="00000000" w:csb0="00040001" w:csb1="00000000"/>
    <w:embedRegular r:id="rId7" w:fontKey="{E12A9110-AD1C-4D3D-8898-2C7B6D6F91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07DF52F">
        <w:pPr>
          <w:pStyle w:val="12"/>
          <w:jc w:val="center"/>
        </w:pPr>
        <w:r>
          <w:fldChar w:fldCharType="begin"/>
        </w:r>
        <w:r>
          <w:instrText xml:space="preserve">PAGE   \* MERGEFORMAT</w:instrText>
        </w:r>
        <w:r>
          <w:fldChar w:fldCharType="separate"/>
        </w:r>
        <w:r>
          <w:rPr>
            <w:lang w:val="zh-CN"/>
          </w:rPr>
          <w:t>2</w:t>
        </w:r>
        <w:r>
          <w:fldChar w:fldCharType="end"/>
        </w:r>
      </w:p>
    </w:sdtContent>
  </w:sdt>
  <w:p w14:paraId="1B33C2E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719CE"/>
    <w:rsid w:val="0091457F"/>
    <w:rsid w:val="00922CB9"/>
    <w:rsid w:val="00961132"/>
    <w:rsid w:val="009A0637"/>
    <w:rsid w:val="009E5CD9"/>
    <w:rsid w:val="00A26421"/>
    <w:rsid w:val="00A34588"/>
    <w:rsid w:val="00A4293B"/>
    <w:rsid w:val="00A64D98"/>
    <w:rsid w:val="00A67D50"/>
    <w:rsid w:val="00A8691A"/>
    <w:rsid w:val="00AC1946"/>
    <w:rsid w:val="00B40063"/>
    <w:rsid w:val="00B41F61"/>
    <w:rsid w:val="00BA46E6"/>
    <w:rsid w:val="00C56C72"/>
    <w:rsid w:val="00CA6457"/>
    <w:rsid w:val="00CE2FD9"/>
    <w:rsid w:val="00D17F2E"/>
    <w:rsid w:val="00D30354"/>
    <w:rsid w:val="00D55E83"/>
    <w:rsid w:val="00DF42A0"/>
    <w:rsid w:val="00E30E91"/>
    <w:rsid w:val="00E769FE"/>
    <w:rsid w:val="00EA2CBE"/>
    <w:rsid w:val="00F32FEE"/>
    <w:rsid w:val="00FB10BB"/>
    <w:rsid w:val="02126782"/>
    <w:rsid w:val="0856517C"/>
    <w:rsid w:val="0BFB189F"/>
    <w:rsid w:val="11BD75F7"/>
    <w:rsid w:val="13BE561A"/>
    <w:rsid w:val="15392994"/>
    <w:rsid w:val="18FE139B"/>
    <w:rsid w:val="29732F7E"/>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11972</Words>
  <Characters>12771</Characters>
  <Lines>92</Lines>
  <Paragraphs>26</Paragraphs>
  <TotalTime>3</TotalTime>
  <ScaleCrop>false</ScaleCrop>
  <LinksUpToDate>false</LinksUpToDate>
  <CharactersWithSpaces>12787</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2026-06-01T08:18:20Z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