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昌吉回族自治州工商业联合会2024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DD40ED">
      <w:r>
        <w:br w:type="page"/>
      </w:r>
    </w:p>
    <w:p w14:paraId="19A28516">
      <w:pPr>
        <w:spacing w:line="640" w:lineRule="exact"/>
        <w:jc w:val="center"/>
        <w:outlineLvl w:val="1"/>
      </w:pPr>
      <w:r>
        <w:rPr>
          <w:rFonts w:ascii="黑体" w:hAnsi="黑体" w:eastAsia="黑体"/>
          <w:sz w:val="32"/>
        </w:rPr>
        <w:t>第一部分 单位概况</w:t>
      </w:r>
    </w:p>
    <w:p w14:paraId="05849FCB">
      <w:pPr>
        <w:spacing w:line="640" w:lineRule="exact"/>
        <w:ind w:firstLine="640"/>
        <w:jc w:val="both"/>
        <w:outlineLvl w:val="2"/>
      </w:pPr>
      <w:r>
        <w:rPr>
          <w:rFonts w:ascii="黑体" w:hAnsi="黑体" w:eastAsia="黑体"/>
          <w:sz w:val="32"/>
        </w:rPr>
        <w:t>一、主要职能</w:t>
      </w:r>
    </w:p>
    <w:p w14:paraId="4D442A18">
      <w:pPr>
        <w:spacing w:line="580" w:lineRule="exact"/>
        <w:ind w:firstLine="640"/>
        <w:jc w:val="both"/>
      </w:pPr>
      <w:r>
        <w:rPr>
          <w:rFonts w:ascii="仿宋_GB2312" w:hAnsi="仿宋_GB2312" w:eastAsia="仿宋_GB2312"/>
          <w:sz w:val="32"/>
        </w:rPr>
        <w:t>昌吉回族自治州工商业联合会是中国共产党领导的以非公有制企业和非公有制经济人士为主体，具有统战性、经济性、民间性有机统一基本特征的人民团体商会组织，是党和政府联系非公有制经济人士的桥梁纽带，是政府管理和服务非公有制经济的助手，是中国人民政治协商会议的重要组成部分。工商联工作是党的统一战线工作和经济工作的重要内容。工商联事业是中国特色社会主义事业的重要组成部分。昌吉回族自治州工商业联合会职能和任务。</w:t>
      </w:r>
    </w:p>
    <w:p w14:paraId="03E5DABF">
      <w:pPr>
        <w:spacing w:line="580" w:lineRule="exact"/>
        <w:ind w:firstLine="640"/>
        <w:jc w:val="both"/>
      </w:pPr>
      <w:r>
        <w:rPr>
          <w:rFonts w:hint="eastAsia" w:ascii="仿宋_GB2312" w:hAnsi="仿宋_GB2312" w:eastAsia="仿宋_GB2312"/>
          <w:sz w:val="32"/>
          <w:lang w:eastAsia="zh-CN"/>
        </w:rPr>
        <w:t>第一条，</w:t>
      </w:r>
      <w:r>
        <w:rPr>
          <w:rFonts w:ascii="仿宋_GB2312" w:hAnsi="仿宋_GB2312" w:eastAsia="仿宋_GB2312"/>
          <w:sz w:val="32"/>
        </w:rPr>
        <w:t>加强和改进非公有制经济人士思想政治工作。</w:t>
      </w:r>
    </w:p>
    <w:p w14:paraId="555843F2">
      <w:pPr>
        <w:spacing w:line="580" w:lineRule="exact"/>
        <w:ind w:firstLine="640"/>
        <w:jc w:val="both"/>
      </w:pPr>
      <w:r>
        <w:rPr>
          <w:rFonts w:ascii="仿宋_GB2312" w:hAnsi="仿宋_GB2312" w:eastAsia="仿宋_GB2312"/>
          <w:sz w:val="32"/>
        </w:rPr>
        <w:t>（一）开展理想信念教育，引导非公有制经济人士加强自我学习、自我教育、自我提升，学习贯彻党和国家的方针政策，继承和发扬听党话、跟党走的光荣传统，践行社会主义核心价值观，增强对中国特色社会主义的信念、对党和政府的信任、对企业发展的信心、对社会的信誉，自觉做爱国敬业、守法经营、创业创新、回报社会的表率和践行亲清新型政商关系的典范，在全面建成社会主义现代化强国的新征程上贡献智慧和力量。宣传表彰先进典型，弘扬优秀企业家精神，注重对年轻一代非公有制经济人士的教育培养。</w:t>
      </w:r>
    </w:p>
    <w:p w14:paraId="7CC06DD8">
      <w:pPr>
        <w:spacing w:line="580" w:lineRule="exact"/>
        <w:ind w:firstLine="640"/>
        <w:jc w:val="both"/>
      </w:pPr>
      <w:r>
        <w:rPr>
          <w:rFonts w:ascii="仿宋_GB2312" w:hAnsi="仿宋_GB2312" w:eastAsia="仿宋_GB2312"/>
          <w:sz w:val="32"/>
        </w:rPr>
        <w:t>（二）引导非公有制经济人士自觉把自身企业的发展与国家的发展结合起来，把个人富裕与</w:t>
      </w:r>
      <w:r>
        <w:rPr>
          <w:rFonts w:hint="eastAsia" w:ascii="仿宋_GB2312" w:hAnsi="仿宋_GB2312" w:eastAsia="仿宋_GB2312"/>
          <w:sz w:val="32"/>
          <w:lang w:eastAsia="zh-CN"/>
        </w:rPr>
        <w:t>全体人民共同富裕</w:t>
      </w:r>
      <w:r>
        <w:rPr>
          <w:rFonts w:ascii="仿宋_GB2312" w:hAnsi="仿宋_GB2312" w:eastAsia="仿宋_GB2312"/>
          <w:sz w:val="32"/>
        </w:rPr>
        <w:t>结合起来，把遵循市场法则与发扬社会主义道德结合起来，弘扬中华传统美德，弘扬时代新风，树立义利兼顾、以义为先理念，致富思源、富而思进，自觉投身光彩事业、“万企帮万村”精准扶贫行动和其他社会公益慈善事业，积极履行社会责任。</w:t>
      </w:r>
    </w:p>
    <w:p w14:paraId="25801705">
      <w:pPr>
        <w:spacing w:line="580" w:lineRule="exact"/>
        <w:ind w:firstLine="640"/>
        <w:jc w:val="both"/>
        <w:rPr>
          <w:spacing w:val="-6"/>
          <w:sz w:val="32"/>
        </w:rPr>
      </w:pPr>
      <w:r>
        <w:rPr>
          <w:rFonts w:ascii="仿宋_GB2312" w:hAnsi="仿宋_GB2312" w:eastAsia="仿宋_GB2312"/>
          <w:spacing w:val="-6"/>
          <w:sz w:val="32"/>
        </w:rPr>
        <w:t>（三）按照同级党委安排参与非公有制企业党建工作，引导非公有制经济人士支持企业党建工作、在企业建立工会等群团组织，并为其开展活动、发挥作用提供必要条件，加强企业文化建设。</w:t>
      </w:r>
    </w:p>
    <w:p w14:paraId="12E35ED8">
      <w:pPr>
        <w:spacing w:line="580" w:lineRule="exact"/>
        <w:ind w:firstLine="640"/>
        <w:jc w:val="both"/>
      </w:pPr>
      <w:r>
        <w:rPr>
          <w:rFonts w:hint="eastAsia" w:ascii="仿宋_GB2312" w:hAnsi="仿宋_GB2312" w:eastAsia="仿宋_GB2312"/>
          <w:sz w:val="32"/>
          <w:lang w:eastAsia="zh-CN"/>
        </w:rPr>
        <w:t>第二条，</w:t>
      </w:r>
      <w:r>
        <w:rPr>
          <w:rFonts w:ascii="仿宋_GB2312" w:hAnsi="仿宋_GB2312" w:eastAsia="仿宋_GB2312"/>
          <w:sz w:val="32"/>
        </w:rPr>
        <w:t>参与政治协商，发挥民主监督作用，积极参政议政。</w:t>
      </w:r>
    </w:p>
    <w:p w14:paraId="2C855571">
      <w:pPr>
        <w:spacing w:line="580" w:lineRule="exact"/>
        <w:ind w:firstLine="640"/>
        <w:jc w:val="both"/>
      </w:pPr>
      <w:r>
        <w:rPr>
          <w:rFonts w:ascii="仿宋_GB2312" w:hAnsi="仿宋_GB2312" w:eastAsia="仿宋_GB2312"/>
          <w:sz w:val="32"/>
        </w:rPr>
        <w:t>（一）围绕贯彻落实党的路线方针政策，开展调查研究，参与国家有关政策、法律法规的制定，协助推动落实有关政策措施，促进形成有利于非公有制经济发展的政策环境、法治环境、市场环境、社会环境。</w:t>
      </w:r>
    </w:p>
    <w:p w14:paraId="1A39CF08">
      <w:pPr>
        <w:spacing w:line="580" w:lineRule="exact"/>
        <w:ind w:firstLine="640"/>
        <w:jc w:val="both"/>
      </w:pPr>
      <w:r>
        <w:rPr>
          <w:rFonts w:ascii="仿宋_GB2312" w:hAnsi="仿宋_GB2312" w:eastAsia="仿宋_GB2312"/>
          <w:sz w:val="32"/>
        </w:rPr>
        <w:t>（二）密切同非公有制经济人士的联系，深入了解他们的意愿和要求，向党和政府提出相关意见和建议。</w:t>
      </w:r>
    </w:p>
    <w:p w14:paraId="1E36B065">
      <w:pPr>
        <w:spacing w:line="580" w:lineRule="exact"/>
        <w:ind w:firstLine="640"/>
        <w:jc w:val="both"/>
      </w:pPr>
      <w:r>
        <w:rPr>
          <w:rFonts w:ascii="仿宋_GB2312" w:hAnsi="仿宋_GB2312" w:eastAsia="仿宋_GB2312"/>
          <w:sz w:val="32"/>
        </w:rPr>
        <w:t>（三）畅通非公有制经济代表人士有序参与政治生活和社会事务的渠道，帮助其提高议政建言水平，积极反映社情民意。</w:t>
      </w:r>
    </w:p>
    <w:p w14:paraId="2DECB2AB">
      <w:pPr>
        <w:spacing w:line="580" w:lineRule="exact"/>
        <w:ind w:firstLine="640"/>
        <w:jc w:val="both"/>
      </w:pPr>
      <w:r>
        <w:rPr>
          <w:rFonts w:ascii="仿宋_GB2312" w:hAnsi="仿宋_GB2312" w:eastAsia="仿宋_GB2312"/>
          <w:sz w:val="32"/>
        </w:rPr>
        <w:t>（四）按照思想政治强、行业代表性强、参政议政能力强、社会信誉好的标准，做好非公有制经济代表人士的发现、培养、推荐和管理工作。</w:t>
      </w:r>
    </w:p>
    <w:p w14:paraId="3D7416EE">
      <w:pPr>
        <w:spacing w:line="580" w:lineRule="exact"/>
        <w:ind w:firstLine="640"/>
        <w:jc w:val="both"/>
      </w:pPr>
      <w:r>
        <w:rPr>
          <w:rFonts w:hint="eastAsia" w:ascii="仿宋_GB2312" w:hAnsi="仿宋_GB2312" w:eastAsia="仿宋_GB2312"/>
          <w:sz w:val="32"/>
          <w:lang w:eastAsia="zh-CN"/>
        </w:rPr>
        <w:t>第三条，</w:t>
      </w:r>
      <w:r>
        <w:rPr>
          <w:rFonts w:ascii="仿宋_GB2312" w:hAnsi="仿宋_GB2312" w:eastAsia="仿宋_GB2312"/>
          <w:sz w:val="32"/>
        </w:rPr>
        <w:t>协助政府管理和服务非公有制经济。</w:t>
      </w:r>
    </w:p>
    <w:p w14:paraId="22F97E90">
      <w:pPr>
        <w:spacing w:line="580" w:lineRule="exact"/>
        <w:ind w:firstLine="640"/>
        <w:jc w:val="both"/>
      </w:pPr>
      <w:r>
        <w:rPr>
          <w:rFonts w:ascii="仿宋_GB2312" w:hAnsi="仿宋_GB2312" w:eastAsia="仿宋_GB2312"/>
          <w:sz w:val="32"/>
        </w:rPr>
        <w:t>（一）积极探索建立适应社会主义市场经济要求的服务载体和机制，为非公有制企业提供政策咨询、信息、法律、投融资、技术、人才等方面服务，引导非公有制企业贯彻新发展理念，投身供给侧结构性改革，建立完善现代企业制度，加强自主创新，加快转型升级和提质增效，努力促进国民经济更高质量、更有效率、更加公平、更可持续发展。</w:t>
      </w:r>
    </w:p>
    <w:p w14:paraId="68263B91">
      <w:pPr>
        <w:spacing w:line="580" w:lineRule="exact"/>
        <w:ind w:firstLine="640"/>
        <w:jc w:val="both"/>
      </w:pPr>
      <w:r>
        <w:rPr>
          <w:rFonts w:ascii="仿宋_GB2312" w:hAnsi="仿宋_GB2312" w:eastAsia="仿宋_GB2312"/>
          <w:sz w:val="32"/>
        </w:rPr>
        <w:t>（二）加强与香港特别行政区、澳门特别行政区和</w:t>
      </w:r>
      <w:r>
        <w:rPr>
          <w:rFonts w:hint="eastAsia" w:ascii="仿宋_GB2312" w:hAnsi="仿宋_GB2312" w:eastAsia="仿宋_GB2312"/>
          <w:sz w:val="32"/>
          <w:lang w:eastAsia="zh-CN"/>
        </w:rPr>
        <w:t>中国台湾地区</w:t>
      </w:r>
      <w:r>
        <w:rPr>
          <w:rFonts w:ascii="仿宋_GB2312" w:hAnsi="仿宋_GB2312" w:eastAsia="仿宋_GB2312"/>
          <w:sz w:val="32"/>
        </w:rPr>
        <w:t>工商界的联系，促进经贸合作。积极开展民间外交，加强同国外工商界的交流合作，为非公有制企业参与“一带一路”建设、开展国际合作提供服务。</w:t>
      </w:r>
    </w:p>
    <w:p w14:paraId="0FAC87B4">
      <w:pPr>
        <w:spacing w:line="580" w:lineRule="exact"/>
        <w:ind w:firstLine="640"/>
        <w:jc w:val="both"/>
      </w:pPr>
      <w:r>
        <w:rPr>
          <w:rFonts w:ascii="仿宋_GB2312" w:hAnsi="仿宋_GB2312" w:eastAsia="仿宋_GB2312"/>
          <w:sz w:val="32"/>
        </w:rPr>
        <w:t>（三）组织非公有制企业参与实施区域协调发展战略，为地方经济建设服务，促进城乡、区域统筹协调发展。</w:t>
      </w:r>
    </w:p>
    <w:p w14:paraId="60E4F2DC">
      <w:pPr>
        <w:spacing w:line="580" w:lineRule="exact"/>
        <w:ind w:firstLine="640"/>
        <w:jc w:val="both"/>
      </w:pPr>
      <w:r>
        <w:rPr>
          <w:rFonts w:ascii="仿宋_GB2312" w:hAnsi="仿宋_GB2312" w:eastAsia="仿宋_GB2312"/>
          <w:sz w:val="32"/>
        </w:rPr>
        <w:t>（四）承办政府和有关部门委托的第三方评估等事项。</w:t>
      </w:r>
    </w:p>
    <w:p w14:paraId="397A4A2F">
      <w:pPr>
        <w:spacing w:line="580" w:lineRule="exact"/>
        <w:ind w:firstLine="640"/>
        <w:jc w:val="both"/>
      </w:pPr>
      <w:r>
        <w:rPr>
          <w:rFonts w:hint="eastAsia" w:ascii="仿宋_GB2312" w:hAnsi="仿宋_GB2312" w:eastAsia="仿宋_GB2312"/>
          <w:sz w:val="32"/>
          <w:lang w:eastAsia="zh-CN"/>
        </w:rPr>
        <w:t>第四条，</w:t>
      </w:r>
      <w:r>
        <w:rPr>
          <w:rFonts w:ascii="仿宋_GB2312" w:hAnsi="仿宋_GB2312" w:eastAsia="仿宋_GB2312"/>
          <w:sz w:val="32"/>
        </w:rPr>
        <w:t>促进行业协会商会改革发展。</w:t>
      </w:r>
    </w:p>
    <w:p w14:paraId="5395B9E5">
      <w:pPr>
        <w:spacing w:line="580" w:lineRule="exact"/>
        <w:ind w:firstLine="640"/>
        <w:jc w:val="both"/>
      </w:pPr>
      <w:r>
        <w:rPr>
          <w:rFonts w:ascii="仿宋_GB2312" w:hAnsi="仿宋_GB2312" w:eastAsia="仿宋_GB2312"/>
          <w:sz w:val="32"/>
        </w:rPr>
        <w:t>（一）履行社会团体业务主管单位职责，对所属商会进行指导、引导和服务。对所属商会会员开展思想政治工作、教育培训，对主要负责人进行考核，加强对所属商会党建工作的指导，培育和发展中国特色商会组织，推动工作向商会组织有效覆盖，确保商会发展的正确方向。指导和推动商会组织依照法律法规和本章程制定商会章程，完善法人治理结构，规范内部管理，发挥政治引导、经济服务、诉求反映、权益维护、诚信自律、协同参与社会治理作用，研究并反映行业发展动态，参与行业标准和行业政策制定，促进行业健康发展。</w:t>
      </w:r>
    </w:p>
    <w:p w14:paraId="55D82616">
      <w:pPr>
        <w:spacing w:line="580" w:lineRule="exact"/>
        <w:ind w:firstLine="640"/>
        <w:jc w:val="both"/>
      </w:pPr>
      <w:r>
        <w:rPr>
          <w:rFonts w:ascii="仿宋_GB2312" w:hAnsi="仿宋_GB2312" w:eastAsia="仿宋_GB2312"/>
          <w:sz w:val="32"/>
        </w:rPr>
        <w:t>（二）参与行业协会商会法律法规和政策的制定。</w:t>
      </w:r>
    </w:p>
    <w:p w14:paraId="248120ED">
      <w:pPr>
        <w:spacing w:line="580" w:lineRule="exact"/>
        <w:ind w:firstLine="640"/>
        <w:jc w:val="both"/>
      </w:pPr>
      <w:r>
        <w:rPr>
          <w:rFonts w:hint="eastAsia" w:ascii="仿宋_GB2312" w:hAnsi="仿宋_GB2312" w:eastAsia="仿宋_GB2312"/>
          <w:sz w:val="32"/>
          <w:lang w:eastAsia="zh-CN"/>
        </w:rPr>
        <w:t>第五条，</w:t>
      </w:r>
      <w:r>
        <w:rPr>
          <w:rFonts w:ascii="仿宋_GB2312" w:hAnsi="仿宋_GB2312" w:eastAsia="仿宋_GB2312"/>
          <w:sz w:val="32"/>
        </w:rPr>
        <w:t>参与协调劳动关系，协同社会治理，促进社会和谐稳定。</w:t>
      </w:r>
    </w:p>
    <w:p w14:paraId="773620E9">
      <w:pPr>
        <w:spacing w:line="580" w:lineRule="exact"/>
        <w:ind w:firstLine="640"/>
        <w:jc w:val="both"/>
      </w:pPr>
      <w:r>
        <w:rPr>
          <w:rFonts w:ascii="仿宋_GB2312" w:hAnsi="仿宋_GB2312" w:eastAsia="仿宋_GB2312"/>
          <w:sz w:val="32"/>
        </w:rPr>
        <w:t>（一）参与协调劳动关系三方会议，同政府部门、工会组织和其他有关企业方代表一道，共同推动劳动关系立法、健全劳动标准体系和劳动关系协调机制，共同研究解决劳动关系中的重大问题，参与劳动争议调解、仲裁。</w:t>
      </w:r>
    </w:p>
    <w:p w14:paraId="06CEF03F">
      <w:pPr>
        <w:spacing w:line="580" w:lineRule="exact"/>
        <w:ind w:firstLine="640"/>
        <w:jc w:val="both"/>
      </w:pPr>
      <w:r>
        <w:rPr>
          <w:rFonts w:ascii="仿宋_GB2312" w:hAnsi="仿宋_GB2312" w:eastAsia="仿宋_GB2312"/>
          <w:sz w:val="32"/>
        </w:rPr>
        <w:t>（二）引导非公有制企业依法与工会就职工工资、生活福利、社会保险等涉及职工切身利益问题进行平等协商，签订集体合同。</w:t>
      </w:r>
    </w:p>
    <w:p w14:paraId="5F33DF22">
      <w:pPr>
        <w:spacing w:line="580" w:lineRule="exact"/>
        <w:ind w:firstLine="640"/>
        <w:jc w:val="both"/>
      </w:pPr>
      <w:r>
        <w:rPr>
          <w:rFonts w:ascii="仿宋_GB2312" w:hAnsi="仿宋_GB2312" w:eastAsia="仿宋_GB2312"/>
          <w:sz w:val="32"/>
        </w:rPr>
        <w:t>（三）协调处理投资者利益和劳动者权益的关系，引导非公有制企业构建和谐劳动关系，积极创造就业岗位，严格遵守国家相关法律法规和政策，尊重和维护员工合法权益。</w:t>
      </w:r>
    </w:p>
    <w:p w14:paraId="36ADDD50">
      <w:pPr>
        <w:spacing w:line="580" w:lineRule="exact"/>
        <w:ind w:firstLine="640"/>
        <w:jc w:val="both"/>
      </w:pPr>
      <w:r>
        <w:rPr>
          <w:rFonts w:hint="eastAsia" w:ascii="仿宋_GB2312" w:hAnsi="仿宋_GB2312" w:eastAsia="仿宋_GB2312"/>
          <w:sz w:val="32"/>
          <w:lang w:eastAsia="zh-CN"/>
        </w:rPr>
        <w:t>第六条，</w:t>
      </w:r>
      <w:r>
        <w:rPr>
          <w:rFonts w:ascii="仿宋_GB2312" w:hAnsi="仿宋_GB2312" w:eastAsia="仿宋_GB2312"/>
          <w:sz w:val="32"/>
        </w:rPr>
        <w:t>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w:t>
      </w:r>
    </w:p>
    <w:p w14:paraId="45902861">
      <w:pPr>
        <w:spacing w:line="580" w:lineRule="exact"/>
        <w:ind w:firstLine="640"/>
        <w:jc w:val="both"/>
      </w:pPr>
      <w:r>
        <w:rPr>
          <w:rFonts w:hint="eastAsia" w:ascii="仿宋_GB2312" w:hAnsi="仿宋_GB2312" w:eastAsia="仿宋_GB2312"/>
          <w:sz w:val="32"/>
          <w:lang w:eastAsia="zh-CN"/>
        </w:rPr>
        <w:t>第七条，</w:t>
      </w:r>
      <w:r>
        <w:rPr>
          <w:rFonts w:ascii="仿宋_GB2312" w:hAnsi="仿宋_GB2312" w:eastAsia="仿宋_GB2312"/>
          <w:sz w:val="32"/>
        </w:rPr>
        <w:t>依法加强会产管理、经营和保护。</w:t>
      </w:r>
    </w:p>
    <w:p w14:paraId="7D1BCC31">
      <w:pPr>
        <w:spacing w:line="640" w:lineRule="exact"/>
        <w:ind w:firstLine="640"/>
        <w:jc w:val="both"/>
        <w:outlineLvl w:val="2"/>
      </w:pPr>
      <w:r>
        <w:rPr>
          <w:rFonts w:ascii="黑体" w:hAnsi="黑体" w:eastAsia="黑体"/>
          <w:sz w:val="32"/>
        </w:rPr>
        <w:t>二、机构设置及人员情况</w:t>
      </w:r>
    </w:p>
    <w:p w14:paraId="7EAA1325">
      <w:pPr>
        <w:spacing w:line="580" w:lineRule="exact"/>
        <w:ind w:firstLine="640"/>
        <w:jc w:val="both"/>
      </w:pPr>
      <w:r>
        <w:rPr>
          <w:rFonts w:ascii="仿宋_GB2312" w:hAnsi="仿宋_GB2312" w:eastAsia="仿宋_GB2312"/>
          <w:sz w:val="32"/>
        </w:rPr>
        <w:t>昌吉回族自治州工商业联合会2024年度，实有人数15人，其中：在职人员11人，增加0人；离休人员0人，增加0人；退休人员4人,减少1人。</w:t>
      </w:r>
    </w:p>
    <w:p w14:paraId="231B4CD7">
      <w:pPr>
        <w:spacing w:line="580" w:lineRule="exact"/>
        <w:ind w:firstLine="640"/>
        <w:jc w:val="both"/>
      </w:pPr>
      <w:r>
        <w:rPr>
          <w:rFonts w:ascii="仿宋_GB2312" w:hAnsi="仿宋_GB2312" w:eastAsia="仿宋_GB2312"/>
          <w:sz w:val="32"/>
        </w:rPr>
        <w:t>昌吉回族自治州工商业联合会无下属预算单位，下设3个科室，分别是：工商联办公室、工商联会员部、工商联非公有制经济党建服务中心。</w:t>
      </w:r>
    </w:p>
    <w:p w14:paraId="2467E592">
      <w:r>
        <w:br w:type="page"/>
      </w:r>
    </w:p>
    <w:p w14:paraId="1B6E7057">
      <w:pPr>
        <w:spacing w:line="240" w:lineRule="auto"/>
        <w:jc w:val="center"/>
        <w:outlineLvl w:val="1"/>
      </w:pPr>
      <w:r>
        <w:rPr>
          <w:rFonts w:ascii="黑体" w:hAnsi="黑体" w:eastAsia="黑体"/>
          <w:sz w:val="32"/>
        </w:rPr>
        <w:t>第二部分 部门决算情况说明</w:t>
      </w:r>
    </w:p>
    <w:p w14:paraId="118EA857">
      <w:pPr>
        <w:spacing w:line="640" w:lineRule="exact"/>
        <w:ind w:firstLine="640"/>
        <w:jc w:val="both"/>
        <w:outlineLvl w:val="2"/>
      </w:pPr>
      <w:r>
        <w:rPr>
          <w:rFonts w:ascii="黑体" w:hAnsi="黑体" w:eastAsia="黑体"/>
          <w:sz w:val="32"/>
        </w:rPr>
        <w:t>一、收入支出决算总体情况说明</w:t>
      </w:r>
    </w:p>
    <w:p w14:paraId="6E32630A">
      <w:pPr>
        <w:spacing w:line="580" w:lineRule="exact"/>
        <w:ind w:firstLine="640"/>
        <w:jc w:val="both"/>
      </w:pPr>
      <w:r>
        <w:rPr>
          <w:rFonts w:ascii="仿宋_GB2312" w:hAnsi="仿宋_GB2312" w:eastAsia="仿宋_GB2312"/>
          <w:b/>
          <w:sz w:val="32"/>
        </w:rPr>
        <w:t>2024年度收入总计340.93万元，</w:t>
      </w:r>
      <w:r>
        <w:rPr>
          <w:rFonts w:ascii="仿宋_GB2312" w:hAnsi="仿宋_GB2312" w:eastAsia="仿宋_GB2312"/>
          <w:b w:val="0"/>
          <w:sz w:val="32"/>
        </w:rPr>
        <w:t>其中：本年收入合计291.90万元，使用非财政拨款结余（含专用结余）0.00万元，年初结转和结余49.03万元。</w:t>
      </w:r>
    </w:p>
    <w:p w14:paraId="60EA2D80">
      <w:pPr>
        <w:spacing w:line="580" w:lineRule="exact"/>
        <w:ind w:firstLine="640"/>
        <w:jc w:val="both"/>
      </w:pPr>
      <w:r>
        <w:rPr>
          <w:rFonts w:ascii="仿宋_GB2312" w:hAnsi="仿宋_GB2312" w:eastAsia="仿宋_GB2312"/>
          <w:b/>
          <w:sz w:val="32"/>
        </w:rPr>
        <w:t>2024年度支出总计340.93万元，</w:t>
      </w:r>
      <w:r>
        <w:rPr>
          <w:rFonts w:ascii="仿宋_GB2312" w:hAnsi="仿宋_GB2312" w:eastAsia="仿宋_GB2312"/>
          <w:b w:val="0"/>
          <w:sz w:val="32"/>
        </w:rPr>
        <w:t>其中：本年支出合计295.38万元，结余分配0.00万元，年末结转和结余45.55万元。</w:t>
      </w:r>
    </w:p>
    <w:p w14:paraId="6BB991A5">
      <w:pPr>
        <w:spacing w:line="580" w:lineRule="exact"/>
        <w:ind w:firstLine="640"/>
        <w:jc w:val="both"/>
      </w:pPr>
      <w:r>
        <w:rPr>
          <w:rFonts w:ascii="仿宋_GB2312" w:hAnsi="仿宋_GB2312" w:eastAsia="仿宋_GB2312"/>
          <w:b w:val="0"/>
          <w:sz w:val="32"/>
        </w:rPr>
        <w:t>收入支出总体与上年相比，减少101.90万元，下降23.01%，主要原因是：本年减少榆树沟镇曙光村西甜瓜交易市场基础设施建设项目、援疆办拨付非公企业培训经费项目、“为民办实事”工作队经费项目，导致经费较上年减少。</w:t>
      </w:r>
    </w:p>
    <w:p w14:paraId="6DF2DBA4">
      <w:pPr>
        <w:spacing w:line="640" w:lineRule="exact"/>
        <w:ind w:firstLine="640"/>
        <w:jc w:val="both"/>
        <w:outlineLvl w:val="2"/>
      </w:pPr>
      <w:r>
        <w:rPr>
          <w:rFonts w:ascii="黑体" w:hAnsi="黑体" w:eastAsia="黑体"/>
          <w:sz w:val="32"/>
        </w:rPr>
        <w:t>二、收入决算情况说明</w:t>
      </w:r>
    </w:p>
    <w:p w14:paraId="7B1382F7">
      <w:pPr>
        <w:spacing w:line="580" w:lineRule="exact"/>
        <w:ind w:firstLine="640"/>
        <w:jc w:val="both"/>
      </w:pPr>
      <w:r>
        <w:rPr>
          <w:rFonts w:ascii="仿宋_GB2312" w:hAnsi="仿宋_GB2312" w:eastAsia="仿宋_GB2312"/>
          <w:b/>
          <w:sz w:val="32"/>
        </w:rPr>
        <w:t>本年收入291.90万元，</w:t>
      </w:r>
      <w:r>
        <w:rPr>
          <w:rFonts w:ascii="仿宋_GB2312" w:hAnsi="仿宋_GB2312" w:eastAsia="仿宋_GB2312"/>
          <w:b w:val="0"/>
          <w:sz w:val="32"/>
        </w:rPr>
        <w:t>其中：财政拨款收入291.78万元，占99.96%；上级补助收入0.00万元，占0.00%；事业收入0.00万元，占0.00%；经营收入0.00万元，占0.00%；附属单位上缴收入0.00万元，占0.00%；其他收入0.12万元，占0.04%。</w:t>
      </w:r>
    </w:p>
    <w:p w14:paraId="413EAAA4">
      <w:pPr>
        <w:spacing w:line="640" w:lineRule="exact"/>
        <w:ind w:firstLine="640"/>
        <w:jc w:val="both"/>
        <w:outlineLvl w:val="2"/>
      </w:pPr>
      <w:r>
        <w:rPr>
          <w:rFonts w:ascii="黑体" w:hAnsi="黑体" w:eastAsia="黑体"/>
          <w:sz w:val="32"/>
        </w:rPr>
        <w:t>三、支出决算情况说明</w:t>
      </w:r>
    </w:p>
    <w:p w14:paraId="4B5B40EB">
      <w:pPr>
        <w:spacing w:line="580" w:lineRule="exact"/>
        <w:ind w:firstLine="640"/>
        <w:jc w:val="both"/>
      </w:pPr>
      <w:r>
        <w:rPr>
          <w:rFonts w:ascii="仿宋_GB2312" w:hAnsi="仿宋_GB2312" w:eastAsia="仿宋_GB2312"/>
          <w:b/>
          <w:sz w:val="32"/>
        </w:rPr>
        <w:t>本年支出295.38万元，</w:t>
      </w:r>
      <w:r>
        <w:rPr>
          <w:rFonts w:ascii="仿宋_GB2312" w:hAnsi="仿宋_GB2312" w:eastAsia="仿宋_GB2312"/>
          <w:b w:val="0"/>
          <w:sz w:val="32"/>
        </w:rPr>
        <w:t>其中：基本支出251.32万元，占85.08%；项目支出44.05万元，占14.91%；上缴上级支出0.00万元，占0.00%；经营支出0.00万元，占0.00%；对附属单位补助支出0.00万元，占0.00%。</w:t>
      </w:r>
    </w:p>
    <w:p w14:paraId="1E00DCF6">
      <w:pPr>
        <w:spacing w:line="640" w:lineRule="exact"/>
        <w:ind w:firstLine="640"/>
        <w:jc w:val="both"/>
        <w:outlineLvl w:val="2"/>
      </w:pPr>
      <w:r>
        <w:rPr>
          <w:rFonts w:ascii="黑体" w:hAnsi="黑体" w:eastAsia="黑体"/>
          <w:sz w:val="32"/>
        </w:rPr>
        <w:t>四、财政拨款收入支出决算总体情况说明</w:t>
      </w:r>
    </w:p>
    <w:p w14:paraId="4656E5AD">
      <w:pPr>
        <w:spacing w:line="580" w:lineRule="exact"/>
        <w:ind w:firstLine="640"/>
        <w:jc w:val="both"/>
      </w:pPr>
      <w:r>
        <w:rPr>
          <w:rFonts w:ascii="仿宋_GB2312" w:hAnsi="仿宋_GB2312" w:eastAsia="仿宋_GB2312"/>
          <w:b/>
          <w:sz w:val="32"/>
        </w:rPr>
        <w:t>2024年度财政拨款收入总计291.78万元，</w:t>
      </w:r>
      <w:r>
        <w:rPr>
          <w:rFonts w:ascii="仿宋_GB2312" w:hAnsi="仿宋_GB2312" w:eastAsia="仿宋_GB2312"/>
          <w:b w:val="0"/>
          <w:sz w:val="32"/>
        </w:rPr>
        <w:t>其中：年初财政拨款结转和结余0.00万元，本年财政拨款收入291.78万元。</w:t>
      </w:r>
      <w:r>
        <w:rPr>
          <w:rFonts w:ascii="仿宋_GB2312" w:hAnsi="仿宋_GB2312" w:eastAsia="仿宋_GB2312"/>
          <w:b/>
          <w:sz w:val="32"/>
        </w:rPr>
        <w:t>财政拨款支出总计291.78万元，</w:t>
      </w:r>
      <w:r>
        <w:rPr>
          <w:rFonts w:ascii="仿宋_GB2312" w:hAnsi="仿宋_GB2312" w:eastAsia="仿宋_GB2312"/>
          <w:b w:val="0"/>
          <w:sz w:val="32"/>
        </w:rPr>
        <w:t>其中：年末财政拨款结转和结余0.00万元，本年财政拨款支出291.78万元。</w:t>
      </w:r>
    </w:p>
    <w:p w14:paraId="44C41E7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减少24.70万元，下降7.80%，主要原因是：本年减少“为民办实事”工作队经费项目，导致经费较上年减少。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年初预算数286.61万元，决算数291.78万元，预决算差异率1.80%，主要原因是：年中追加人员工资、社保、公积金基数调增部分资金，导致预决算存在差异。</w:t>
      </w:r>
    </w:p>
    <w:p w14:paraId="331C01FC">
      <w:pPr>
        <w:spacing w:line="640" w:lineRule="exact"/>
        <w:ind w:firstLine="640"/>
        <w:jc w:val="both"/>
        <w:outlineLvl w:val="2"/>
      </w:pPr>
      <w:r>
        <w:rPr>
          <w:rFonts w:ascii="黑体" w:hAnsi="黑体" w:eastAsia="黑体"/>
          <w:sz w:val="32"/>
        </w:rPr>
        <w:t>五、一般公共预算财政拨款支出决算情况说明</w:t>
      </w:r>
    </w:p>
    <w:p w14:paraId="38A16757">
      <w:pPr>
        <w:spacing w:line="640" w:lineRule="exact"/>
        <w:ind w:firstLine="640"/>
        <w:jc w:val="both"/>
        <w:outlineLvl w:val="3"/>
      </w:pPr>
      <w:r>
        <w:rPr>
          <w:rFonts w:ascii="楷体_GB2312" w:hAnsi="楷体_GB2312" w:eastAsia="楷体_GB2312"/>
          <w:b/>
          <w:sz w:val="32"/>
        </w:rPr>
        <w:t>（一）一般公共预算财政拨款支出决算总体情况</w:t>
      </w:r>
    </w:p>
    <w:p w14:paraId="60B2691C">
      <w:pPr>
        <w:spacing w:line="580" w:lineRule="exact"/>
        <w:ind w:firstLine="640"/>
        <w:jc w:val="both"/>
        <w:rPr>
          <w:spacing w:val="-6"/>
          <w:sz w:val="32"/>
        </w:rPr>
      </w:pPr>
      <w:r>
        <w:rPr>
          <w:rFonts w:ascii="仿宋_GB2312" w:hAnsi="仿宋_GB2312" w:eastAsia="仿宋_GB2312"/>
          <w:b/>
          <w:spacing w:val="-6"/>
          <w:sz w:val="32"/>
        </w:rPr>
        <w:t>2024年度一般公共预算财政拨款支出291.78万元，</w:t>
      </w:r>
      <w:r>
        <w:rPr>
          <w:rFonts w:ascii="仿宋_GB2312" w:hAnsi="仿宋_GB2312" w:eastAsia="仿宋_GB2312"/>
          <w:b w:val="0"/>
          <w:spacing w:val="-6"/>
          <w:sz w:val="32"/>
        </w:rPr>
        <w:t>占本年支出合计的98.78%。</w:t>
      </w:r>
      <w:r>
        <w:rPr>
          <w:rFonts w:ascii="仿宋_GB2312" w:hAnsi="仿宋_GB2312" w:eastAsia="仿宋_GB2312"/>
          <w:b/>
          <w:spacing w:val="-6"/>
          <w:sz w:val="32"/>
        </w:rPr>
        <w:t>与上年相比，</w:t>
      </w:r>
      <w:r>
        <w:rPr>
          <w:rFonts w:ascii="仿宋_GB2312" w:hAnsi="仿宋_GB2312" w:eastAsia="仿宋_GB2312"/>
          <w:b w:val="0"/>
          <w:spacing w:val="-6"/>
          <w:sz w:val="32"/>
        </w:rPr>
        <w:t>减少24.70万元，下降7.80%，主要原因是：本年减少“为民办实事”工作队经费项目，导致经费较上年减少。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年初预算数286.61万元，决算数291.78万元，预决算差异率1.80%，主要原因是：年中追加人员工资、社保、公积金基数调增部分资金，导致预决算存在差异。</w:t>
      </w:r>
    </w:p>
    <w:p w14:paraId="7A365D50">
      <w:pPr>
        <w:spacing w:line="640" w:lineRule="exact"/>
        <w:ind w:firstLine="640"/>
        <w:jc w:val="both"/>
        <w:outlineLvl w:val="3"/>
      </w:pPr>
      <w:r>
        <w:rPr>
          <w:rFonts w:ascii="楷体_GB2312" w:hAnsi="楷体_GB2312" w:eastAsia="楷体_GB2312"/>
          <w:b/>
          <w:sz w:val="32"/>
        </w:rPr>
        <w:t>（二）一般公共预算财政拨款支出决算结构情况</w:t>
      </w:r>
    </w:p>
    <w:p w14:paraId="241A01D1">
      <w:pPr>
        <w:spacing w:line="580" w:lineRule="exact"/>
        <w:ind w:firstLine="640"/>
        <w:jc w:val="both"/>
      </w:pPr>
      <w:r>
        <w:rPr>
          <w:rFonts w:ascii="仿宋_GB2312" w:hAnsi="仿宋_GB2312" w:eastAsia="仿宋_GB2312"/>
          <w:b w:val="0"/>
          <w:sz w:val="32"/>
        </w:rPr>
        <w:t>1.一般公共服务支出(类)229.62万元,占78.70%。</w:t>
      </w:r>
    </w:p>
    <w:p w14:paraId="7978920C">
      <w:pPr>
        <w:spacing w:line="580" w:lineRule="exact"/>
        <w:ind w:firstLine="640"/>
        <w:jc w:val="both"/>
      </w:pPr>
      <w:r>
        <w:rPr>
          <w:rFonts w:ascii="仿宋_GB2312" w:hAnsi="仿宋_GB2312" w:eastAsia="仿宋_GB2312"/>
          <w:b w:val="0"/>
          <w:sz w:val="32"/>
        </w:rPr>
        <w:t>2.社会保障和就业支出(类)32.77万元,占11.23%。</w:t>
      </w:r>
    </w:p>
    <w:p w14:paraId="4C74422E">
      <w:pPr>
        <w:spacing w:line="580" w:lineRule="exact"/>
        <w:ind w:firstLine="640"/>
        <w:jc w:val="both"/>
      </w:pPr>
      <w:r>
        <w:rPr>
          <w:rFonts w:ascii="仿宋_GB2312" w:hAnsi="仿宋_GB2312" w:eastAsia="仿宋_GB2312"/>
          <w:b w:val="0"/>
          <w:sz w:val="32"/>
        </w:rPr>
        <w:t>3.卫生健康支出(类)11.74万元,占4.02%。</w:t>
      </w:r>
    </w:p>
    <w:p w14:paraId="36DCFC2C">
      <w:pPr>
        <w:spacing w:line="580" w:lineRule="exact"/>
        <w:ind w:firstLine="640"/>
        <w:jc w:val="both"/>
      </w:pPr>
      <w:r>
        <w:rPr>
          <w:rFonts w:ascii="仿宋_GB2312" w:hAnsi="仿宋_GB2312" w:eastAsia="仿宋_GB2312"/>
          <w:b w:val="0"/>
          <w:sz w:val="32"/>
        </w:rPr>
        <w:t>4.住房保障支出(类)17.65万元,占6.05%。</w:t>
      </w:r>
    </w:p>
    <w:p w14:paraId="1F8D008B">
      <w:pPr>
        <w:spacing w:line="640" w:lineRule="exact"/>
        <w:ind w:firstLine="640"/>
        <w:jc w:val="both"/>
        <w:outlineLvl w:val="3"/>
      </w:pPr>
      <w:r>
        <w:rPr>
          <w:rFonts w:ascii="楷体_GB2312" w:hAnsi="楷体_GB2312" w:eastAsia="楷体_GB2312"/>
          <w:b/>
          <w:sz w:val="32"/>
        </w:rPr>
        <w:t>（三）一般公共预算财政拨款支出决算具体情况</w:t>
      </w:r>
    </w:p>
    <w:p w14:paraId="1886CAB1">
      <w:pPr>
        <w:spacing w:line="580" w:lineRule="exact"/>
        <w:ind w:firstLine="640"/>
        <w:jc w:val="both"/>
      </w:pPr>
      <w:r>
        <w:rPr>
          <w:rFonts w:ascii="仿宋_GB2312" w:hAnsi="仿宋_GB2312" w:eastAsia="仿宋_GB2312"/>
          <w:b w:val="0"/>
          <w:sz w:val="32"/>
        </w:rPr>
        <w:t>1.一般公共服务支出(类)民主党派及工商联事务(款)行政运行(项):支出决算数为140.05万元，比上年决算减少8.68万元，下降5.84%,主要原因是：本年度减少在职人员津贴补贴，聘用人员减少1人，相关人员经费减少。</w:t>
      </w:r>
    </w:p>
    <w:p w14:paraId="184F972D">
      <w:pPr>
        <w:spacing w:line="580" w:lineRule="exact"/>
        <w:ind w:firstLine="640"/>
        <w:jc w:val="both"/>
      </w:pPr>
      <w:r>
        <w:rPr>
          <w:rFonts w:ascii="仿宋_GB2312" w:hAnsi="仿宋_GB2312" w:eastAsia="仿宋_GB2312"/>
          <w:b w:val="0"/>
          <w:sz w:val="32"/>
        </w:rPr>
        <w:t>2.一般公共服务支出(类)民主党派及工商联事务(款)一般行政管理事务(项):支出决算数为38.90万元，比上年决算增加3.41万元，增长9.61%,主要原因是：本年度新增加委托业务费；培训费、差旅费、办公设备购置费。</w:t>
      </w:r>
    </w:p>
    <w:p w14:paraId="12FF13FD">
      <w:pPr>
        <w:spacing w:line="580" w:lineRule="exact"/>
        <w:ind w:firstLine="640"/>
        <w:jc w:val="both"/>
      </w:pPr>
      <w:r>
        <w:rPr>
          <w:rFonts w:ascii="仿宋_GB2312" w:hAnsi="仿宋_GB2312" w:eastAsia="仿宋_GB2312"/>
          <w:b w:val="0"/>
          <w:sz w:val="32"/>
        </w:rPr>
        <w:t>3.一般公共服务支出(类)民主党派及工商联事务(款)事业运行(项):支出决算数为49.01万元，比上年决算增加4.73万元，增长10.68%,主要原因是：本年在职人员工资调增，相关人员经费增加。</w:t>
      </w:r>
    </w:p>
    <w:p w14:paraId="6DB6F27D">
      <w:pPr>
        <w:spacing w:line="580" w:lineRule="exact"/>
        <w:ind w:firstLine="640"/>
        <w:jc w:val="both"/>
      </w:pPr>
      <w:r>
        <w:rPr>
          <w:rFonts w:ascii="仿宋_GB2312" w:hAnsi="仿宋_GB2312" w:eastAsia="仿宋_GB2312"/>
          <w:b w:val="0"/>
          <w:sz w:val="32"/>
        </w:rPr>
        <w:t>4.一般公共服务支出(类)民主党派及工商联事务(款)其他民主党派及工商联事务支出(项):支出决算数为1.65万元，比上年决算增加1.65万元，增长100.00%,主要原因是：本年增加参加2023（第九届）格鲁吉亚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中国新疆商品展览会项目经费。</w:t>
      </w:r>
    </w:p>
    <w:p w14:paraId="2BCE5C7A">
      <w:pPr>
        <w:spacing w:line="580" w:lineRule="exact"/>
        <w:ind w:firstLine="640"/>
        <w:jc w:val="both"/>
      </w:pPr>
      <w:r>
        <w:rPr>
          <w:rFonts w:ascii="仿宋_GB2312" w:hAnsi="仿宋_GB2312" w:eastAsia="仿宋_GB2312"/>
          <w:b w:val="0"/>
          <w:sz w:val="32"/>
        </w:rPr>
        <w:t>5.一般公共服务支出(类)组织事务(款)其他组织事务支出(项):支出决算数为0.00万元，比上年决算减少6.00万元，下降100.00%,主要原因是：本年减少</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经费。</w:t>
      </w:r>
    </w:p>
    <w:p w14:paraId="16CC1D72">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6.社会保障和就业支出(类)行政事业单位养老支出(款)行政单位离退休(项):支出决算数为2.93万元，比上年决算增加1.24万元，增长73.37%,主要原因是：本年增加退休人员基础绩效奖，退休费支出增加。</w:t>
      </w:r>
    </w:p>
    <w:p w14:paraId="648D08F3">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18.81万元，比上年决算减少3.53万元，下降15.80%,主要原因是：本年在职人员调入调出，人员职级不同，缴费基数不同，导致养老保险缴费较上年减少。</w:t>
      </w:r>
    </w:p>
    <w:p w14:paraId="3B264E25">
      <w:pPr>
        <w:spacing w:line="580" w:lineRule="exact"/>
        <w:ind w:firstLine="640"/>
        <w:jc w:val="both"/>
        <w:rPr>
          <w:spacing w:val="-6"/>
          <w:sz w:val="32"/>
        </w:rPr>
      </w:pPr>
      <w:r>
        <w:rPr>
          <w:rFonts w:ascii="仿宋_GB2312" w:hAnsi="仿宋_GB2312" w:eastAsia="仿宋_GB2312"/>
          <w:b w:val="0"/>
          <w:spacing w:val="-6"/>
          <w:sz w:val="32"/>
        </w:rPr>
        <w:t>8.社会保障和就业支出(类)行政事业单位养老支出(款)机关事业单位职业年金缴费支出(项):支出决算数为11.03万元，比上年决算减少8.14万元，下降42.46%,主要原因是：上年有新增退休人员，本年无新增退休人员，导致职业年金缴费支出</w:t>
      </w:r>
      <w:r>
        <w:rPr>
          <w:rFonts w:hint="eastAsia" w:ascii="仿宋_GB2312" w:hAnsi="仿宋_GB2312" w:eastAsia="仿宋_GB2312"/>
          <w:b w:val="0"/>
          <w:spacing w:val="-6"/>
          <w:sz w:val="32"/>
          <w:lang w:val="en-US" w:eastAsia="zh-CN"/>
        </w:rPr>
        <w:t>减少</w:t>
      </w:r>
      <w:r>
        <w:rPr>
          <w:rFonts w:ascii="仿宋_GB2312" w:hAnsi="仿宋_GB2312" w:eastAsia="仿宋_GB2312"/>
          <w:b w:val="0"/>
          <w:spacing w:val="-6"/>
          <w:sz w:val="32"/>
        </w:rPr>
        <w:t>。</w:t>
      </w:r>
    </w:p>
    <w:p w14:paraId="66A1EB35">
      <w:pPr>
        <w:spacing w:line="580" w:lineRule="exact"/>
        <w:ind w:firstLine="640"/>
        <w:jc w:val="both"/>
      </w:pPr>
      <w:r>
        <w:rPr>
          <w:rFonts w:ascii="仿宋_GB2312" w:hAnsi="仿宋_GB2312" w:eastAsia="仿宋_GB2312"/>
          <w:b w:val="0"/>
          <w:sz w:val="32"/>
        </w:rPr>
        <w:t>9.卫生健康支出(类)行政事业单位医疗(款)行政单位医疗(项):支出决算数为7.66万元，比上年决算减少0.47万元，下降5.78%,主要原因是：本年在职人员调入调出，人员职级不同，缴费基数不同，导致行政单位医疗较上年减少。</w:t>
      </w:r>
    </w:p>
    <w:p w14:paraId="5111BAB6">
      <w:pPr>
        <w:spacing w:line="580" w:lineRule="exact"/>
        <w:ind w:firstLine="640"/>
        <w:jc w:val="both"/>
      </w:pPr>
      <w:r>
        <w:rPr>
          <w:rFonts w:ascii="仿宋_GB2312" w:hAnsi="仿宋_GB2312" w:eastAsia="仿宋_GB2312"/>
          <w:b w:val="0"/>
          <w:sz w:val="32"/>
        </w:rPr>
        <w:t>10.卫生健康支出(类)行政事业单位医疗(款)事业单位医疗(项):支出决算数为3.36万元，比上年决算增加0.32万元，增长10.53%,主要原因是：本年在职人员工资基数调增，医疗缴费基数上涨，相应支出增加。</w:t>
      </w:r>
    </w:p>
    <w:p w14:paraId="428A446C">
      <w:pPr>
        <w:spacing w:line="580" w:lineRule="exact"/>
        <w:ind w:firstLine="640"/>
        <w:jc w:val="both"/>
      </w:pPr>
      <w:r>
        <w:rPr>
          <w:rFonts w:ascii="仿宋_GB2312" w:hAnsi="仿宋_GB2312" w:eastAsia="仿宋_GB2312"/>
          <w:b w:val="0"/>
          <w:sz w:val="32"/>
        </w:rPr>
        <w:t>11.卫生健康支出(类)行政事业单位医疗(款)公务员医疗补助(项):支出决算数为0.69万元，比上年决算减少0.01万元，下降1.43%,主要原因是：本年在职人员调入调出，人员职级不同，缴费基数不同，导致公务员医疗补助较上年减少。</w:t>
      </w:r>
    </w:p>
    <w:p w14:paraId="3B7CFD63">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0.02万元，比上年决算减少0.08万元，下降80.00%,主要原因是：本年在职人员调入调出，人员职级不同，缴费基数不同，导致其他行政事业单位医疗较上年减少。</w:t>
      </w:r>
    </w:p>
    <w:p w14:paraId="5D7E11A5">
      <w:pPr>
        <w:spacing w:line="580" w:lineRule="exact"/>
        <w:ind w:firstLine="640"/>
        <w:jc w:val="both"/>
      </w:pPr>
      <w:r>
        <w:rPr>
          <w:rFonts w:ascii="仿宋_GB2312" w:hAnsi="仿宋_GB2312" w:eastAsia="仿宋_GB2312"/>
          <w:b w:val="0"/>
          <w:sz w:val="32"/>
        </w:rPr>
        <w:t>13.住房保障支出(类)住房改革支出(款)住房公积金(项):支出决算数为17.65万元，比上年决算增加0.11万元，增长0.63%,主要原因是：本年在职人员工资基数调增，公积金缴费基数上涨，相应支出增加。</w:t>
      </w:r>
    </w:p>
    <w:p w14:paraId="15059D3F">
      <w:pPr>
        <w:spacing w:line="580" w:lineRule="exact"/>
        <w:ind w:firstLine="640"/>
        <w:jc w:val="both"/>
      </w:pPr>
      <w:r>
        <w:rPr>
          <w:rFonts w:ascii="仿宋_GB2312" w:hAnsi="仿宋_GB2312" w:eastAsia="仿宋_GB2312"/>
          <w:b w:val="0"/>
          <w:sz w:val="32"/>
        </w:rPr>
        <w:t>14.其他支出(类)其他支出(款)其他支出(项):支出决算数为0.00万元，比上年决算减少9.26万元，下降100.00%,主要原因是：本年度减少“为民办实事”工作队经费项目。</w:t>
      </w:r>
    </w:p>
    <w:p w14:paraId="406FEDA6">
      <w:pPr>
        <w:spacing w:line="640" w:lineRule="exact"/>
        <w:ind w:firstLine="640"/>
        <w:jc w:val="both"/>
        <w:outlineLvl w:val="2"/>
      </w:pPr>
      <w:r>
        <w:rPr>
          <w:rFonts w:ascii="黑体" w:hAnsi="黑体" w:eastAsia="黑体"/>
          <w:sz w:val="32"/>
        </w:rPr>
        <w:t>六、一般公共预算财政拨款基本支出决算情况说明</w:t>
      </w:r>
    </w:p>
    <w:p w14:paraId="7B27CB1B">
      <w:pPr>
        <w:spacing w:line="580" w:lineRule="exact"/>
        <w:ind w:firstLine="640"/>
        <w:jc w:val="both"/>
      </w:pPr>
      <w:r>
        <w:rPr>
          <w:rFonts w:ascii="仿宋_GB2312" w:hAnsi="仿宋_GB2312" w:eastAsia="仿宋_GB2312"/>
          <w:b w:val="0"/>
          <w:sz w:val="32"/>
        </w:rPr>
        <w:t>2024年度一般公共预算财政拨款基本支出251.23万元，其中：</w:t>
      </w:r>
      <w:r>
        <w:rPr>
          <w:rFonts w:ascii="仿宋_GB2312" w:hAnsi="仿宋_GB2312" w:eastAsia="仿宋_GB2312"/>
          <w:b/>
          <w:sz w:val="32"/>
        </w:rPr>
        <w:t>人员经费236.25万元，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3E435761">
      <w:pPr>
        <w:spacing w:line="580" w:lineRule="exact"/>
        <w:ind w:firstLine="640"/>
        <w:jc w:val="both"/>
      </w:pPr>
      <w:r>
        <w:rPr>
          <w:rFonts w:ascii="仿宋_GB2312" w:hAnsi="仿宋_GB2312" w:eastAsia="仿宋_GB2312"/>
          <w:b/>
          <w:sz w:val="32"/>
        </w:rPr>
        <w:t>公用经费14.98万元，</w:t>
      </w:r>
      <w:r>
        <w:rPr>
          <w:rFonts w:ascii="仿宋_GB2312" w:hAnsi="仿宋_GB2312" w:eastAsia="仿宋_GB2312"/>
          <w:b w:val="0"/>
          <w:sz w:val="32"/>
        </w:rPr>
        <w:t>包括：办公费、印刷费、水费、电费、邮电费、取暖费、物业管理费、差旅费、维修（护）费、公务接待费、劳务费、工会经费、福利费、公务用车运行维护费、其他商品和服务支出。</w:t>
      </w:r>
    </w:p>
    <w:p w14:paraId="0D191B36">
      <w:pPr>
        <w:spacing w:line="640" w:lineRule="exact"/>
        <w:ind w:firstLine="640"/>
        <w:jc w:val="both"/>
        <w:outlineLvl w:val="2"/>
      </w:pPr>
      <w:r>
        <w:rPr>
          <w:rFonts w:ascii="黑体" w:hAnsi="黑体" w:eastAsia="黑体"/>
          <w:sz w:val="32"/>
        </w:rPr>
        <w:t>七、政府性基金预算财政拨款收入支出决算情况说明</w:t>
      </w:r>
    </w:p>
    <w:p w14:paraId="3CE6E28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37EC9F">
      <w:pPr>
        <w:spacing w:line="640" w:lineRule="exact"/>
        <w:ind w:firstLine="640"/>
        <w:jc w:val="both"/>
        <w:outlineLvl w:val="2"/>
      </w:pPr>
      <w:r>
        <w:rPr>
          <w:rFonts w:ascii="黑体" w:hAnsi="黑体" w:eastAsia="黑体"/>
          <w:sz w:val="32"/>
        </w:rPr>
        <w:t>八、国有资本经营预算财政拨款收入支出决算情况说明</w:t>
      </w:r>
    </w:p>
    <w:p w14:paraId="41E3001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DAE233A">
      <w:pPr>
        <w:spacing w:line="640" w:lineRule="exact"/>
        <w:ind w:firstLine="640"/>
        <w:jc w:val="both"/>
        <w:outlineLvl w:val="2"/>
      </w:pPr>
      <w:r>
        <w:rPr>
          <w:rFonts w:ascii="黑体" w:hAnsi="黑体" w:eastAsia="黑体"/>
          <w:sz w:val="32"/>
        </w:rPr>
        <w:t>九、财政拨款“三公”经费支出决算情况说明</w:t>
      </w:r>
    </w:p>
    <w:p w14:paraId="412F439B">
      <w:pPr>
        <w:spacing w:line="580" w:lineRule="exact"/>
        <w:ind w:firstLine="640"/>
        <w:jc w:val="both"/>
      </w:pPr>
      <w:r>
        <w:rPr>
          <w:rFonts w:ascii="仿宋_GB2312" w:hAnsi="仿宋_GB2312" w:eastAsia="仿宋_GB2312"/>
          <w:b/>
          <w:sz w:val="32"/>
        </w:rPr>
        <w:t>2024年度财政拨款“三公”经费支出3.93万元，</w:t>
      </w:r>
      <w:r>
        <w:rPr>
          <w:rFonts w:ascii="仿宋_GB2312" w:hAnsi="仿宋_GB2312" w:eastAsia="仿宋_GB2312"/>
          <w:b w:val="0"/>
          <w:sz w:val="32"/>
        </w:rPr>
        <w:t>比上年增加1.72万元，增长77.83%，主要原因是：本年因业务需求，参加格鲁吉亚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中国新疆商品展览会，产生机票和住宿费，导致因公出国（境）费支出增加。其中：因公出国（境）费支出1.65万元，占41.98%，比上年增加1.65万元，增长100.00%，主要原因是：本年因业务需求，参加格鲁吉亚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中国新疆商品展览会，产生机票和住宿费，导致因公出国（境）费支出增加。公务用车购置及运行维护费支出2.15万元，占54.71%，比上年增加0.00万元，增长0.00%，主要原因是：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公务用车运行维护费与上年一致无变化。公务接待费支出0.13万元，占3.31%，比上年增加0.07万元，增长116.67%，主要原因是：本年因业务需求，增加公务接待工作，导致公务接待费较上年增加。</w:t>
      </w:r>
    </w:p>
    <w:p w14:paraId="2A2FC870">
      <w:pPr>
        <w:spacing w:line="580" w:lineRule="exact"/>
        <w:ind w:firstLine="640"/>
        <w:jc w:val="both"/>
      </w:pPr>
      <w:r>
        <w:rPr>
          <w:rFonts w:ascii="仿宋_GB2312" w:hAnsi="仿宋_GB2312" w:eastAsia="仿宋_GB2312"/>
          <w:b/>
          <w:sz w:val="32"/>
        </w:rPr>
        <w:t>具体情况如下：</w:t>
      </w:r>
    </w:p>
    <w:p w14:paraId="6C78F410">
      <w:pPr>
        <w:spacing w:line="580" w:lineRule="exact"/>
        <w:ind w:firstLine="640"/>
        <w:jc w:val="both"/>
      </w:pPr>
      <w:r>
        <w:rPr>
          <w:rFonts w:ascii="仿宋_GB2312" w:hAnsi="仿宋_GB2312" w:eastAsia="仿宋_GB2312"/>
          <w:b w:val="0"/>
          <w:sz w:val="32"/>
        </w:rPr>
        <w:t>因公出国（境）费支出1.65万元，开支内容包括本年因业务需求，参加格鲁吉亚</w:t>
      </w:r>
      <w:r>
        <w:rPr>
          <w:rFonts w:hint="eastAsia" w:ascii="仿宋_GB2312" w:hAnsi="仿宋_GB2312" w:eastAsia="仿宋_GB2312"/>
          <w:b w:val="0"/>
          <w:sz w:val="32"/>
          <w:lang w:eastAsia="zh-CN"/>
        </w:rPr>
        <w:t>－</w:t>
      </w:r>
      <w:r>
        <w:rPr>
          <w:rFonts w:ascii="仿宋_GB2312" w:hAnsi="仿宋_GB2312" w:eastAsia="仿宋_GB2312"/>
          <w:b w:val="0"/>
          <w:sz w:val="32"/>
        </w:rPr>
        <w:t>中国新疆商品展览会，产生机票和住宿费。单位全年安排的因公出国（境）团组1个，因公出国（境）1人次。</w:t>
      </w:r>
    </w:p>
    <w:p w14:paraId="711FD2DA">
      <w:pPr>
        <w:spacing w:line="580" w:lineRule="exact"/>
        <w:ind w:firstLine="640"/>
        <w:jc w:val="both"/>
      </w:pPr>
      <w:r>
        <w:rPr>
          <w:rFonts w:ascii="仿宋_GB2312" w:hAnsi="仿宋_GB2312" w:eastAsia="仿宋_GB2312"/>
          <w:b w:val="0"/>
          <w:sz w:val="32"/>
        </w:rPr>
        <w:t>公务用车购置及运行维护费2.15万元，其中：公务用车购置费0.00万元，公务用车运行维护费2.15万元。公务用车运行维护费开支内容包括车辆燃料费、修理费、保险费、过路费等支出。公务用车购置数0辆，公务用车保有量1辆。国有资产占用情况中固定资产车辆1辆，与公务用车保有量差异原因是：本单位固定资产车辆与公务用车保有量一致无差异。</w:t>
      </w:r>
    </w:p>
    <w:p w14:paraId="2917AF1D">
      <w:pPr>
        <w:spacing w:line="580" w:lineRule="exact"/>
        <w:ind w:firstLine="640"/>
        <w:jc w:val="both"/>
      </w:pPr>
      <w:r>
        <w:rPr>
          <w:rFonts w:ascii="仿宋_GB2312" w:hAnsi="仿宋_GB2312" w:eastAsia="仿宋_GB2312"/>
          <w:b w:val="0"/>
          <w:sz w:val="32"/>
        </w:rPr>
        <w:t>公务接待费0.13万元，开支内容包括因互学互促工作接待产生的就餐费。单位全年安排的国内公务接待2批次，10人次。</w:t>
      </w:r>
    </w:p>
    <w:p w14:paraId="7864DC3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3.93万元，决算数3.93万元，预决算差异率0.00%，主要原因是：严格按照预算执行，预决算无差异。其中：因公出国（境）费全年预算数1.65万元，决算数1.65万元，预决算差异率0.00%，主要原因是：严格按照预算执行，预决算无差异。公务用车购置费全年预算数0.00万元，决算数0.00万元，预决算差异率0.00%，主要原因是：本单位无公务用车购置费。公务用车运行维护费全年预算数2.15万元，决算数2.15万元，预决算差异率0.00%，主要原因是：严格按照预算执行，预决算无差异。公务接待费全年预算数0.13万元，决算数0.13万元，预决算差异率0.00%，主要原因是：严格按照预算执行，预决算无差异。</w:t>
      </w:r>
    </w:p>
    <w:p w14:paraId="7C4F8B63">
      <w:pPr>
        <w:spacing w:line="640" w:lineRule="exact"/>
        <w:ind w:firstLine="640"/>
        <w:jc w:val="both"/>
        <w:outlineLvl w:val="2"/>
      </w:pPr>
      <w:r>
        <w:rPr>
          <w:rFonts w:ascii="黑体" w:hAnsi="黑体" w:eastAsia="黑体"/>
          <w:sz w:val="32"/>
        </w:rPr>
        <w:t>十、其他重要事项的情况说明</w:t>
      </w:r>
    </w:p>
    <w:p w14:paraId="5A4F226B">
      <w:pPr>
        <w:spacing w:line="640" w:lineRule="exact"/>
        <w:ind w:firstLine="640"/>
        <w:jc w:val="both"/>
        <w:outlineLvl w:val="3"/>
      </w:pPr>
      <w:r>
        <w:rPr>
          <w:rFonts w:ascii="楷体_GB2312" w:hAnsi="楷体_GB2312" w:eastAsia="楷体_GB2312"/>
          <w:b/>
          <w:sz w:val="32"/>
        </w:rPr>
        <w:t>（一）机关运行经费及公用经费支出情况</w:t>
      </w:r>
    </w:p>
    <w:p w14:paraId="42DF9E9A">
      <w:pPr>
        <w:spacing w:line="580" w:lineRule="exact"/>
        <w:ind w:firstLine="640"/>
        <w:jc w:val="both"/>
      </w:pPr>
      <w:r>
        <w:rPr>
          <w:rFonts w:ascii="仿宋_GB2312" w:hAnsi="仿宋_GB2312" w:eastAsia="仿宋_GB2312"/>
          <w:b w:val="0"/>
          <w:sz w:val="32"/>
        </w:rPr>
        <w:t>2024年度昌吉回族自治州工商业联合会（行政单位和参照公务员法管理事业单位）机关运行经费支出14.98万元，比上年减少7.54万元，下降33.48%，主要原因是：严格控制公用经费，合理节约办公用品，减少不必要开支。</w:t>
      </w:r>
    </w:p>
    <w:p w14:paraId="488D4BEC">
      <w:pPr>
        <w:spacing w:line="640" w:lineRule="exact"/>
        <w:ind w:firstLine="640"/>
        <w:jc w:val="both"/>
        <w:outlineLvl w:val="3"/>
      </w:pPr>
      <w:r>
        <w:rPr>
          <w:rFonts w:ascii="楷体_GB2312" w:hAnsi="楷体_GB2312" w:eastAsia="楷体_GB2312"/>
          <w:b/>
          <w:sz w:val="32"/>
        </w:rPr>
        <w:t>（二）政府采购情况</w:t>
      </w:r>
    </w:p>
    <w:p w14:paraId="79B64923">
      <w:pPr>
        <w:spacing w:line="580" w:lineRule="exact"/>
        <w:ind w:firstLine="640"/>
        <w:jc w:val="both"/>
      </w:pPr>
      <w:r>
        <w:rPr>
          <w:rFonts w:ascii="仿宋_GB2312" w:hAnsi="仿宋_GB2312" w:eastAsia="仿宋_GB2312"/>
          <w:b w:val="0"/>
          <w:sz w:val="32"/>
        </w:rPr>
        <w:t>2024年度政府采购支出总额19.89万元，其中：政府采购货物支出2.99万元、政府采购工程支出0.00万元、政府采购服务支出16.90万元。</w:t>
      </w:r>
    </w:p>
    <w:p w14:paraId="0558C51B">
      <w:pPr>
        <w:spacing w:line="580" w:lineRule="exact"/>
        <w:ind w:firstLine="640"/>
        <w:jc w:val="both"/>
      </w:pPr>
      <w:r>
        <w:rPr>
          <w:rFonts w:ascii="仿宋_GB2312" w:hAnsi="仿宋_GB2312" w:eastAsia="仿宋_GB2312"/>
          <w:b w:val="0"/>
          <w:sz w:val="32"/>
        </w:rPr>
        <w:t>授予中小企业合同金额19.89万元，占政府采购支出总额的100.00%，其中：授予小微企业合同金额19.89万元，占政府采购支出总额的100.00%。</w:t>
      </w:r>
    </w:p>
    <w:p w14:paraId="2F818E77">
      <w:pPr>
        <w:spacing w:line="640" w:lineRule="exact"/>
        <w:ind w:firstLine="640"/>
        <w:jc w:val="both"/>
        <w:outlineLvl w:val="3"/>
      </w:pPr>
      <w:r>
        <w:rPr>
          <w:rFonts w:ascii="楷体_GB2312" w:hAnsi="楷体_GB2312" w:eastAsia="楷体_GB2312"/>
          <w:b/>
          <w:sz w:val="32"/>
        </w:rPr>
        <w:t>（三）国有资产占用情况说明</w:t>
      </w:r>
    </w:p>
    <w:p w14:paraId="06693F1C">
      <w:pPr>
        <w:spacing w:line="580" w:lineRule="exact"/>
        <w:ind w:firstLine="640"/>
        <w:jc w:val="both"/>
      </w:pPr>
      <w:r>
        <w:rPr>
          <w:rFonts w:ascii="仿宋_GB2312" w:hAnsi="仿宋_GB2312" w:eastAsia="仿宋_GB2312"/>
          <w:b w:val="0"/>
          <w:sz w:val="32"/>
        </w:rPr>
        <w:t>截至2024年12月31日，房屋0.00平方米，价值0.00万元。车辆1辆，价值17.42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B8D07FD">
      <w:pPr>
        <w:spacing w:line="640" w:lineRule="exact"/>
        <w:ind w:firstLine="640"/>
        <w:jc w:val="both"/>
        <w:outlineLvl w:val="2"/>
      </w:pPr>
      <w:r>
        <w:rPr>
          <w:rFonts w:ascii="黑体" w:hAnsi="黑体" w:eastAsia="黑体"/>
          <w:sz w:val="32"/>
        </w:rPr>
        <w:t>十一、预算绩效的情况说明</w:t>
      </w:r>
    </w:p>
    <w:p w14:paraId="5E321A0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340.93万元，实际执行总额295.38万元；预算绩效评价项目3个，全年预算数43.07万元，全年执行数43.07万元。预算绩效管理取得的成效：</w:t>
      </w:r>
      <w:r>
        <w:rPr>
          <w:rFonts w:hint="eastAsia" w:ascii="仿宋_GB2312" w:hAnsi="宋体" w:eastAsia="仿宋_GB2312" w:cs="宋体"/>
          <w:color w:val="auto"/>
          <w:kern w:val="0"/>
          <w:sz w:val="32"/>
          <w:szCs w:val="32"/>
          <w:lang w:val="en-US" w:eastAsia="zh-CN"/>
        </w:rPr>
        <w:t>一是本单位以绩效目标实现为导向，加强制度建设，提升预算执行质量，预算绩效管理取得一定成效。预算绩效管理取得成效，科学制定目标，促进绩效目标顺利实现。二是自落实预算绩效管理工作以来，本单位在项目资金的使用上有了更加明确、更加清晰地理解和认识。通过实施预算绩效管理，树立了绩效优先的管理理念，也很好地避免了在经费使用上出现违规行为的概率，提升了部门管理水平和资金使用效益，为全面实施绩效管理打下了坚实的基础。</w:t>
      </w:r>
      <w:r>
        <w:rPr>
          <w:rFonts w:ascii="仿宋_GB2312" w:hAnsi="仿宋_GB2312" w:eastAsia="仿宋_GB2312"/>
          <w:b w:val="0"/>
          <w:sz w:val="32"/>
        </w:rPr>
        <w:t>发现的问题及原因：一是在推动政策落实和提升服务效率方面存在不足，原因是政策执行涉及多个部门，协调难度较大，导致政策落实不到位，部分工作人员的业务能力和服务意识有待提高。二是在产业融合和创新投入方面进展缓慢，主要原因是部分企业在产业融合和创新投入方面有困难，面临资金、人才、技术的限制，工商联在引导企业方面的支持措施不够完善。三是部分民营企业在履行社会责任方面积极性不高，原因是工商联在引导和激励企业履行社会职责方面的宣传和引导力度不够。下一步改进措施：一是提高机关干部自身业务水平，扎实开展学习贯彻习近平新时代中国特色社会主义思想主题教育，不断提高机关干部</w:t>
      </w:r>
      <w:r>
        <w:rPr>
          <w:rFonts w:hint="eastAsia" w:ascii="仿宋_GB2312" w:hAnsi="仿宋_GB2312" w:eastAsia="仿宋_GB2312"/>
          <w:b w:val="0"/>
          <w:sz w:val="32"/>
          <w:lang w:eastAsia="zh-CN"/>
        </w:rPr>
        <w:t>政治判断力、政治领悟力、政治执行力</w:t>
      </w:r>
      <w:r>
        <w:rPr>
          <w:rFonts w:ascii="仿宋_GB2312" w:hAnsi="仿宋_GB2312" w:eastAsia="仿宋_GB2312"/>
          <w:b w:val="0"/>
          <w:sz w:val="32"/>
        </w:rPr>
        <w:t>。进一步帮助民营企业拓宽融资渠道，为民营经济发展创造良好的环境；二是加大惠企政策的宣传力度，通过线上和线下等多种形式开展宣传力度；三是健全完善工商联组织体系，开展商会建设情况及会员企业摸底调研，开展县级工商联组织建设调研，加强与各县市党委沟通对接，召开执委会、主席</w:t>
      </w:r>
      <w:r>
        <w:rPr>
          <w:rFonts w:hint="eastAsia" w:ascii="仿宋_GB2312" w:hAnsi="仿宋_GB2312" w:eastAsia="仿宋_GB2312"/>
          <w:b w:val="0"/>
          <w:sz w:val="32"/>
          <w:lang w:eastAsia="zh-CN"/>
        </w:rPr>
        <w:t>办公会</w:t>
      </w:r>
      <w:r>
        <w:rPr>
          <w:rFonts w:ascii="仿宋_GB2312" w:hAnsi="仿宋_GB2312" w:eastAsia="仿宋_GB2312"/>
          <w:b w:val="0"/>
          <w:sz w:val="32"/>
        </w:rPr>
        <w:t>推进“一个设立五个有”达标工作，选优配齐工商联党组班子成员。具体附整体支出绩效自评表，项目支出绩效自评表和评价报告。</w:t>
      </w:r>
    </w:p>
    <w:p w14:paraId="0A35C51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126"/>
        <w:gridCol w:w="840"/>
        <w:gridCol w:w="983"/>
        <w:gridCol w:w="983"/>
      </w:tblGrid>
      <w:tr w14:paraId="740419EC">
        <w:tblPrEx>
          <w:tblCellMar>
            <w:top w:w="0" w:type="dxa"/>
            <w:left w:w="108" w:type="dxa"/>
            <w:bottom w:w="0" w:type="dxa"/>
            <w:right w:w="108" w:type="dxa"/>
          </w:tblCellMar>
        </w:tblPrEx>
        <w:tc>
          <w:tcPr>
            <w:tcW w:w="8847" w:type="dxa"/>
            <w:gridSpan w:val="9"/>
            <w:vAlign w:val="center"/>
          </w:tcPr>
          <w:p w14:paraId="309E006D">
            <w:pPr>
              <w:jc w:val="center"/>
            </w:pPr>
            <w:r>
              <w:rPr>
                <w:rFonts w:ascii="宋体" w:hAnsi="宋体" w:eastAsia="宋体"/>
                <w:sz w:val="24"/>
              </w:rPr>
              <w:t>单位整体支出绩效自评表</w:t>
            </w:r>
          </w:p>
        </w:tc>
      </w:tr>
      <w:tr w14:paraId="69362CAF">
        <w:tblPrEx>
          <w:tblCellMar>
            <w:top w:w="0" w:type="dxa"/>
            <w:left w:w="108" w:type="dxa"/>
            <w:bottom w:w="0" w:type="dxa"/>
            <w:right w:w="108" w:type="dxa"/>
          </w:tblCellMar>
        </w:tblPrEx>
        <w:tc>
          <w:tcPr>
            <w:tcW w:w="8847" w:type="dxa"/>
            <w:gridSpan w:val="9"/>
            <w:vAlign w:val="center"/>
          </w:tcPr>
          <w:p w14:paraId="2ED77B67">
            <w:pPr>
              <w:jc w:val="center"/>
            </w:pPr>
            <w:r>
              <w:rPr>
                <w:rFonts w:ascii="宋体" w:hAnsi="宋体" w:eastAsia="宋体"/>
                <w:sz w:val="24"/>
              </w:rPr>
              <w:t>（2024年度）</w:t>
            </w:r>
          </w:p>
        </w:tc>
      </w:tr>
      <w:tr w14:paraId="4D8C4C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2A8C6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BD3069">
            <w:pPr>
              <w:jc w:val="center"/>
            </w:pPr>
            <w:r>
              <w:rPr>
                <w:rFonts w:ascii="宋体" w:hAnsi="宋体" w:eastAsia="宋体"/>
                <w:sz w:val="16"/>
              </w:rPr>
              <w:t>昌吉回族自治州工商业联合会</w:t>
            </w:r>
          </w:p>
        </w:tc>
      </w:tr>
      <w:tr w14:paraId="746533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AB8A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0FB4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B6731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E3EC3">
            <w:pPr>
              <w:jc w:val="center"/>
            </w:pPr>
            <w:r>
              <w:rPr>
                <w:rFonts w:ascii="宋体" w:hAnsi="宋体" w:eastAsia="宋体"/>
                <w:sz w:val="16"/>
              </w:rPr>
              <w:t>全年预算数</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5953C3C">
            <w:pPr>
              <w:jc w:val="center"/>
            </w:pPr>
            <w:r>
              <w:rPr>
                <w:rFonts w:ascii="宋体" w:hAnsi="宋体" w:eastAsia="宋体"/>
                <w:sz w:val="16"/>
              </w:rPr>
              <w:t>全年执行数</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7667B7C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560B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BBC177">
            <w:pPr>
              <w:jc w:val="center"/>
            </w:pPr>
            <w:r>
              <w:rPr>
                <w:rFonts w:ascii="宋体" w:hAnsi="宋体" w:eastAsia="宋体"/>
                <w:sz w:val="16"/>
              </w:rPr>
              <w:t>得分</w:t>
            </w:r>
          </w:p>
        </w:tc>
      </w:tr>
      <w:tr w14:paraId="1FCB3E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96B9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B923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7859E">
            <w:pPr>
              <w:jc w:val="center"/>
            </w:pPr>
            <w:r>
              <w:rPr>
                <w:rFonts w:ascii="宋体" w:hAnsi="宋体" w:eastAsia="宋体"/>
                <w:sz w:val="16"/>
              </w:rPr>
              <w:t>5.86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A5F75">
            <w:pPr>
              <w:jc w:val="center"/>
            </w:pPr>
            <w:r>
              <w:rPr>
                <w:rFonts w:ascii="宋体" w:hAnsi="宋体" w:eastAsia="宋体"/>
                <w:sz w:val="16"/>
              </w:rPr>
              <w:t>0.00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0672762">
            <w:pPr>
              <w:jc w:val="center"/>
            </w:pPr>
            <w:r>
              <w:rPr>
                <w:rFonts w:ascii="宋体" w:hAnsi="宋体" w:eastAsia="宋体"/>
                <w:sz w:val="16"/>
              </w:rPr>
              <w:t>0.00</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10339F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90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471E9">
            <w:pPr>
              <w:jc w:val="center"/>
            </w:pPr>
            <w:r>
              <w:rPr>
                <w:rFonts w:ascii="宋体" w:hAnsi="宋体" w:eastAsia="宋体"/>
                <w:sz w:val="16"/>
              </w:rPr>
              <w:t>-</w:t>
            </w:r>
          </w:p>
        </w:tc>
      </w:tr>
      <w:tr w14:paraId="6994E3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99DB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C282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D0D04">
            <w:pPr>
              <w:jc w:val="center"/>
            </w:pPr>
            <w:r>
              <w:rPr>
                <w:rFonts w:ascii="宋体" w:hAnsi="宋体" w:eastAsia="宋体"/>
                <w:sz w:val="16"/>
              </w:rPr>
              <w:t>280.76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3B145">
            <w:pPr>
              <w:jc w:val="center"/>
            </w:pPr>
            <w:r>
              <w:rPr>
                <w:rFonts w:ascii="宋体" w:hAnsi="宋体" w:eastAsia="宋体"/>
                <w:sz w:val="16"/>
              </w:rPr>
              <w:t>291.90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527B8BD3">
            <w:pPr>
              <w:jc w:val="center"/>
            </w:pPr>
            <w:r>
              <w:rPr>
                <w:rFonts w:ascii="宋体" w:hAnsi="宋体" w:eastAsia="宋体"/>
                <w:sz w:val="16"/>
              </w:rPr>
              <w:t>291.88</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5C65F6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EB25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DC312">
            <w:pPr>
              <w:jc w:val="center"/>
            </w:pPr>
            <w:r>
              <w:rPr>
                <w:rFonts w:ascii="宋体" w:hAnsi="宋体" w:eastAsia="宋体"/>
                <w:sz w:val="16"/>
              </w:rPr>
              <w:t>-</w:t>
            </w:r>
          </w:p>
        </w:tc>
      </w:tr>
      <w:tr w14:paraId="3BC99D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A93B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5A9E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A309F">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CF1F0">
            <w:pPr>
              <w:jc w:val="center"/>
            </w:pPr>
            <w:r>
              <w:rPr>
                <w:rFonts w:ascii="宋体" w:hAnsi="宋体" w:eastAsia="宋体"/>
                <w:sz w:val="16"/>
              </w:rPr>
              <w:t>49.03</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38914DD6">
            <w:pPr>
              <w:jc w:val="center"/>
            </w:pPr>
            <w:r>
              <w:rPr>
                <w:rFonts w:ascii="宋体" w:hAnsi="宋体" w:eastAsia="宋体"/>
                <w:sz w:val="16"/>
              </w:rPr>
              <w:t>3.50</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540B23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E49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10682">
            <w:pPr>
              <w:jc w:val="center"/>
            </w:pPr>
            <w:r>
              <w:rPr>
                <w:rFonts w:ascii="宋体" w:hAnsi="宋体" w:eastAsia="宋体"/>
                <w:sz w:val="16"/>
              </w:rPr>
              <w:t>-</w:t>
            </w:r>
          </w:p>
        </w:tc>
      </w:tr>
      <w:tr w14:paraId="48EE49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8439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A0BF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BE24F">
            <w:pPr>
              <w:jc w:val="center"/>
            </w:pPr>
            <w:r>
              <w:rPr>
                <w:rFonts w:ascii="宋体" w:hAnsi="宋体" w:eastAsia="宋体"/>
                <w:sz w:val="16"/>
              </w:rPr>
              <w:t>298.62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BB54F">
            <w:pPr>
              <w:jc w:val="center"/>
            </w:pPr>
            <w:r>
              <w:rPr>
                <w:rFonts w:ascii="宋体" w:hAnsi="宋体" w:eastAsia="宋体"/>
                <w:sz w:val="16"/>
              </w:rPr>
              <w:t>340.93</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77C642EB">
            <w:pPr>
              <w:jc w:val="center"/>
            </w:pPr>
            <w:r>
              <w:rPr>
                <w:rFonts w:ascii="宋体" w:hAnsi="宋体" w:eastAsia="宋体"/>
                <w:sz w:val="16"/>
              </w:rPr>
              <w:t>295.38</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0B2581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9AA53">
            <w:pPr>
              <w:jc w:val="center"/>
            </w:pPr>
            <w:r>
              <w:rPr>
                <w:rFonts w:ascii="宋体" w:hAnsi="宋体" w:eastAsia="宋体"/>
                <w:sz w:val="16"/>
              </w:rPr>
              <w:t>86.64%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7E72E">
            <w:pPr>
              <w:jc w:val="center"/>
            </w:pPr>
            <w:r>
              <w:rPr>
                <w:rFonts w:ascii="宋体" w:hAnsi="宋体" w:eastAsia="宋体"/>
                <w:sz w:val="16"/>
              </w:rPr>
              <w:t>8.66</w:t>
            </w:r>
          </w:p>
        </w:tc>
      </w:tr>
      <w:tr w14:paraId="286215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3443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95450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E80769">
            <w:pPr>
              <w:jc w:val="center"/>
            </w:pPr>
            <w:r>
              <w:rPr>
                <w:rFonts w:ascii="宋体" w:hAnsi="宋体" w:eastAsia="宋体"/>
                <w:sz w:val="16"/>
              </w:rPr>
              <w:t>实际完成情况</w:t>
            </w:r>
          </w:p>
        </w:tc>
      </w:tr>
      <w:tr w14:paraId="0CF69F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0B1B4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CFE045">
            <w:pPr>
              <w:jc w:val="both"/>
            </w:pPr>
            <w:r>
              <w:rPr>
                <w:rFonts w:ascii="宋体" w:hAnsi="宋体" w:eastAsia="宋体"/>
                <w:sz w:val="16"/>
              </w:rPr>
              <w:t>坚持以习近平新时代中国特色社会主义思想为指导，认真学习贯彻《中共中央 国务院关于发展壮大民营经</w:t>
            </w:r>
            <w:r>
              <w:rPr>
                <w:rFonts w:hint="eastAsia" w:ascii="宋体" w:hAnsi="宋体"/>
                <w:sz w:val="16"/>
                <w:lang w:eastAsia="zh-CN"/>
              </w:rPr>
              <w:t>济的</w:t>
            </w:r>
            <w:r>
              <w:rPr>
                <w:rFonts w:ascii="宋体" w:hAnsi="宋体" w:eastAsia="宋体"/>
                <w:sz w:val="16"/>
              </w:rPr>
              <w:t>意见》《中共中央 国务院关于加强新时代工商联工作的意见》精神，</w:t>
            </w:r>
            <w:r>
              <w:rPr>
                <w:rFonts w:hint="eastAsia" w:ascii="宋体" w:hAnsi="宋体"/>
                <w:sz w:val="16"/>
                <w:lang w:eastAsia="zh-CN"/>
              </w:rPr>
              <w:t>围绕中心、服务大局</w:t>
            </w:r>
            <w:r>
              <w:rPr>
                <w:rFonts w:ascii="宋体" w:hAnsi="宋体" w:eastAsia="宋体"/>
                <w:sz w:val="16"/>
              </w:rPr>
              <w:t>，突出重点，创新举措，全力推进民营经济人士健康发展和民营企业健康成长。</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DB78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全年预算数为340.93万元，全年执行数为295.38万元，总预算执行率为86.64%。2024年</w:t>
            </w:r>
            <w:r>
              <w:rPr>
                <w:rFonts w:hint="eastAsia" w:ascii="宋体" w:hAnsi="宋体"/>
                <w:sz w:val="16"/>
                <w:lang w:eastAsia="zh-CN"/>
              </w:rPr>
              <w:t>本单位</w:t>
            </w:r>
            <w:r>
              <w:rPr>
                <w:rFonts w:ascii="宋体" w:hAnsi="宋体" w:eastAsia="宋体"/>
                <w:sz w:val="16"/>
              </w:rPr>
              <w:t>完成以下工作内容：实际完成了打造区、州级党建示范点3个，组织</w:t>
            </w:r>
            <w:r>
              <w:rPr>
                <w:rFonts w:hint="eastAsia" w:ascii="宋体" w:hAnsi="宋体"/>
                <w:sz w:val="16"/>
                <w:lang w:eastAsia="zh-CN"/>
              </w:rPr>
              <w:t>非公有制经济人士</w:t>
            </w:r>
            <w:r>
              <w:rPr>
                <w:rFonts w:ascii="宋体" w:hAnsi="宋体" w:eastAsia="宋体"/>
                <w:sz w:val="16"/>
              </w:rPr>
              <w:t>培训次数2次，创建州级“五个好”党支部2个，继续推进了非公企业党的组织和工作全覆盖达到100%，有效提升了商会服务会员企业、服务高质量发展大局的能力和水平。</w:t>
            </w:r>
          </w:p>
        </w:tc>
      </w:tr>
      <w:tr w14:paraId="527F7C1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71F9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A2A0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451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05407">
            <w:pPr>
              <w:jc w:val="center"/>
            </w:pPr>
            <w:r>
              <w:rPr>
                <w:rFonts w:ascii="宋体" w:hAnsi="宋体" w:eastAsia="宋体"/>
                <w:sz w:val="16"/>
              </w:rPr>
              <w:t>预期指标值</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F5D5CE6">
            <w:pPr>
              <w:jc w:val="center"/>
            </w:pPr>
            <w:r>
              <w:rPr>
                <w:rFonts w:ascii="宋体" w:hAnsi="宋体" w:eastAsia="宋体"/>
                <w:sz w:val="16"/>
              </w:rPr>
              <w:t>指标值设定依据</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3B3976B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587A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8BC5">
            <w:pPr>
              <w:jc w:val="center"/>
            </w:pPr>
            <w:r>
              <w:rPr>
                <w:rFonts w:ascii="宋体" w:hAnsi="宋体" w:eastAsia="宋体"/>
                <w:sz w:val="16"/>
              </w:rPr>
              <w:t>得分</w:t>
            </w:r>
          </w:p>
        </w:tc>
      </w:tr>
      <w:tr w14:paraId="7D61369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EBC99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ED512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70654">
            <w:pPr>
              <w:jc w:val="center"/>
            </w:pPr>
            <w:r>
              <w:rPr>
                <w:rFonts w:ascii="宋体" w:hAnsi="宋体" w:eastAsia="宋体"/>
                <w:sz w:val="16"/>
              </w:rPr>
              <w:t>打造区、州级党建示范点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D850D">
            <w:pPr>
              <w:jc w:val="center"/>
            </w:pPr>
            <w:r>
              <w:rPr>
                <w:rFonts w:ascii="宋体" w:hAnsi="宋体" w:eastAsia="宋体"/>
                <w:sz w:val="16"/>
              </w:rPr>
              <w:t>&gt;=3个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00E395F4">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0A78380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E8451">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5488">
            <w:pPr>
              <w:jc w:val="center"/>
            </w:pPr>
            <w:r>
              <w:rPr>
                <w:rFonts w:ascii="宋体" w:hAnsi="宋体" w:eastAsia="宋体"/>
                <w:sz w:val="16"/>
              </w:rPr>
              <w:t>20</w:t>
            </w:r>
          </w:p>
        </w:tc>
      </w:tr>
      <w:tr w14:paraId="149D29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5A0E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CC3A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68F5E">
            <w:pPr>
              <w:jc w:val="center"/>
            </w:pPr>
            <w:r>
              <w:rPr>
                <w:rFonts w:ascii="宋体" w:hAnsi="宋体" w:eastAsia="宋体"/>
                <w:sz w:val="16"/>
              </w:rPr>
              <w:t>组织</w:t>
            </w:r>
            <w:r>
              <w:rPr>
                <w:rFonts w:hint="eastAsia" w:ascii="宋体" w:hAnsi="宋体"/>
                <w:sz w:val="16"/>
                <w:lang w:eastAsia="zh-CN"/>
              </w:rPr>
              <w:t>非公有制经济人士</w:t>
            </w:r>
            <w:r>
              <w:rPr>
                <w:rFonts w:ascii="宋体" w:hAnsi="宋体" w:eastAsia="宋体"/>
                <w:sz w:val="16"/>
              </w:rPr>
              <w:t>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CA8F6">
            <w:pPr>
              <w:jc w:val="center"/>
            </w:pPr>
            <w:r>
              <w:rPr>
                <w:rFonts w:ascii="宋体" w:hAnsi="宋体" w:eastAsia="宋体"/>
                <w:sz w:val="16"/>
              </w:rPr>
              <w:t>&gt;=2个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973C06B">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6919BCE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ADE72">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2EF3D">
            <w:pPr>
              <w:jc w:val="center"/>
            </w:pPr>
            <w:r>
              <w:rPr>
                <w:rFonts w:ascii="宋体" w:hAnsi="宋体" w:eastAsia="宋体"/>
                <w:sz w:val="16"/>
              </w:rPr>
              <w:t>20</w:t>
            </w:r>
          </w:p>
        </w:tc>
      </w:tr>
      <w:tr w14:paraId="576B592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8C91D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00A7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B196E">
            <w:pPr>
              <w:jc w:val="center"/>
            </w:pPr>
            <w:r>
              <w:rPr>
                <w:rFonts w:ascii="宋体" w:hAnsi="宋体" w:eastAsia="宋体"/>
                <w:sz w:val="16"/>
              </w:rPr>
              <w:t>创建州级“五个好”党支部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6BF92">
            <w:pPr>
              <w:jc w:val="center"/>
            </w:pPr>
            <w:r>
              <w:rPr>
                <w:rFonts w:ascii="宋体" w:hAnsi="宋体" w:eastAsia="宋体"/>
                <w:sz w:val="16"/>
              </w:rPr>
              <w:t>&gt;=2个</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3436FDA8">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71E9EBB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D913C3">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65F34">
            <w:pPr>
              <w:jc w:val="center"/>
            </w:pPr>
            <w:r>
              <w:rPr>
                <w:rFonts w:ascii="宋体" w:hAnsi="宋体" w:eastAsia="宋体"/>
                <w:sz w:val="16"/>
              </w:rPr>
              <w:t>20</w:t>
            </w:r>
          </w:p>
        </w:tc>
      </w:tr>
      <w:tr w14:paraId="779B99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E1A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134A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2CBAA">
            <w:pPr>
              <w:jc w:val="center"/>
            </w:pPr>
            <w:r>
              <w:rPr>
                <w:rFonts w:ascii="宋体" w:hAnsi="宋体" w:eastAsia="宋体"/>
                <w:sz w:val="16"/>
              </w:rPr>
              <w:t>继续推进非公企业党的组织和工作全覆盖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226A9">
            <w:pPr>
              <w:jc w:val="center"/>
            </w:pPr>
            <w:r>
              <w:rPr>
                <w:rFonts w:ascii="宋体" w:hAnsi="宋体" w:eastAsia="宋体"/>
                <w:sz w:val="16"/>
              </w:rPr>
              <w:t>&gt;=90%</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4011CDEA">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119B1C1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55C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F007F">
            <w:pPr>
              <w:jc w:val="center"/>
            </w:pPr>
            <w:r>
              <w:rPr>
                <w:rFonts w:ascii="宋体" w:hAnsi="宋体" w:eastAsia="宋体"/>
                <w:sz w:val="16"/>
              </w:rPr>
              <w:t>15</w:t>
            </w:r>
          </w:p>
        </w:tc>
      </w:tr>
      <w:tr w14:paraId="2711FD1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C6DB0">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C5494">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893F7">
            <w:pPr>
              <w:jc w:val="center"/>
            </w:pPr>
            <w:r>
              <w:rPr>
                <w:rFonts w:ascii="宋体" w:hAnsi="宋体" w:eastAsia="宋体"/>
                <w:sz w:val="16"/>
              </w:rPr>
              <w:t>提升商会服务会员企业、服务高质量发展大局的能力和水平。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D264D">
            <w:pPr>
              <w:jc w:val="center"/>
            </w:pPr>
            <w:r>
              <w:rPr>
                <w:rFonts w:ascii="宋体" w:hAnsi="宋体" w:eastAsia="宋体"/>
                <w:sz w:val="16"/>
              </w:rPr>
              <w:t>提升</w:t>
            </w:r>
          </w:p>
        </w:tc>
        <w:tc>
          <w:tcPr>
            <w:tcW w:w="1126" w:type="dxa"/>
            <w:tcBorders>
              <w:top w:val="single" w:color="auto" w:sz="10" w:space="0"/>
              <w:left w:val="single" w:color="auto" w:sz="10" w:space="0"/>
              <w:bottom w:val="single" w:color="auto" w:sz="10" w:space="0"/>
              <w:right w:val="single" w:color="auto" w:sz="10" w:space="0"/>
              <w:insideV w:val="single" w:sz="10" w:space="0"/>
            </w:tcBorders>
            <w:vAlign w:val="center"/>
          </w:tcPr>
          <w:p w14:paraId="6E32243A">
            <w:pPr>
              <w:jc w:val="center"/>
            </w:pPr>
            <w:r>
              <w:rPr>
                <w:rFonts w:ascii="宋体" w:hAnsi="宋体" w:eastAsia="宋体"/>
                <w:sz w:val="16"/>
              </w:rPr>
              <w:t>《昌吉州工商联2024年工作要点》</w:t>
            </w:r>
          </w:p>
        </w:tc>
        <w:tc>
          <w:tcPr>
            <w:tcW w:w="840" w:type="dxa"/>
            <w:tcBorders>
              <w:top w:val="single" w:color="auto" w:sz="10" w:space="0"/>
              <w:left w:val="single" w:color="auto" w:sz="10" w:space="0"/>
              <w:bottom w:val="single" w:color="auto" w:sz="10" w:space="0"/>
              <w:right w:val="single" w:color="auto" w:sz="10" w:space="0"/>
              <w:insideV w:val="single" w:sz="10" w:space="0"/>
            </w:tcBorders>
            <w:vAlign w:val="center"/>
          </w:tcPr>
          <w:p w14:paraId="2303FA3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7BEC8">
            <w:pPr>
              <w:jc w:val="center"/>
            </w:pPr>
            <w:r>
              <w:rPr>
                <w:rFonts w:ascii="宋体" w:hAnsi="宋体" w:eastAsia="宋体"/>
                <w:sz w:val="16"/>
              </w:rPr>
              <w:t>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B050B">
            <w:pPr>
              <w:jc w:val="center"/>
            </w:pPr>
            <w:r>
              <w:rPr>
                <w:rFonts w:ascii="宋体" w:hAnsi="宋体" w:eastAsia="宋体"/>
                <w:sz w:val="16"/>
              </w:rPr>
              <w:t>15</w:t>
            </w:r>
          </w:p>
        </w:tc>
      </w:tr>
    </w:tbl>
    <w:p w14:paraId="3B777C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8959F74">
        <w:tblPrEx>
          <w:tblCellMar>
            <w:top w:w="0" w:type="dxa"/>
            <w:left w:w="108" w:type="dxa"/>
            <w:bottom w:w="0" w:type="dxa"/>
            <w:right w:w="108" w:type="dxa"/>
          </w:tblCellMar>
        </w:tblPrEx>
        <w:tc>
          <w:tcPr>
            <w:tcW w:w="8848" w:type="dxa"/>
            <w:gridSpan w:val="14"/>
            <w:vAlign w:val="center"/>
          </w:tcPr>
          <w:p w14:paraId="11122A47">
            <w:pPr>
              <w:jc w:val="center"/>
            </w:pPr>
            <w:r>
              <w:rPr>
                <w:rFonts w:ascii="宋体" w:hAnsi="宋体" w:eastAsia="宋体"/>
                <w:sz w:val="24"/>
              </w:rPr>
              <w:t>项目支出绩效自评表</w:t>
            </w:r>
          </w:p>
        </w:tc>
      </w:tr>
      <w:tr w14:paraId="4C0D01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E8F2ED">
            <w:pPr>
              <w:jc w:val="center"/>
            </w:pPr>
            <w:r>
              <w:rPr>
                <w:rFonts w:ascii="宋体" w:hAnsi="宋体" w:eastAsia="宋体"/>
                <w:sz w:val="24"/>
              </w:rPr>
              <w:t>(2024年度)</w:t>
            </w:r>
          </w:p>
        </w:tc>
      </w:tr>
      <w:tr w14:paraId="0A1358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19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83DB5C">
            <w:pPr>
              <w:jc w:val="center"/>
            </w:pPr>
            <w:r>
              <w:rPr>
                <w:rFonts w:ascii="宋体" w:hAnsi="宋体" w:eastAsia="宋体"/>
                <w:sz w:val="16"/>
              </w:rPr>
              <w:t>昌吉州基层组织建设补助经费</w:t>
            </w:r>
          </w:p>
        </w:tc>
      </w:tr>
      <w:tr w14:paraId="4D94B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49F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4B50AD">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35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B818BA">
            <w:pPr>
              <w:jc w:val="center"/>
            </w:pPr>
            <w:r>
              <w:rPr>
                <w:rFonts w:ascii="宋体" w:hAnsi="宋体" w:eastAsia="宋体"/>
                <w:sz w:val="16"/>
              </w:rPr>
              <w:t>昌吉回族自治州工商业联合会</w:t>
            </w:r>
          </w:p>
        </w:tc>
      </w:tr>
      <w:tr w14:paraId="48C2B3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A98E5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A18D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63A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974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17C5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8F6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AD1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A849">
            <w:pPr>
              <w:jc w:val="center"/>
            </w:pPr>
            <w:r>
              <w:rPr>
                <w:rFonts w:ascii="宋体" w:hAnsi="宋体" w:eastAsia="宋体"/>
                <w:sz w:val="16"/>
              </w:rPr>
              <w:t>得分</w:t>
            </w:r>
          </w:p>
        </w:tc>
      </w:tr>
      <w:tr w14:paraId="156390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660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4E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BAD2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3CB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A9D7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FAFB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D602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5A12">
            <w:pPr>
              <w:jc w:val="center"/>
            </w:pPr>
            <w:r>
              <w:rPr>
                <w:rFonts w:ascii="宋体" w:hAnsi="宋体" w:eastAsia="宋体"/>
                <w:sz w:val="16"/>
              </w:rPr>
              <w:t>10.00</w:t>
            </w:r>
          </w:p>
        </w:tc>
      </w:tr>
      <w:tr w14:paraId="46342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0C5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50B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6A08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725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206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59D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3D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52BAB">
            <w:pPr>
              <w:jc w:val="center"/>
            </w:pPr>
            <w:r>
              <w:rPr>
                <w:rFonts w:ascii="宋体" w:hAnsi="宋体" w:eastAsia="宋体"/>
                <w:sz w:val="16"/>
              </w:rPr>
              <w:t>—</w:t>
            </w:r>
          </w:p>
        </w:tc>
      </w:tr>
      <w:tr w14:paraId="3EF7E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314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2D04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22D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49A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80F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AF6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B31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F0B47">
            <w:pPr>
              <w:jc w:val="center"/>
            </w:pPr>
            <w:r>
              <w:rPr>
                <w:rFonts w:ascii="宋体" w:hAnsi="宋体" w:eastAsia="宋体"/>
                <w:sz w:val="16"/>
              </w:rPr>
              <w:t>—</w:t>
            </w:r>
          </w:p>
        </w:tc>
      </w:tr>
      <w:tr w14:paraId="2DCD91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7E8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863A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BD11A8">
            <w:pPr>
              <w:jc w:val="center"/>
            </w:pPr>
            <w:r>
              <w:rPr>
                <w:rFonts w:ascii="宋体" w:hAnsi="宋体" w:eastAsia="宋体"/>
                <w:sz w:val="16"/>
              </w:rPr>
              <w:t>实际完成情况</w:t>
            </w:r>
          </w:p>
        </w:tc>
      </w:tr>
      <w:tr w14:paraId="497A60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174A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6A5BB">
            <w:pPr>
              <w:jc w:val="both"/>
            </w:pPr>
            <w:r>
              <w:rPr>
                <w:rFonts w:ascii="宋体" w:hAnsi="宋体" w:eastAsia="宋体"/>
                <w:sz w:val="16"/>
              </w:rPr>
              <w:t>昌吉州基层组织建设补助经费主要用于对基层组织建设的补助，补助基层企业1家，经费补助发放次数1次，完成基层补助经费3万元，通过经费补助项目，可以增强基层组织的战斗力、凝聚力和领导力，从而增强党的执政能力和领导地位，补助企业满意度达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1B602F">
            <w:pPr>
              <w:jc w:val="both"/>
            </w:pPr>
            <w:r>
              <w:rPr>
                <w:rFonts w:hint="eastAsia" w:ascii="宋体" w:hAnsi="宋体"/>
                <w:sz w:val="16"/>
                <w:lang w:eastAsia="zh-CN"/>
              </w:rPr>
              <w:t>截至</w:t>
            </w:r>
            <w:r>
              <w:rPr>
                <w:rFonts w:ascii="宋体" w:hAnsi="宋体" w:eastAsia="宋体"/>
                <w:sz w:val="16"/>
              </w:rPr>
              <w:t>2024年12月31日该项目实际完成了补助基层企业1家，经费补助发放次数1次，完成基层补助经费支出3万元，提高了基层组织的工作效率，使补助企业满意度达到95%。通过经费补助项目的实施，提高了基层组织的战斗力、凝聚力和领导力，从而增强党的执政能力和领导地位，促进了民营企业高质量发展，也</w:t>
            </w:r>
            <w:r>
              <w:rPr>
                <w:rFonts w:hint="eastAsia" w:ascii="宋体" w:hAnsi="宋体"/>
                <w:sz w:val="16"/>
                <w:lang w:eastAsia="zh-CN"/>
              </w:rPr>
              <w:t>有效</w:t>
            </w:r>
            <w:r>
              <w:rPr>
                <w:rFonts w:ascii="宋体" w:hAnsi="宋体" w:eastAsia="宋体"/>
                <w:sz w:val="16"/>
              </w:rPr>
              <w:t>推动了地方经济的稳步发展。</w:t>
            </w:r>
          </w:p>
        </w:tc>
      </w:tr>
      <w:tr w14:paraId="1A6D84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BC40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D21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43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8B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97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13A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10B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D92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A87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E3FD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64D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C4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68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7D05">
            <w:pPr>
              <w:jc w:val="center"/>
            </w:pPr>
            <w:r>
              <w:rPr>
                <w:rFonts w:ascii="宋体" w:hAnsi="宋体" w:eastAsia="宋体"/>
                <w:sz w:val="16"/>
              </w:rPr>
              <w:t>偏差原因分析及改进措施</w:t>
            </w:r>
          </w:p>
        </w:tc>
      </w:tr>
      <w:tr w14:paraId="3855DB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659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F64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5B1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D484">
            <w:pPr>
              <w:jc w:val="center"/>
            </w:pPr>
            <w:r>
              <w:rPr>
                <w:rFonts w:ascii="宋体" w:hAnsi="宋体" w:eastAsia="宋体"/>
                <w:sz w:val="16"/>
              </w:rPr>
              <w:t>基层补助企业数量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4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EC7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EDC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127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1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21D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4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8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CB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6A515">
            <w:pPr>
              <w:jc w:val="center"/>
            </w:pPr>
          </w:p>
        </w:tc>
      </w:tr>
      <w:tr w14:paraId="434967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5C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4E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387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CB8D">
            <w:pPr>
              <w:jc w:val="center"/>
            </w:pPr>
            <w:r>
              <w:rPr>
                <w:rFonts w:ascii="宋体" w:hAnsi="宋体" w:eastAsia="宋体"/>
                <w:sz w:val="16"/>
              </w:rPr>
              <w:t>补助经费发放次数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D9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C3C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92AE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BD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B4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694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24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B24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EAF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5867D">
            <w:pPr>
              <w:jc w:val="center"/>
            </w:pPr>
          </w:p>
        </w:tc>
      </w:tr>
      <w:tr w14:paraId="14707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B8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42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9C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84AC">
            <w:pPr>
              <w:jc w:val="center"/>
            </w:pPr>
            <w:r>
              <w:rPr>
                <w:rFonts w:ascii="宋体" w:hAnsi="宋体" w:eastAsia="宋体"/>
                <w:sz w:val="16"/>
              </w:rPr>
              <w:t>基层经费补助资格符合率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387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A1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FD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2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015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DA1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63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15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41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B8C8">
            <w:pPr>
              <w:jc w:val="center"/>
            </w:pPr>
          </w:p>
        </w:tc>
      </w:tr>
      <w:tr w14:paraId="0237C1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95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AE3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EA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140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419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2D5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70A6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7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B3D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74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E0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E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C7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30950">
            <w:pPr>
              <w:jc w:val="center"/>
            </w:pPr>
          </w:p>
        </w:tc>
      </w:tr>
      <w:tr w14:paraId="7E6BD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F02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7E4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10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8F8B">
            <w:pPr>
              <w:jc w:val="center"/>
            </w:pPr>
            <w:r>
              <w:rPr>
                <w:rFonts w:ascii="宋体" w:hAnsi="宋体" w:eastAsia="宋体"/>
                <w:sz w:val="16"/>
              </w:rPr>
              <w:t>经费补助发放标准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8F0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CCDC6">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B725">
            <w:pPr>
              <w:jc w:val="center"/>
            </w:pPr>
            <w:r>
              <w:rPr>
                <w:rFonts w:ascii="宋体" w:hAnsi="宋体" w:eastAsia="宋体"/>
                <w:sz w:val="16"/>
              </w:rPr>
              <w:t>=3万元/家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1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BB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E6D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7F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8F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1A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6200">
            <w:pPr>
              <w:jc w:val="center"/>
            </w:pPr>
          </w:p>
        </w:tc>
      </w:tr>
      <w:tr w14:paraId="4BCA5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F06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7B7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49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A2062">
            <w:pPr>
              <w:jc w:val="center"/>
            </w:pPr>
            <w:r>
              <w:rPr>
                <w:rFonts w:ascii="宋体" w:hAnsi="宋体" w:eastAsia="宋体"/>
                <w:sz w:val="16"/>
              </w:rPr>
              <w:t>不断提高基层组织的工作效率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1B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D8E0">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467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6C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69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3F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98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9B17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FC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8444">
            <w:pPr>
              <w:jc w:val="center"/>
            </w:pPr>
          </w:p>
        </w:tc>
      </w:tr>
      <w:tr w14:paraId="1A5DCE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B6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CA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F5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64CB">
            <w:pPr>
              <w:jc w:val="center"/>
            </w:pPr>
            <w:r>
              <w:rPr>
                <w:rFonts w:ascii="宋体" w:hAnsi="宋体" w:eastAsia="宋体"/>
                <w:sz w:val="16"/>
              </w:rPr>
              <w:t>补助企业满意度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C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1A3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926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E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6B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A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8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AD8C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09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64B5">
            <w:pPr>
              <w:jc w:val="center"/>
            </w:pPr>
          </w:p>
        </w:tc>
      </w:tr>
      <w:tr w14:paraId="63FC5B9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4D86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F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C6F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310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92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B0E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C52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DEA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A05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BBF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EC231"/>
        </w:tc>
      </w:tr>
    </w:tbl>
    <w:p w14:paraId="5104F057">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776"/>
        <w:gridCol w:w="696"/>
        <w:gridCol w:w="629"/>
        <w:gridCol w:w="631"/>
        <w:gridCol w:w="624"/>
        <w:gridCol w:w="626"/>
        <w:gridCol w:w="624"/>
        <w:gridCol w:w="625"/>
        <w:gridCol w:w="697"/>
      </w:tblGrid>
      <w:tr w14:paraId="496446AC">
        <w:tblPrEx>
          <w:tblCellMar>
            <w:top w:w="0" w:type="dxa"/>
            <w:left w:w="108" w:type="dxa"/>
            <w:bottom w:w="0" w:type="dxa"/>
            <w:right w:w="108" w:type="dxa"/>
          </w:tblCellMar>
        </w:tblPrEx>
        <w:tc>
          <w:tcPr>
            <w:tcW w:w="8848" w:type="dxa"/>
            <w:gridSpan w:val="14"/>
            <w:vAlign w:val="center"/>
          </w:tcPr>
          <w:p w14:paraId="2DE0E3D9">
            <w:pPr>
              <w:jc w:val="center"/>
            </w:pPr>
            <w:r>
              <w:rPr>
                <w:rFonts w:ascii="宋体" w:hAnsi="宋体" w:eastAsia="宋体"/>
                <w:sz w:val="24"/>
              </w:rPr>
              <w:t>项目支出绩效自评表</w:t>
            </w:r>
          </w:p>
        </w:tc>
      </w:tr>
      <w:tr w14:paraId="4320645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B678C8">
            <w:pPr>
              <w:jc w:val="center"/>
            </w:pPr>
            <w:r>
              <w:rPr>
                <w:rFonts w:ascii="宋体" w:hAnsi="宋体" w:eastAsia="宋体"/>
                <w:sz w:val="24"/>
              </w:rPr>
              <w:t>(2024年度)</w:t>
            </w:r>
          </w:p>
        </w:tc>
      </w:tr>
      <w:tr w14:paraId="56B03E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53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A83D03">
            <w:pPr>
              <w:jc w:val="center"/>
            </w:pPr>
            <w:r>
              <w:rPr>
                <w:rFonts w:ascii="宋体" w:hAnsi="宋体" w:eastAsia="宋体"/>
                <w:sz w:val="16"/>
              </w:rPr>
              <w:t>机关运行补助</w:t>
            </w:r>
          </w:p>
        </w:tc>
      </w:tr>
      <w:tr w14:paraId="05A133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07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7AD67">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46F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B219FA">
            <w:pPr>
              <w:jc w:val="center"/>
            </w:pPr>
            <w:r>
              <w:rPr>
                <w:rFonts w:ascii="宋体" w:hAnsi="宋体" w:eastAsia="宋体"/>
                <w:sz w:val="16"/>
              </w:rPr>
              <w:t>昌吉回族自治州工商业联合会</w:t>
            </w:r>
          </w:p>
        </w:tc>
      </w:tr>
      <w:tr w14:paraId="10D43A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F5E1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B953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E22F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C649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125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D18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B3C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212B">
            <w:pPr>
              <w:jc w:val="center"/>
            </w:pPr>
            <w:r>
              <w:rPr>
                <w:rFonts w:ascii="宋体" w:hAnsi="宋体" w:eastAsia="宋体"/>
                <w:sz w:val="16"/>
              </w:rPr>
              <w:t>得分</w:t>
            </w:r>
          </w:p>
        </w:tc>
      </w:tr>
      <w:tr w14:paraId="712FFB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332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41B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D81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EF00F">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AE1E">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79F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F2C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37D3">
            <w:pPr>
              <w:jc w:val="center"/>
            </w:pPr>
            <w:r>
              <w:rPr>
                <w:rFonts w:ascii="宋体" w:hAnsi="宋体" w:eastAsia="宋体"/>
                <w:sz w:val="16"/>
              </w:rPr>
              <w:t>10.00</w:t>
            </w:r>
          </w:p>
        </w:tc>
      </w:tr>
      <w:tr w14:paraId="20E8F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F6E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14D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DE37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773B7">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D4028">
            <w:pPr>
              <w:jc w:val="center"/>
            </w:pPr>
            <w:r>
              <w:rPr>
                <w:rFonts w:ascii="宋体" w:hAnsi="宋体" w:eastAsia="宋体"/>
                <w:sz w:val="16"/>
              </w:rPr>
              <w:t>36.55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232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BF9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E4BE">
            <w:pPr>
              <w:jc w:val="center"/>
            </w:pPr>
            <w:r>
              <w:rPr>
                <w:rFonts w:ascii="宋体" w:hAnsi="宋体" w:eastAsia="宋体"/>
                <w:sz w:val="16"/>
              </w:rPr>
              <w:t>—</w:t>
            </w:r>
          </w:p>
        </w:tc>
      </w:tr>
      <w:tr w14:paraId="7AAAD8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554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522A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169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81B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71B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325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46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AF96">
            <w:pPr>
              <w:jc w:val="center"/>
            </w:pPr>
            <w:r>
              <w:rPr>
                <w:rFonts w:ascii="宋体" w:hAnsi="宋体" w:eastAsia="宋体"/>
                <w:sz w:val="16"/>
              </w:rPr>
              <w:t>—</w:t>
            </w:r>
          </w:p>
        </w:tc>
      </w:tr>
      <w:tr w14:paraId="18284C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C681A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BDCBE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6E87A0">
            <w:pPr>
              <w:jc w:val="center"/>
            </w:pPr>
            <w:r>
              <w:rPr>
                <w:rFonts w:ascii="宋体" w:hAnsi="宋体" w:eastAsia="宋体"/>
                <w:sz w:val="16"/>
              </w:rPr>
              <w:t>实际完成情况</w:t>
            </w:r>
          </w:p>
        </w:tc>
      </w:tr>
      <w:tr w14:paraId="1E8E5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894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903A24">
            <w:pPr>
              <w:jc w:val="both"/>
            </w:pPr>
            <w:r>
              <w:rPr>
                <w:rFonts w:ascii="宋体" w:hAnsi="宋体" w:eastAsia="宋体"/>
                <w:sz w:val="16"/>
              </w:rPr>
              <w:t>该项目经费用于保障</w:t>
            </w:r>
            <w:r>
              <w:rPr>
                <w:rFonts w:hint="eastAsia" w:ascii="宋体" w:hAnsi="宋体"/>
                <w:sz w:val="16"/>
                <w:lang w:eastAsia="zh-CN"/>
              </w:rPr>
              <w:t>本单位</w:t>
            </w:r>
            <w:r>
              <w:rPr>
                <w:rFonts w:ascii="宋体" w:hAnsi="宋体" w:eastAsia="宋体"/>
                <w:sz w:val="16"/>
              </w:rPr>
              <w:t>17人正常的工作秩序，开展民营经济人士培训班2次，</w:t>
            </w:r>
            <w:r>
              <w:rPr>
                <w:rFonts w:hint="eastAsia" w:ascii="宋体" w:hAnsi="宋体"/>
                <w:sz w:val="16"/>
                <w:lang w:eastAsia="zh-CN"/>
              </w:rPr>
              <w:t>培训</w:t>
            </w:r>
            <w:r>
              <w:rPr>
                <w:rFonts w:ascii="宋体" w:hAnsi="宋体" w:eastAsia="宋体"/>
                <w:sz w:val="16"/>
              </w:rPr>
              <w:t>完成率达到100%，保障因公出差人数1人，完成培训班费用支出18.96万元，保障单位正常运转成本支出15.94万元，因公出差差旅费支出1.65万元，通过项目的实施调动职工工作积极性，提高业务开展效率，提升公共服务能力，不断促进民营企业经济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10F3BA">
            <w:pPr>
              <w:jc w:val="both"/>
            </w:pPr>
            <w:r>
              <w:rPr>
                <w:rFonts w:ascii="宋体" w:hAnsi="宋体" w:eastAsia="宋体"/>
                <w:sz w:val="16"/>
              </w:rPr>
              <w:br w:type="textWrapping"/>
            </w:r>
            <w:r>
              <w:rPr>
                <w:rFonts w:hint="eastAsia" w:ascii="宋体" w:hAnsi="宋体"/>
                <w:sz w:val="16"/>
                <w:lang w:eastAsia="zh-CN"/>
              </w:rPr>
              <w:t>截至2024</w:t>
            </w:r>
            <w:r>
              <w:rPr>
                <w:rFonts w:ascii="宋体" w:hAnsi="宋体" w:eastAsia="宋体"/>
                <w:sz w:val="16"/>
              </w:rPr>
              <w:t>年12月31日实际完成了经费支出用于保障</w:t>
            </w:r>
            <w:r>
              <w:rPr>
                <w:rFonts w:hint="eastAsia" w:ascii="宋体" w:hAnsi="宋体"/>
                <w:sz w:val="16"/>
                <w:lang w:eastAsia="zh-CN"/>
              </w:rPr>
              <w:t>本单位</w:t>
            </w:r>
            <w:r>
              <w:rPr>
                <w:rFonts w:ascii="宋体" w:hAnsi="宋体" w:eastAsia="宋体"/>
                <w:sz w:val="16"/>
              </w:rPr>
              <w:t>17人正常的工作秩序，开展民营经济人士培训班2次，</w:t>
            </w:r>
            <w:r>
              <w:rPr>
                <w:rFonts w:hint="eastAsia" w:ascii="宋体" w:hAnsi="宋体"/>
                <w:sz w:val="16"/>
                <w:lang w:eastAsia="zh-CN"/>
              </w:rPr>
              <w:t>培训</w:t>
            </w:r>
            <w:r>
              <w:rPr>
                <w:rFonts w:ascii="宋体" w:hAnsi="宋体" w:eastAsia="宋体"/>
                <w:sz w:val="16"/>
              </w:rPr>
              <w:t>完成率达到100%，保障因公出差人数1人，完成培训班费用支出18.96万元，保障单位正常运转成本支出15.94万元，因公出差差旅费支出1.65万元，通过项目的实施调动职工工作积极性，提高业务开展效率，提升公共服务能力，不断促进民营企业经济高质量发展。</w:t>
            </w:r>
          </w:p>
        </w:tc>
      </w:tr>
      <w:tr w14:paraId="7AACE4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199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7FA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1C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D2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91E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C8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47D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6C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7E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E3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A01B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814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8A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E0EC">
            <w:pPr>
              <w:jc w:val="center"/>
            </w:pPr>
            <w:r>
              <w:rPr>
                <w:rFonts w:ascii="宋体" w:hAnsi="宋体" w:eastAsia="宋体"/>
                <w:sz w:val="16"/>
              </w:rPr>
              <w:t>偏差原因分析及改进措施</w:t>
            </w:r>
          </w:p>
        </w:tc>
      </w:tr>
      <w:tr w14:paraId="4AAAF9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BBC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3D8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D0A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661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1BD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64EE">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6E9E">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9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4E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96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F2E9">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2A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22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8AD5">
            <w:pPr>
              <w:jc w:val="center"/>
            </w:pPr>
          </w:p>
        </w:tc>
      </w:tr>
      <w:tr w14:paraId="220B7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91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726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574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4F99">
            <w:pPr>
              <w:jc w:val="center"/>
            </w:pPr>
            <w:r>
              <w:rPr>
                <w:rFonts w:ascii="宋体" w:hAnsi="宋体" w:eastAsia="宋体"/>
                <w:sz w:val="16"/>
              </w:rPr>
              <w:t>组织民营经济人士政策、金融、企业合规及党建工作培训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A7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BE74">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7EF0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63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0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9C4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990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7CD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A4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E73E">
            <w:pPr>
              <w:jc w:val="center"/>
            </w:pPr>
          </w:p>
        </w:tc>
      </w:tr>
      <w:tr w14:paraId="0DC69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D0E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E54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DD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44A7">
            <w:pPr>
              <w:jc w:val="center"/>
            </w:pPr>
            <w:r>
              <w:rPr>
                <w:rFonts w:ascii="宋体" w:hAnsi="宋体" w:eastAsia="宋体"/>
                <w:sz w:val="16"/>
              </w:rPr>
              <w:t>因公出差人数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CB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6EF3">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0B3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C0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52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BE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10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E8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F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9E91">
            <w:pPr>
              <w:jc w:val="center"/>
            </w:pPr>
          </w:p>
        </w:tc>
      </w:tr>
      <w:tr w14:paraId="6EA0EF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DFD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0AE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CE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D392">
            <w:pPr>
              <w:jc w:val="center"/>
            </w:pPr>
            <w:r>
              <w:rPr>
                <w:rFonts w:ascii="宋体" w:hAnsi="宋体" w:eastAsia="宋体"/>
                <w:sz w:val="16"/>
              </w:rPr>
              <w:t>培训活动完成率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859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4D3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C7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779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FD62">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6D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045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D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7C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D8A9">
            <w:pPr>
              <w:jc w:val="center"/>
            </w:pPr>
            <w:r>
              <w:rPr>
                <w:rFonts w:ascii="宋体" w:hAnsi="宋体" w:eastAsia="宋体"/>
                <w:sz w:val="16"/>
              </w:rPr>
              <w:t>因年初设置的目标值不合理，实际完成率为100%，因此产生偏差</w:t>
            </w:r>
          </w:p>
        </w:tc>
      </w:tr>
      <w:tr w14:paraId="732B3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7E2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3A4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9E8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A856">
            <w:pPr>
              <w:jc w:val="center"/>
            </w:pPr>
            <w:r>
              <w:rPr>
                <w:rFonts w:ascii="宋体" w:hAnsi="宋体" w:eastAsia="宋体"/>
                <w:sz w:val="16"/>
              </w:rPr>
              <w:t>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16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C56B">
            <w:pPr>
              <w:jc w:val="center"/>
            </w:pPr>
            <w:r>
              <w:rPr>
                <w:rFonts w:ascii="宋体" w:hAnsi="宋体" w:eastAsia="宋体"/>
                <w:sz w:val="16"/>
              </w:rPr>
              <w:t>&lt;=15.94万元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7D45">
            <w:pPr>
              <w:jc w:val="center"/>
            </w:pPr>
            <w:r>
              <w:rPr>
                <w:rFonts w:ascii="宋体" w:hAnsi="宋体" w:eastAsia="宋体"/>
                <w:sz w:val="16"/>
              </w:rPr>
              <w:t>=15.94万元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3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01F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8B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98E0">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EA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958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DEA5">
            <w:pPr>
              <w:jc w:val="center"/>
            </w:pPr>
          </w:p>
        </w:tc>
      </w:tr>
      <w:tr w14:paraId="6D1CC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98A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7E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53C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D1B1E">
            <w:pPr>
              <w:jc w:val="center"/>
            </w:pPr>
            <w:r>
              <w:rPr>
                <w:rFonts w:ascii="宋体" w:hAnsi="宋体" w:eastAsia="宋体"/>
                <w:sz w:val="16"/>
              </w:rPr>
              <w:t>调研、考察、培训工作成本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561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CA60">
            <w:pPr>
              <w:jc w:val="center"/>
            </w:pPr>
            <w:r>
              <w:rPr>
                <w:rFonts w:ascii="宋体" w:hAnsi="宋体" w:eastAsia="宋体"/>
                <w:sz w:val="16"/>
              </w:rPr>
              <w:t>&lt;=18.96万元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1DDD">
            <w:pPr>
              <w:jc w:val="center"/>
            </w:pPr>
            <w:r>
              <w:rPr>
                <w:rFonts w:ascii="宋体" w:hAnsi="宋体" w:eastAsia="宋体"/>
                <w:sz w:val="16"/>
              </w:rPr>
              <w:t>=18.96万元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7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BEA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5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F2C0">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8B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8D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36DE9">
            <w:pPr>
              <w:jc w:val="center"/>
            </w:pPr>
          </w:p>
        </w:tc>
      </w:tr>
      <w:tr w14:paraId="192DA9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7F1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313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CD1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8412">
            <w:pPr>
              <w:jc w:val="center"/>
            </w:pPr>
            <w:r>
              <w:rPr>
                <w:rFonts w:ascii="宋体" w:hAnsi="宋体" w:eastAsia="宋体"/>
                <w:sz w:val="16"/>
              </w:rPr>
              <w:t>因公出国差旅费支出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DE2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E977">
            <w:pPr>
              <w:jc w:val="center"/>
            </w:pPr>
            <w:r>
              <w:rPr>
                <w:rFonts w:ascii="宋体" w:hAnsi="宋体" w:eastAsia="宋体"/>
                <w:sz w:val="16"/>
              </w:rPr>
              <w:t>&lt;=1.65万元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8ECFF">
            <w:pPr>
              <w:jc w:val="center"/>
            </w:pPr>
            <w:r>
              <w:rPr>
                <w:rFonts w:ascii="宋体" w:hAnsi="宋体" w:eastAsia="宋体"/>
                <w:sz w:val="16"/>
              </w:rPr>
              <w:t>=1.65万元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FD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45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63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72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13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1C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04DA">
            <w:pPr>
              <w:jc w:val="center"/>
            </w:pPr>
          </w:p>
        </w:tc>
      </w:tr>
      <w:tr w14:paraId="2CB454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779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14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8C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B3CF2">
            <w:pPr>
              <w:jc w:val="center"/>
            </w:pPr>
            <w:r>
              <w:rPr>
                <w:rFonts w:ascii="宋体" w:hAnsi="宋体" w:eastAsia="宋体"/>
                <w:sz w:val="16"/>
              </w:rPr>
              <w:t>是否促进民营企业经济高质量发展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7F7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C9F9">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2F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871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C2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1CA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D44D2">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B7A2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3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EC05">
            <w:pPr>
              <w:jc w:val="center"/>
            </w:pPr>
          </w:p>
        </w:tc>
      </w:tr>
      <w:tr w14:paraId="6D4194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83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70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F0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2701">
            <w:pPr>
              <w:jc w:val="center"/>
            </w:pPr>
            <w:r>
              <w:rPr>
                <w:rFonts w:ascii="宋体" w:hAnsi="宋体" w:eastAsia="宋体"/>
                <w:sz w:val="16"/>
              </w:rPr>
              <w:t>非公有制经济人士满意度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B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79A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3F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51F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4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3A4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B22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0A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F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5B55">
            <w:pPr>
              <w:jc w:val="center"/>
            </w:pPr>
          </w:p>
        </w:tc>
      </w:tr>
      <w:tr w14:paraId="7A9641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64F05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BF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3F8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7E51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CC7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4BF9">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3B0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382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3E6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65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61DC0"/>
        </w:tc>
      </w:tr>
    </w:tbl>
    <w:p w14:paraId="7AE113C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1948F58">
        <w:tblPrEx>
          <w:tblCellMar>
            <w:top w:w="0" w:type="dxa"/>
            <w:left w:w="108" w:type="dxa"/>
            <w:bottom w:w="0" w:type="dxa"/>
            <w:right w:w="108" w:type="dxa"/>
          </w:tblCellMar>
        </w:tblPrEx>
        <w:tc>
          <w:tcPr>
            <w:tcW w:w="8848" w:type="dxa"/>
            <w:gridSpan w:val="14"/>
            <w:vAlign w:val="center"/>
          </w:tcPr>
          <w:p w14:paraId="107594C1">
            <w:pPr>
              <w:jc w:val="center"/>
            </w:pPr>
            <w:r>
              <w:rPr>
                <w:rFonts w:ascii="宋体" w:hAnsi="宋体" w:eastAsia="宋体"/>
                <w:sz w:val="24"/>
              </w:rPr>
              <w:t>项目支出绩效自评表</w:t>
            </w:r>
          </w:p>
        </w:tc>
      </w:tr>
      <w:tr w14:paraId="1189C7F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AB0BBE">
            <w:pPr>
              <w:jc w:val="center"/>
            </w:pPr>
            <w:r>
              <w:rPr>
                <w:rFonts w:ascii="宋体" w:hAnsi="宋体" w:eastAsia="宋体"/>
                <w:sz w:val="24"/>
              </w:rPr>
              <w:t>(2024年度)</w:t>
            </w:r>
          </w:p>
        </w:tc>
      </w:tr>
      <w:tr w14:paraId="4C9778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A4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2D21EC">
            <w:pPr>
              <w:jc w:val="center"/>
            </w:pPr>
            <w:r>
              <w:rPr>
                <w:rFonts w:ascii="宋体" w:hAnsi="宋体" w:eastAsia="宋体"/>
                <w:sz w:val="16"/>
              </w:rPr>
              <w:t>机关运行补助（自有资金）</w:t>
            </w:r>
          </w:p>
        </w:tc>
      </w:tr>
      <w:tr w14:paraId="72E4B2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8D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2826E">
            <w:pPr>
              <w:jc w:val="center"/>
            </w:pPr>
            <w:r>
              <w:rPr>
                <w:rFonts w:ascii="宋体" w:hAnsi="宋体" w:eastAsia="宋体"/>
                <w:sz w:val="16"/>
              </w:rPr>
              <w:t>昌吉回族自治州工商业联合会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0D0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E6FAC8">
            <w:pPr>
              <w:jc w:val="center"/>
            </w:pPr>
            <w:r>
              <w:rPr>
                <w:rFonts w:ascii="宋体" w:hAnsi="宋体" w:eastAsia="宋体"/>
                <w:sz w:val="16"/>
              </w:rPr>
              <w:t>昌吉回族自治州工商业联合会</w:t>
            </w:r>
          </w:p>
        </w:tc>
      </w:tr>
      <w:tr w14:paraId="144248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A912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E8F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82D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49F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F13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2EF7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43B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232A1">
            <w:pPr>
              <w:jc w:val="center"/>
            </w:pPr>
            <w:r>
              <w:rPr>
                <w:rFonts w:ascii="宋体" w:hAnsi="宋体" w:eastAsia="宋体"/>
                <w:sz w:val="16"/>
              </w:rPr>
              <w:t>得分</w:t>
            </w:r>
          </w:p>
        </w:tc>
      </w:tr>
      <w:tr w14:paraId="56FA82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C34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38F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D95A">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C30FD">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8A432">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996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0B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C28B">
            <w:pPr>
              <w:jc w:val="center"/>
            </w:pPr>
            <w:r>
              <w:rPr>
                <w:rFonts w:ascii="宋体" w:hAnsi="宋体" w:eastAsia="宋体"/>
                <w:sz w:val="16"/>
              </w:rPr>
              <w:t>10.00</w:t>
            </w:r>
          </w:p>
        </w:tc>
      </w:tr>
      <w:tr w14:paraId="561D62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12A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66E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489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2EF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230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6C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CD5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8F7E">
            <w:pPr>
              <w:jc w:val="center"/>
            </w:pPr>
            <w:r>
              <w:rPr>
                <w:rFonts w:ascii="宋体" w:hAnsi="宋体" w:eastAsia="宋体"/>
                <w:sz w:val="16"/>
              </w:rPr>
              <w:t>—</w:t>
            </w:r>
          </w:p>
        </w:tc>
      </w:tr>
      <w:tr w14:paraId="4A253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12D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6A5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7AB8D">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6710B">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E49CE">
            <w:pPr>
              <w:jc w:val="center"/>
            </w:pPr>
            <w:r>
              <w:rPr>
                <w:rFonts w:ascii="宋体" w:hAnsi="宋体" w:eastAsia="宋体"/>
                <w:sz w:val="16"/>
              </w:rPr>
              <w:t>3.52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3F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85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2515">
            <w:pPr>
              <w:jc w:val="center"/>
            </w:pPr>
            <w:r>
              <w:rPr>
                <w:rFonts w:ascii="宋体" w:hAnsi="宋体" w:eastAsia="宋体"/>
                <w:sz w:val="16"/>
              </w:rPr>
              <w:t>—</w:t>
            </w:r>
          </w:p>
        </w:tc>
      </w:tr>
      <w:tr w14:paraId="1464DD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7FC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C908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8247DC">
            <w:pPr>
              <w:jc w:val="center"/>
            </w:pPr>
            <w:r>
              <w:rPr>
                <w:rFonts w:ascii="宋体" w:hAnsi="宋体" w:eastAsia="宋体"/>
                <w:sz w:val="16"/>
              </w:rPr>
              <w:t>实际完成情况</w:t>
            </w:r>
          </w:p>
        </w:tc>
      </w:tr>
      <w:tr w14:paraId="2617C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0A5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B366D">
            <w:pPr>
              <w:jc w:val="both"/>
            </w:pPr>
            <w:r>
              <w:rPr>
                <w:rFonts w:ascii="宋体" w:hAnsi="宋体" w:eastAsia="宋体"/>
                <w:sz w:val="16"/>
              </w:rPr>
              <w:t>为了保障单位正常运转，保障公务用车数量1辆；保障办公人员数量17人以上；维修2次保障单位运转，提升服务质量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73BC1F">
            <w:pPr>
              <w:jc w:val="both"/>
            </w:pPr>
            <w:r>
              <w:rPr>
                <w:rFonts w:hint="eastAsia" w:ascii="宋体" w:hAnsi="宋体"/>
                <w:sz w:val="16"/>
                <w:lang w:eastAsia="zh-CN"/>
              </w:rPr>
              <w:t>截至</w:t>
            </w:r>
            <w:r>
              <w:rPr>
                <w:rFonts w:ascii="宋体" w:hAnsi="宋体" w:eastAsia="宋体"/>
                <w:sz w:val="16"/>
              </w:rPr>
              <w:t>2024年12月31日该项目实际完成了保障</w:t>
            </w:r>
            <w:r>
              <w:rPr>
                <w:rFonts w:hint="eastAsia" w:ascii="宋体" w:hAnsi="宋体"/>
                <w:sz w:val="16"/>
                <w:lang w:eastAsia="zh-CN"/>
              </w:rPr>
              <w:t>本单位</w:t>
            </w:r>
            <w:r>
              <w:rPr>
                <w:rFonts w:ascii="宋体" w:hAnsi="宋体" w:eastAsia="宋体"/>
                <w:sz w:val="16"/>
              </w:rPr>
              <w:t>办公人员17人的正常工作；维修2次，保障机关正常运行率达到100%，公用经费支付及时率100%。单位职工满意度达到95%</w:t>
            </w:r>
            <w:r>
              <w:rPr>
                <w:rFonts w:hint="eastAsia" w:ascii="宋体" w:hAnsi="宋体"/>
                <w:sz w:val="16"/>
                <w:lang w:eastAsia="zh-CN"/>
              </w:rPr>
              <w:t>。</w:t>
            </w:r>
            <w:r>
              <w:rPr>
                <w:rFonts w:ascii="宋体" w:hAnsi="宋体" w:eastAsia="宋体"/>
                <w:sz w:val="16"/>
              </w:rPr>
              <w:t>通过该项目的实施提高了</w:t>
            </w:r>
            <w:r>
              <w:rPr>
                <w:rFonts w:hint="eastAsia" w:ascii="宋体" w:hAnsi="宋体"/>
                <w:sz w:val="16"/>
                <w:lang w:eastAsia="zh-CN"/>
              </w:rPr>
              <w:t>本单位</w:t>
            </w:r>
            <w:r>
              <w:rPr>
                <w:rFonts w:ascii="宋体" w:hAnsi="宋体" w:eastAsia="宋体"/>
                <w:sz w:val="16"/>
              </w:rPr>
              <w:t>的服务水平，保</w:t>
            </w:r>
            <w:r>
              <w:rPr>
                <w:rFonts w:hint="eastAsia" w:ascii="宋体" w:hAnsi="宋体"/>
                <w:sz w:val="16"/>
                <w:lang w:eastAsia="zh-CN"/>
              </w:rPr>
              <w:t>障了</w:t>
            </w:r>
            <w:r>
              <w:rPr>
                <w:rFonts w:ascii="宋体" w:hAnsi="宋体" w:eastAsia="宋体"/>
                <w:sz w:val="16"/>
              </w:rPr>
              <w:t>单位正常运转，促进了民营企业经济稳定发展，同时为昌吉州工商业联合会的正常运转和发展提供有力保障。</w:t>
            </w:r>
          </w:p>
        </w:tc>
      </w:tr>
      <w:tr w14:paraId="582C79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4F2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72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75B5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BB5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B8F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7CE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BF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C5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EA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69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A5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A9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C4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C7BA">
            <w:pPr>
              <w:jc w:val="center"/>
            </w:pPr>
            <w:r>
              <w:rPr>
                <w:rFonts w:ascii="宋体" w:hAnsi="宋体" w:eastAsia="宋体"/>
                <w:sz w:val="16"/>
              </w:rPr>
              <w:t>偏差原因分析及改进措施</w:t>
            </w:r>
          </w:p>
        </w:tc>
      </w:tr>
      <w:tr w14:paraId="368910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0E6F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5C7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982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22C9A">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A2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2623">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E09D">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7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FC1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EF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3F05">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DBC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01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1A43">
            <w:pPr>
              <w:jc w:val="center"/>
            </w:pPr>
          </w:p>
        </w:tc>
      </w:tr>
      <w:tr w14:paraId="0700B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36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B4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78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76F29">
            <w:pPr>
              <w:jc w:val="center"/>
            </w:pPr>
            <w:r>
              <w:rPr>
                <w:rFonts w:ascii="宋体" w:hAnsi="宋体" w:eastAsia="宋体"/>
                <w:sz w:val="16"/>
              </w:rPr>
              <w:t>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25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972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B4A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3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DE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E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E2BBD">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20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662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2B33">
            <w:pPr>
              <w:jc w:val="center"/>
            </w:pPr>
          </w:p>
        </w:tc>
      </w:tr>
      <w:tr w14:paraId="3CF2C3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DE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E9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3DD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B046">
            <w:pPr>
              <w:jc w:val="center"/>
            </w:pPr>
            <w:r>
              <w:rPr>
                <w:rFonts w:ascii="宋体" w:hAnsi="宋体" w:eastAsia="宋体"/>
                <w:sz w:val="16"/>
              </w:rPr>
              <w:t>保障机关正常运行率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36B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6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6C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12E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333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31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7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C1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92B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A1D4A">
            <w:pPr>
              <w:jc w:val="center"/>
            </w:pPr>
          </w:p>
        </w:tc>
      </w:tr>
      <w:tr w14:paraId="455EC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1B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683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F91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ABEFD">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AA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A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8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95C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57A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E8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1FC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5D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CD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A37B">
            <w:pPr>
              <w:jc w:val="center"/>
            </w:pPr>
          </w:p>
        </w:tc>
      </w:tr>
      <w:tr w14:paraId="031EE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75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F4A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1A6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ADFEE">
            <w:pPr>
              <w:jc w:val="center"/>
            </w:pPr>
            <w:r>
              <w:rPr>
                <w:rFonts w:ascii="宋体" w:hAnsi="宋体" w:eastAsia="宋体"/>
                <w:sz w:val="16"/>
              </w:rPr>
              <w:t>保障性支出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87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12B8">
            <w:pPr>
              <w:jc w:val="center"/>
            </w:pPr>
            <w:r>
              <w:rPr>
                <w:rFonts w:ascii="宋体" w:hAnsi="宋体" w:eastAsia="宋体"/>
                <w:sz w:val="16"/>
              </w:rPr>
              <w:t>&lt;=3.52万元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864F">
            <w:pPr>
              <w:jc w:val="center"/>
            </w:pPr>
            <w:r>
              <w:rPr>
                <w:rFonts w:ascii="宋体" w:hAnsi="宋体" w:eastAsia="宋体"/>
                <w:sz w:val="16"/>
              </w:rPr>
              <w:t>=3.52万元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E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71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2C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BA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C7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C4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7ECE">
            <w:pPr>
              <w:jc w:val="center"/>
            </w:pPr>
          </w:p>
        </w:tc>
      </w:tr>
      <w:tr w14:paraId="01CA94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C27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C5B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CF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84F2">
            <w:pPr>
              <w:jc w:val="center"/>
            </w:pPr>
            <w:r>
              <w:rPr>
                <w:rFonts w:ascii="宋体" w:hAnsi="宋体" w:eastAsia="宋体"/>
                <w:sz w:val="16"/>
              </w:rPr>
              <w:t>是否保障单位运转，提升服务质量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66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91ED">
            <w:pPr>
              <w:jc w:val="center"/>
            </w:pPr>
            <w:r>
              <w:rPr>
                <w:rFonts w:ascii="宋体" w:hAnsi="宋体" w:eastAsia="宋体"/>
                <w:sz w:val="16"/>
              </w:rPr>
              <w:t>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44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E9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05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EB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81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0A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A21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DC39A">
            <w:pPr>
              <w:jc w:val="center"/>
            </w:pPr>
          </w:p>
        </w:tc>
      </w:tr>
      <w:tr w14:paraId="745FC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940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DE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22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AA05">
            <w:pPr>
              <w:jc w:val="center"/>
            </w:pPr>
            <w:r>
              <w:rPr>
                <w:rFonts w:ascii="宋体" w:hAnsi="宋体" w:eastAsia="宋体"/>
                <w:sz w:val="16"/>
              </w:rPr>
              <w:t>单位职工满意率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F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20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CFE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4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C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F2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2A2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3992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2D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85C05">
            <w:pPr>
              <w:jc w:val="center"/>
            </w:pPr>
          </w:p>
        </w:tc>
      </w:tr>
      <w:tr w14:paraId="092D26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B3BB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04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DF2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A67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2D1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2A8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D3A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6A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AE8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E83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8DDFD"/>
        </w:tc>
      </w:tr>
    </w:tbl>
    <w:p w14:paraId="6F4027EC">
      <w:r>
        <w:br w:type="page"/>
      </w:r>
    </w:p>
    <w:p w14:paraId="0DF5C014">
      <w:pPr>
        <w:spacing w:line="640" w:lineRule="exact"/>
        <w:ind w:firstLine="640"/>
        <w:jc w:val="both"/>
        <w:outlineLvl w:val="2"/>
      </w:pPr>
      <w:r>
        <w:rPr>
          <w:rFonts w:ascii="黑体" w:hAnsi="黑体" w:eastAsia="黑体"/>
          <w:sz w:val="32"/>
        </w:rPr>
        <w:t>十二、其他需说明的事项</w:t>
      </w:r>
    </w:p>
    <w:p w14:paraId="35EE7546">
      <w:pPr>
        <w:spacing w:line="580" w:lineRule="exact"/>
        <w:ind w:firstLine="640"/>
        <w:jc w:val="both"/>
      </w:pPr>
      <w:r>
        <w:rPr>
          <w:rFonts w:ascii="仿宋_GB2312" w:hAnsi="仿宋_GB2312" w:eastAsia="仿宋_GB2312"/>
          <w:b w:val="0"/>
          <w:sz w:val="32"/>
        </w:rPr>
        <w:t>本单位无其他需说明的事项。</w:t>
      </w:r>
    </w:p>
    <w:p w14:paraId="237F3AD1">
      <w:r>
        <w:br w:type="page"/>
      </w:r>
    </w:p>
    <w:p w14:paraId="524F2A43">
      <w:pPr>
        <w:spacing w:line="240" w:lineRule="auto"/>
        <w:jc w:val="center"/>
        <w:outlineLvl w:val="1"/>
      </w:pPr>
      <w:r>
        <w:rPr>
          <w:rFonts w:ascii="黑体" w:hAnsi="黑体" w:eastAsia="黑体"/>
          <w:sz w:val="32"/>
        </w:rPr>
        <w:t>第三部分 专业名词解释</w:t>
      </w:r>
    </w:p>
    <w:p w14:paraId="7B8219B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5B06C7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33BD0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409C2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0E6672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9BA72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590B3D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F80866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183794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B7E31C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50B590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09B171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1FCBB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0218F3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DD41BA">
      <w:r>
        <w:br w:type="page"/>
      </w:r>
    </w:p>
    <w:p w14:paraId="000DD76F">
      <w:pPr>
        <w:spacing w:line="240" w:lineRule="auto"/>
        <w:jc w:val="center"/>
        <w:outlineLvl w:val="1"/>
      </w:pPr>
      <w:r>
        <w:rPr>
          <w:rFonts w:ascii="黑体" w:hAnsi="黑体" w:eastAsia="黑体"/>
          <w:sz w:val="32"/>
        </w:rPr>
        <w:t>第四部分 部门决算报表（见附表）</w:t>
      </w:r>
    </w:p>
    <w:p w14:paraId="591AC354">
      <w:pPr>
        <w:spacing w:line="240" w:lineRule="auto"/>
        <w:ind w:firstLine="640"/>
        <w:jc w:val="both"/>
      </w:pPr>
      <w:r>
        <w:rPr>
          <w:rFonts w:ascii="仿宋_GB2312" w:hAnsi="仿宋_GB2312" w:eastAsia="仿宋_GB2312"/>
          <w:b w:val="0"/>
          <w:sz w:val="32"/>
        </w:rPr>
        <w:t>一、《收入支出决算总表》</w:t>
      </w:r>
    </w:p>
    <w:p w14:paraId="3DDC147C">
      <w:pPr>
        <w:spacing w:line="240" w:lineRule="auto"/>
        <w:ind w:firstLine="640"/>
        <w:jc w:val="both"/>
      </w:pPr>
      <w:r>
        <w:rPr>
          <w:rFonts w:ascii="仿宋_GB2312" w:hAnsi="仿宋_GB2312" w:eastAsia="仿宋_GB2312"/>
          <w:b w:val="0"/>
          <w:sz w:val="32"/>
        </w:rPr>
        <w:t>二、《收入决算表》</w:t>
      </w:r>
    </w:p>
    <w:p w14:paraId="22607912">
      <w:pPr>
        <w:spacing w:line="240" w:lineRule="auto"/>
        <w:ind w:firstLine="640"/>
        <w:jc w:val="both"/>
      </w:pPr>
      <w:r>
        <w:rPr>
          <w:rFonts w:ascii="仿宋_GB2312" w:hAnsi="仿宋_GB2312" w:eastAsia="仿宋_GB2312"/>
          <w:b w:val="0"/>
          <w:sz w:val="32"/>
        </w:rPr>
        <w:t>三、《支出决算表》</w:t>
      </w:r>
    </w:p>
    <w:p w14:paraId="38FA7B8C">
      <w:pPr>
        <w:spacing w:line="240" w:lineRule="auto"/>
        <w:ind w:firstLine="640"/>
        <w:jc w:val="both"/>
      </w:pPr>
      <w:r>
        <w:rPr>
          <w:rFonts w:ascii="仿宋_GB2312" w:hAnsi="仿宋_GB2312" w:eastAsia="仿宋_GB2312"/>
          <w:b w:val="0"/>
          <w:sz w:val="32"/>
        </w:rPr>
        <w:t>四、《财政拨款收入支出决算总表》</w:t>
      </w:r>
    </w:p>
    <w:p w14:paraId="20620EAA">
      <w:pPr>
        <w:spacing w:line="240" w:lineRule="auto"/>
        <w:ind w:firstLine="640"/>
        <w:jc w:val="both"/>
      </w:pPr>
      <w:r>
        <w:rPr>
          <w:rFonts w:ascii="仿宋_GB2312" w:hAnsi="仿宋_GB2312" w:eastAsia="仿宋_GB2312"/>
          <w:b w:val="0"/>
          <w:sz w:val="32"/>
        </w:rPr>
        <w:t>五、《一般公共预算财政拨款支出决算表》</w:t>
      </w:r>
    </w:p>
    <w:p w14:paraId="0BD20BE9">
      <w:pPr>
        <w:spacing w:line="240" w:lineRule="auto"/>
        <w:ind w:firstLine="640"/>
        <w:jc w:val="both"/>
      </w:pPr>
      <w:r>
        <w:rPr>
          <w:rFonts w:ascii="仿宋_GB2312" w:hAnsi="仿宋_GB2312" w:eastAsia="仿宋_GB2312"/>
          <w:b w:val="0"/>
          <w:sz w:val="32"/>
        </w:rPr>
        <w:t>六、《一般公共预算财政拨款基本支出决算表》</w:t>
      </w:r>
    </w:p>
    <w:p w14:paraId="1D2D4120">
      <w:pPr>
        <w:spacing w:line="240" w:lineRule="auto"/>
        <w:ind w:firstLine="640"/>
        <w:jc w:val="both"/>
      </w:pPr>
      <w:r>
        <w:rPr>
          <w:rFonts w:ascii="仿宋_GB2312" w:hAnsi="仿宋_GB2312" w:eastAsia="仿宋_GB2312"/>
          <w:b w:val="0"/>
          <w:sz w:val="32"/>
        </w:rPr>
        <w:t>七、《政府性基金预算财政拨款收入支出决算表》</w:t>
      </w:r>
    </w:p>
    <w:p w14:paraId="50A93E78">
      <w:pPr>
        <w:spacing w:line="240" w:lineRule="auto"/>
        <w:ind w:firstLine="640"/>
        <w:jc w:val="both"/>
      </w:pPr>
      <w:r>
        <w:rPr>
          <w:rFonts w:ascii="仿宋_GB2312" w:hAnsi="仿宋_GB2312" w:eastAsia="仿宋_GB2312"/>
          <w:b w:val="0"/>
          <w:sz w:val="32"/>
        </w:rPr>
        <w:t>八、《国有资本经营预算财政拨款收入支出决算表》</w:t>
      </w:r>
    </w:p>
    <w:p w14:paraId="7B00D210">
      <w:pPr>
        <w:spacing w:line="240" w:lineRule="auto"/>
        <w:ind w:firstLine="640"/>
        <w:jc w:val="both"/>
      </w:pPr>
      <w:r>
        <w:rPr>
          <w:rFonts w:ascii="仿宋_GB2312" w:hAnsi="仿宋_GB2312" w:eastAsia="仿宋_GB2312"/>
          <w:b w:val="0"/>
          <w:sz w:val="32"/>
        </w:rPr>
        <w:t>九、《财政拨款“三公”经费支出决算表》</w:t>
      </w:r>
    </w:p>
    <w:p w14:paraId="2CCC1432">
      <w:pPr>
        <w:spacing w:line="240" w:lineRule="auto"/>
        <w:ind w:firstLine="640"/>
        <w:jc w:val="both"/>
      </w:pPr>
    </w:p>
    <w:p w14:paraId="7204805D">
      <w:pPr>
        <w:spacing w:line="240" w:lineRule="auto"/>
        <w:ind w:firstLine="640"/>
        <w:jc w:val="both"/>
      </w:pPr>
    </w:p>
    <w:p w14:paraId="16AB8BC1">
      <w:pPr>
        <w:spacing w:line="240" w:lineRule="auto"/>
        <w:ind w:firstLine="640"/>
        <w:jc w:val="both"/>
      </w:pPr>
    </w:p>
    <w:p w14:paraId="5FC73CFB">
      <w:pPr>
        <w:spacing w:line="240" w:lineRule="auto"/>
        <w:ind w:firstLine="640"/>
        <w:jc w:val="both"/>
      </w:pPr>
    </w:p>
    <w:p w14:paraId="1739628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FE6646-363A-4ECC-BE5F-60BECF84E7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BCA8EA-633A-498C-A320-891C7950534D}"/>
  </w:font>
  <w:font w:name="仿宋_GB2312">
    <w:altName w:val="仿宋"/>
    <w:panose1 w:val="02010609030101010101"/>
    <w:charset w:val="86"/>
    <w:family w:val="modern"/>
    <w:pitch w:val="default"/>
    <w:sig w:usb0="00000000" w:usb1="00000000" w:usb2="00000000" w:usb3="00000000" w:csb0="00040000" w:csb1="00000000"/>
    <w:embedRegular r:id="rId3" w:fontKey="{F89451E3-D6A3-43AF-A9A3-5BDAB38D251F}"/>
  </w:font>
  <w:font w:name="楷体_GB2312">
    <w:altName w:val="楷体"/>
    <w:panose1 w:val="02010609030101010101"/>
    <w:charset w:val="86"/>
    <w:family w:val="auto"/>
    <w:pitch w:val="default"/>
    <w:sig w:usb0="00000000" w:usb1="00000000" w:usb2="00000000" w:usb3="00000000" w:csb0="00040000" w:csb1="00000000"/>
    <w:embedRegular r:id="rId4" w:fontKey="{0721B7FF-6A0F-4108-A48B-A4D7F4E1772E}"/>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2B71E0"/>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A5408"/>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3F975C49"/>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8078</Words>
  <Characters>8934</Characters>
  <Lines>0</Lines>
  <Paragraphs>0</Paragraphs>
  <TotalTime>2</TotalTime>
  <ScaleCrop>false</ScaleCrop>
  <LinksUpToDate>false</LinksUpToDate>
  <CharactersWithSpaces>8944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2026-03-31T08:45:05Z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