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03485">
      <w:bookmarkStart w:id="0" w:name="_GoBack"/>
      <w:bookmarkEnd w:id="0"/>
    </w:p>
    <w:p w14:paraId="2AFDD04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102095D">
      <w:pPr>
        <w:spacing w:line="540" w:lineRule="exact"/>
        <w:jc w:val="center"/>
        <w:rPr>
          <w:rFonts w:ascii="华文中宋" w:hAnsi="华文中宋" w:eastAsia="华文中宋" w:cs="宋体"/>
          <w:b/>
          <w:kern w:val="0"/>
          <w:sz w:val="52"/>
          <w:szCs w:val="52"/>
        </w:rPr>
      </w:pPr>
    </w:p>
    <w:p w14:paraId="18138E21">
      <w:pPr>
        <w:spacing w:line="540" w:lineRule="exact"/>
        <w:jc w:val="center"/>
        <w:rPr>
          <w:rFonts w:ascii="华文中宋" w:hAnsi="华文中宋" w:eastAsia="华文中宋" w:cs="宋体"/>
          <w:b/>
          <w:kern w:val="0"/>
          <w:sz w:val="52"/>
          <w:szCs w:val="52"/>
        </w:rPr>
      </w:pPr>
    </w:p>
    <w:p w14:paraId="7605D883">
      <w:pPr>
        <w:spacing w:line="540" w:lineRule="exact"/>
        <w:jc w:val="center"/>
        <w:rPr>
          <w:rFonts w:ascii="华文中宋" w:hAnsi="华文中宋" w:eastAsia="华文中宋" w:cs="宋体"/>
          <w:b/>
          <w:kern w:val="0"/>
          <w:sz w:val="52"/>
          <w:szCs w:val="52"/>
        </w:rPr>
      </w:pPr>
    </w:p>
    <w:p w14:paraId="0BAE2253">
      <w:pPr>
        <w:spacing w:line="540" w:lineRule="exact"/>
        <w:jc w:val="center"/>
        <w:rPr>
          <w:rFonts w:ascii="华文中宋" w:hAnsi="华文中宋" w:eastAsia="华文中宋" w:cs="宋体"/>
          <w:b/>
          <w:kern w:val="0"/>
          <w:sz w:val="52"/>
          <w:szCs w:val="52"/>
        </w:rPr>
      </w:pPr>
    </w:p>
    <w:p w14:paraId="2FEB0309">
      <w:pPr>
        <w:spacing w:line="540" w:lineRule="exact"/>
        <w:jc w:val="center"/>
        <w:rPr>
          <w:rFonts w:ascii="华文中宋" w:hAnsi="华文中宋" w:eastAsia="华文中宋" w:cs="宋体"/>
          <w:b/>
          <w:kern w:val="0"/>
          <w:sz w:val="52"/>
          <w:szCs w:val="52"/>
        </w:rPr>
      </w:pPr>
    </w:p>
    <w:p w14:paraId="32D07E0A">
      <w:pPr>
        <w:spacing w:line="540" w:lineRule="exact"/>
        <w:jc w:val="center"/>
        <w:rPr>
          <w:rFonts w:ascii="华文中宋" w:hAnsi="华文中宋" w:eastAsia="华文中宋" w:cs="宋体"/>
          <w:b/>
          <w:kern w:val="0"/>
          <w:sz w:val="52"/>
          <w:szCs w:val="52"/>
        </w:rPr>
      </w:pPr>
    </w:p>
    <w:p w14:paraId="26EF79F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81CD1E4">
      <w:pPr>
        <w:spacing w:line="540" w:lineRule="exact"/>
        <w:jc w:val="center"/>
        <w:rPr>
          <w:rFonts w:ascii="华文中宋" w:hAnsi="华文中宋" w:eastAsia="华文中宋" w:cs="宋体"/>
          <w:b/>
          <w:kern w:val="0"/>
          <w:sz w:val="52"/>
          <w:szCs w:val="52"/>
        </w:rPr>
      </w:pPr>
    </w:p>
    <w:p w14:paraId="265841F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A4B85D1">
      <w:pPr>
        <w:spacing w:line="540" w:lineRule="exact"/>
        <w:jc w:val="center"/>
        <w:rPr>
          <w:rFonts w:hAnsi="宋体" w:eastAsia="仿宋_GB2312" w:cs="宋体"/>
          <w:kern w:val="0"/>
          <w:sz w:val="30"/>
          <w:szCs w:val="30"/>
        </w:rPr>
      </w:pPr>
    </w:p>
    <w:p w14:paraId="6B59F733">
      <w:pPr>
        <w:spacing w:line="540" w:lineRule="exact"/>
        <w:jc w:val="center"/>
        <w:rPr>
          <w:rFonts w:hAnsi="宋体" w:eastAsia="仿宋_GB2312" w:cs="宋体"/>
          <w:kern w:val="0"/>
          <w:sz w:val="30"/>
          <w:szCs w:val="30"/>
        </w:rPr>
      </w:pPr>
    </w:p>
    <w:p w14:paraId="5794A225">
      <w:pPr>
        <w:spacing w:line="540" w:lineRule="exact"/>
        <w:jc w:val="center"/>
        <w:rPr>
          <w:rFonts w:hAnsi="宋体" w:eastAsia="仿宋_GB2312" w:cs="宋体"/>
          <w:kern w:val="0"/>
          <w:sz w:val="30"/>
          <w:szCs w:val="30"/>
        </w:rPr>
      </w:pPr>
    </w:p>
    <w:p w14:paraId="78CB9016">
      <w:pPr>
        <w:spacing w:line="540" w:lineRule="exact"/>
        <w:jc w:val="center"/>
        <w:rPr>
          <w:rFonts w:hAnsi="宋体" w:eastAsia="仿宋_GB2312" w:cs="宋体"/>
          <w:kern w:val="0"/>
          <w:sz w:val="30"/>
          <w:szCs w:val="30"/>
        </w:rPr>
      </w:pPr>
    </w:p>
    <w:p w14:paraId="0F2E4BEC">
      <w:pPr>
        <w:spacing w:line="540" w:lineRule="exact"/>
        <w:jc w:val="both"/>
        <w:rPr>
          <w:rFonts w:hAnsi="宋体" w:eastAsia="仿宋_GB2312" w:cs="宋体"/>
          <w:kern w:val="0"/>
          <w:sz w:val="30"/>
          <w:szCs w:val="30"/>
        </w:rPr>
      </w:pPr>
    </w:p>
    <w:p w14:paraId="2BE67E17">
      <w:pPr>
        <w:spacing w:line="540" w:lineRule="exact"/>
        <w:rPr>
          <w:rFonts w:hAnsi="宋体" w:eastAsia="仿宋_GB2312" w:cs="宋体"/>
          <w:kern w:val="0"/>
          <w:sz w:val="30"/>
          <w:szCs w:val="30"/>
        </w:rPr>
      </w:pPr>
    </w:p>
    <w:p w14:paraId="6FE39E7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8EC18A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机关运转补助</w:t>
      </w:r>
    </w:p>
    <w:p w14:paraId="565840D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昌吉回族自治州人民代表大会常务委员会</w:t>
      </w:r>
    </w:p>
    <w:p w14:paraId="1CB21A0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昌吉回族自治州人民代表大会常务委员会</w:t>
      </w:r>
    </w:p>
    <w:p w14:paraId="68323D9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毛举</w:t>
      </w:r>
    </w:p>
    <w:p w14:paraId="043E7DBF">
      <w:pPr>
        <w:spacing w:line="540" w:lineRule="exact"/>
        <w:ind w:left="273" w:firstLine="567"/>
        <w:rPr>
          <w:rStyle w:val="19"/>
          <w:rFonts w:ascii="黑体" w:hAnsi="黑体" w:eastAsia="黑体"/>
          <w:b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2025年05月08日</w:t>
      </w:r>
    </w:p>
    <w:p w14:paraId="078685A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96147BC">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47C6A85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州人大存在机关运转经费不足的情况，根据自治区党委《贯彻落实(中共中央关于加强人大工作的意见)的实施意见》中明确提出：“各级政府要保证人大常委会机关必需的经费，并把人大全体会议、常委会会议的会议经费、各工作委员会的专项经费、代表活动和常委会组成人员的调研、视察、考察经费和人大常委会机关的接待费列入本级财政预算”。 依据：新党发[2006]3号、昌州党发[2007]6号、昌吉回族自治州人大常委会2024年工作计划，关于机关运转补助2024年项目预算的报告，为了提高州人大常委会机关和各工作委员会的工作能够有效落实，服务常委会履行法定职权，围绕党委的中心工作开展调研、视察工作，为州党委的决策提供依据。解决机关运行经费不足的情况，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（1）项目名称：机关运转补助项目（以下简称“该项目”或“项目”）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（2）项目主要内容：服务常委会履行法定职权，保障人大代表民主权力。保障聘用人员工资按月及时发放，社会保险费按月足额缴纳，保障机关电梯、消防维护及时到位，机关运转保障率95%以上。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实施主体：昌吉州人大常委会办公室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为了提高州人大常委会机关和各工作委员会的工作能够有效落实，围绕党委的中心工作开展调研、视察工作，为州党委的决策提供依据。服务常委会履行法定职权，保障人大代表民主权力。保障聘用人员工资按月及时发放，社会保险费按月足额缴纳，电梯、消防维护及时到位，机关运转保障率95%以上。委托业务1项；聘用人员数量11人；机关运转保障率95%。提升服务社会能力；长期保障工作平稳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①在本行政区域内，保证宪法、法律、行政法规和上级人民代表大会及其常务委员会决议的遵守和执行；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②领导或者主持本级人民代表大会代表的选举；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③召集本级人民代表大会会议；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④讨论、决定本行政区域内的政治、经济、教育、科学、文化、卫生、环境和资源保护、民政、民族等工作的重大事项；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⑤根据本级人民政府的建议，决定对本行政区域内的国民经济和社会发展计划、预算的部分变更；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⑥监督本级人民政府、人民法院和人民检察院的工作，联系本级人民代表大会代表，受理人民群众对上述机关和国家工作人员的申诉和意见；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⑦撤销下一级人民代表大会及其常务委员会的不适当的决议；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⑧撤销本级人民政府的不适当的决定和命令；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⑨在本级人民代表大会闭会期间，决定“一府两院”个别</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组成人员的任免；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⑩在本级人民代表大会闭会期间，补选上一级人民代表大会出缺的代表和罢免个别代表；决定授予地方的荣誉称号。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内设6个处室，分别是：自治州人大常委会办公室、法制和监察工作委员会、预算工作委员会、教科文卫工作委员会、民族侨务和社会建设工作委员会、代表工作委员会；办公室为综合办事机构，下设4个科，秘书科、老干人事科、行政管理科、信访科；法制工作委员会下设综合科（挂备案审查科牌子），财经工作委员会下设综合科，教科文卫工作委员会下设综合科，民族侨务工作委员会下设综合科，代表人事工作委员会下设综合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昌吉回族自治州人民代表大会常务委员会下属事业单位两个，昌吉州人大代表联络服务中心和州人大监查与法治工作委员会备案审查中心，财务不独立核算。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本项目预算安排总额为129.34万元，资金来源为本级部门预算及其他资金，其中：财政资金129.15万元，其他资金0.19万元，2024年实际收到预算资金129.34万元，预算资金到位率为100%。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截至2024年12月31日，本项目实际支付资金129.34万元，预算执行率100%。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本项目资金主要用于支付租车费用14.46万元、机关运转费用114.28万元、维修（护）费用0.6万元。</w:t>
      </w:r>
    </w:p>
    <w:p w14:paraId="7D840B7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34BA7EC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了提高州人大常委会机关和各工作委员会的工作能够有效落实，围绕党委的中心工作开展调研、视察工作，为州党委的决策提供依据。服务常委会履行法定职权，保障人大代表民主权力。保障聘用人员工资按月及时发放，社会保险费按月足额缴纳，电梯、消防维护及时到位，机关运转保障率95%以上。委托业务1项；聘用人员数量11人；机关运转保障率95%。提升服务社会能力；长期保障工作平稳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昌吉州财政支出绩效评价管理暂行办法》（昌州财预〔2018〕171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“聘用人员人数（人）”指标，预期指标值为“≥11人”；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“西部志愿者人数（人）”指标，预期指标值为“＝1人”；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“电梯消防维护次数（次）”指标，预期指标值为“≥12次”；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“聘用人员工资发放完成率（%）”指标，预期指标值为“＝100%”；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“项目完成时间”指标，预期指标值为“=2024年12月15日”；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“维修（护）费”指标，预期指标值为“&lt;=0.6万元”；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“机关运转费用”指标，预期指标值为“&lt;=114.28万元”；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“租车费用”指标，预期指标值为“&lt;=14.46万元”；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“保障机关正常运转率，提升服务能力”指标，预期指标值为“显著提升”；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51FD21D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06A9DC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3F4F0F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（一）绩效评价的目的、对象和范围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吉州人大常委会办公室财政支出绩效评价管理暂行办法》《关于印发&lt;自治区项目支出绩效目标设置指引&gt;的通知》（新财预〔2022〕42号）、《昌吉州财政支出绩效评价管理暂行办法》（昌州财预〔2018〕171号）文件精神，我单位针对机关运转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此次我单位根据《财政支出绩效评价管理暂行办法》（财预〔2020〕10号）文件要求实施评价工作，本次评价对象为机关运转补助项目，评价核心为项目资金、项目产出、项目效益。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3C7D04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121CE8E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D1ECEB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1DB5C77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马军（评价小组组长）：主要负责项目策划和监督，全面负责项目绩效评价报告的最终质量，对评价人员出具的最终报告质量进行复核，确保评估结果的客观性；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王玮（评价小组组员）：主要负责项目报告的制定，指标的研判，数据分析及报告撰写;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姜欣妍（评价小组组员）：主要负责资料的收集，取证、数据统计分析；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2025年2月26日-3月10日，评价小组按照绩效评价的原则和规范，对取得的资料进行审查核实，对采集的数据进行分析，按照绩效评价指标评分表逐项进行打分、分析、汇总各方评价结果。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2025年3月11日-3月15日，评价小组撰写绩效评价报告，按照新疆维吾尔自治区财政绩效管理信息系统绩效评价模块中统一格式和文本框架撰写绩效评价报告并提交审核。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C1EAC8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56B90A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1.本项目制定了项目支出绩效目标，明确了项目总体思路及总目标、并对项目任务进行了详细分解，对目标进行了细化；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2.按计划推进工作任务。年初制定工作计划，并按计划执行，按计划完成工作任务的要及提醒，以提高预算在每个时间节点上执行率。3.经费支出合理化。加大经费支出的审核力度，保证每笔钱花得合理合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8个，满分指标8个，得分率100%；项目效益类指标共设置1个，满分指标1个，得分率100%；项目满意度类指标共设置0个，满分指标0个，得分率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30.00 100.00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30.00 100.00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w:t>
      </w:r>
    </w:p>
    <w:p w14:paraId="34E2CE0C">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376B80A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75187C57">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昌吉州人大常委会颁发的《昌吉州人大常委会机关2024年工作计划》；符合行业发展规划和政策要求；本项目立项符合《昌吉州人大常委会单位配置内设机构和人员编制规定》中职责范围中的“讨论、决定本行政区域内的政治、经济、教育、科学、文化、卫生、环境和资源保护、民政、民族等工作的重大事项”，属于我单位履职所需；根据《财政资金直接支付申请书》，本项目资金性质为“公共财政预算”功能分类为“一般行政管理事务”经济分类为“办公经费”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人大常委会项目业务管理制度》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服务常委会履行法定职权，保障人大代表民主权力。保障办公人员11人工资及时支付，社会保险足额缴纳,电梯消防维护12次,提升服务社会能力；长期保障工作平稳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截止2024年12月31日，该项目实际完成聘用人员人数11人；西部志愿者人数1人；电梯消防维护次数12次；聘用人员工资发放完成率100%；项目完成时间2024年12月15日；支付维修（护）费0.6万元；机关运转费用114.28万元；租车费用14.46万元；通过项目的实施，提升了机关正常运转效率、服务质量，促进了公共服务、社会稳定和经济发展。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聘用人员人数11人；西部志愿者人数1人；电梯消防维护次数12次；聘用人员工资发放完成率100%；项目完成时间2024年12月15日；支付维修（护）费0.6万元；机关运转费用114.28万元；租车费用14.46万元；达到提升机关正常运转效率、服务质量，促进了公共服务、社会稳定和经济发展的效益，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④该项目批复的预算金额为129.34万元，《项目支出绩效目标表》中预算金额为129.34万元，预算确定的项目资金与预算确定的项目投资额相匹配。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9个，定量指标8个，定性指标1个，指标量化率为88.89%，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聘用人员人数”“西部志愿者人数”“电梯消防维护次数”，三级指标的年度指标值与年度绩效目标中任务数一致，已设置时效指标“项目完成时间”。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本项目机关运转补助，即预算编制较科学且经过论证；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预算申请内容为机关运转补助，项目实际内容为机关运转补助，预算申请与《机关运转补助项目实施方案》中涉及的项目内容匹配；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129.34万元，我单位在预算申请中严格按照项目实施内容及测算标准进行核算，其中：维修（护）费0.6万元、机关运转费用114.28万元、租车费用14.46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机关运转补助项目资金的请示》和《机关运转补助项目实施方案》为依据进行资金分配，预算资金分配依据充分。根据《关于批复昌吉州本级2024年部门预算的通知》（昌州财预〔2024〕2号），本项目实际到位资金129.34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2F09A067">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375BC57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（二）项目过程情况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129.34万元，其中：财政安排资金129.15万元，其他资金0.19万元，实际到位资金129.34万元，资金到位率=（实际到位资金/预算资金）×100.00%=（129.34/129.34）×100.00%=100%。得分=（100%-60.00%）/（1-60.00%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本项目实际支出资金129.34万元，预算执行率=（实际支出资金/实际到位资金）×100.00%=（129.34/129.34）×100.00%=100%；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得分=（100%-60.00%）/（1-60.00%）×权重=100%×5.00=5.00分。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昌吉州人大常委会办公室单位资金管理办法》《昌吉州人大常委会办公室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昌吉州人大常委会办公室预算管理办法》《昌吉州人大常委会办公室收支业务管理制度》《昌吉州人大常委会办公室政府采购业务管理制度》《昌吉州人大常委会办公室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昌吉州人大常委会办公室收支业务管理制度》《昌吉州人大常委会办公室预算管理制度》《昌吉州人大常委会办公室采购业务管理制度》《昌吉州人大常委会办公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③该项目存在调整，调整手续是否齐全。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机关运转补助项目工作领导小组，由郭得海任组长，负责项目的组织、实施工作；组员包括：王洁和石锦军，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4DFA086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07CC3BE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（三）项目产出情况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项目产出类指标由4个二级指标和8个三级指标构成，权重分30.00分，实际得分30.00分。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（1）“聘用人员人数（人）”指标：预期指标值为“≥11人”；实际完成指标值为“=11人”，指标完成率为100.00%。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（2）“西部志愿者人数（人）”指标，预期指标值为“＝1人”；实际完成指标值为“=1人”，指标完成率为100.00%。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（3）“电梯消防维护次数（次）”指标，预期指标值为“≥12次”；实际完成指标值为“=12次”，指标完成率为100.00%。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“聘用人员工资发放完成率（%）”指标：预期指标值为“＝100%”；实际完成指标值为“＝100%”，指标完成率为100%。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“项目完成时间”指标：预期指标值为“=2024年12月15日”，实际完成指标值为“2024年12月15日”，指标完成率为100%。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①“维修（护）费”指标：预期指标值为“&lt;=0.6万元”，实际完成指标值为“＝0.6万元”，指标完成率为100%。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②“机关运转费用”指标：预期指标值为“&lt;=114.28万元”，实际完成指标值为“=114.28万元”，指标完成率为100%。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③“租车费用”指标：预期指标值为“=14.46万元”，实际完成指标值为“=14.46万元”，指标完成率为100%。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3C216E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2F7DF7F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（四）项目效益情况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项目效益类指标由1个二级指标和1个三级指标构成，权重分30.00分，实际得分30.00分。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“保障机关正常运转率，提升服务能力”指标：预期指标值为“显著提升”，实际完成指标值为“达到预期指标”，指标完成率为100.00%。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综上所述，本指标满分为30.00分，根据评分标准得30.00分。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13BD47B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（五）项目满意度情况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项目满意度类指标由0个二级指标和00个三级指标构成，权重分0.00分，实际得分0.00分。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五、预算执行进度与绩效指标偏差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本项目年初预算资金总额为129.34万元，全年预算数为129.34万元，全年执行数为129.34万元，预算执行率为100%。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本项目共设置三级指标数量20个，满分指标数量20个，扣分指标数量0个，经分析计算所有三级指标完成率得出，本项目总体完成率为100%。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综上所述本项目预算执行率与总体完成率之间的偏差为0.00%。</w:t>
      </w:r>
    </w:p>
    <w:p w14:paraId="35A1A54E">
      <w:pPr>
        <w:spacing w:line="540" w:lineRule="exact"/>
        <w:ind w:firstLine="567"/>
        <w:rPr>
          <w:rStyle w:val="19"/>
          <w:rFonts w:hint="eastAsia" w:ascii="楷体" w:hAnsi="楷体" w:eastAsia="楷体"/>
          <w:b w:val="0"/>
          <w:bCs w:val="0"/>
          <w:spacing w:val="-4"/>
          <w:sz w:val="32"/>
          <w:szCs w:val="32"/>
        </w:rPr>
      </w:pPr>
    </w:p>
    <w:p w14:paraId="6619E5D5">
      <w:pPr>
        <w:spacing w:line="540" w:lineRule="exact"/>
        <w:ind w:firstLine="567"/>
        <w:rPr>
          <w:rStyle w:val="19"/>
          <w:rFonts w:ascii="楷体" w:hAnsi="楷体" w:eastAsia="楷体"/>
          <w:spacing w:val="-4"/>
          <w:sz w:val="32"/>
          <w:szCs w:val="32"/>
        </w:rPr>
      </w:pPr>
    </w:p>
    <w:p w14:paraId="1C7F7FEA">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39DADD8F">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州人大常委会机关建立健全了预算管理规章制度，各部门严格按预算编制的原则和要求做好当年预算编制工作，在预算绩效管理工作中，做到合理安排各项资金，重点保障基本支出，按轻重缓急顺序原则，优先安排了州人大常委会机关事业发展中关系民生与稳定的项目，切实优化资源配置，提高了资金使用的效率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1.聚焦重点任务，推动项目工作落地落实</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抓好具体落实，确保了项目按时保质完成，保障了项目效益发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把专项资金的执行、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（1）领导重视到位：高度重视，主要领导亲自抓，并予以充分的人力、财力保障。责任落实到位：将各项目工作落实到具体科室、具体岗位、具体个人。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（3）健全项目管理制度。我单位已有保证项目实施的制度、措施等，如《中华人民共和国预算法》、《昌吉州人大财务管理制度》等。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学习贯彻党的二十届三中全会的精神不够深入，对人民代表大会的新定位、新思想、新理论研究不够透彻，以深化改革助推做好人大常委会机关“三服务”工作的思路举措与新时代人大事业发展要求有差距。今后，州人大常委会机关将坚持以习近平新时代中国特色社会主义思想为指导，</w:t>
      </w:r>
      <w:r>
        <w:rPr>
          <w:rStyle w:val="19"/>
          <w:rFonts w:hint="eastAsia" w:ascii="楷体" w:hAnsi="楷体" w:eastAsia="楷体"/>
          <w:b w:val="0"/>
          <w:bCs w:val="0"/>
          <w:spacing w:val="-4"/>
          <w:sz w:val="32"/>
          <w:szCs w:val="32"/>
          <w:lang w:eastAsia="zh-CN"/>
        </w:rPr>
        <w:t>全面贯彻党的二十大和二十届二中、三中全会精神</w:t>
      </w:r>
      <w:r>
        <w:rPr>
          <w:rStyle w:val="19"/>
          <w:rFonts w:hint="eastAsia" w:ascii="楷体" w:hAnsi="楷体" w:eastAsia="楷体"/>
          <w:b w:val="0"/>
          <w:bCs w:val="0"/>
          <w:spacing w:val="-4"/>
          <w:sz w:val="32"/>
          <w:szCs w:val="32"/>
        </w:rPr>
        <w:t>，不断增强“四个意识”、坚定“四个自信”、做到“两个维护”，在州党委和州人大党组的坚强领导下，紧贴州党委中心工作和州人大履职重点任务，着力加强机关党的建设，推进作风建设，激发奋斗热情，增强担当精神，不断提高干部能力素质和机关服务效能，以高效优质服务保障政协履职，为建设中国式现代化新疆实践的典范地州和推进人大事业发展贡献人大常委会机关力量。</w:t>
      </w:r>
    </w:p>
    <w:p w14:paraId="1B985E9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0482D1E5">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加强队伍建设，提高管理水平。针对当前财政预算绩效管理专业队伍缺乏和管理人员专业技能不强的现状，一方面，通过政府购买服务的方式，将高等院校、中介组织、科研机构等社会第三方机构的技术力量引入进来，拓宽参与绩效管理的渠道。另一方面，继续采取专题培训、以会代训等多种方式，适时组织绩效管理政策理论和专业操作技术指导，明确各方职责，统筹各方力量，加强和改进财政绩效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完善绩效管理制度体系建设，强化绩效理念。一方面，通过建立健全各类绩效管理规范性文件，制定完善统一的财政预算绩效管理工作操作规程、工作流程及业务规范，促进部门或单位更好地履行职责；另一方面，通过开展多种形式的培训宣传，同时利用各种媒体形式，宣传预算绩效管理工作，创造良好社会舆论氛围，让绩效理念深入人心、让绩效管理人员熟知政策、知行合一。</w:t>
      </w:r>
    </w:p>
    <w:p w14:paraId="4283AF8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29403E7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62990CCB">
      <w:pPr>
        <w:spacing w:line="540" w:lineRule="exact"/>
        <w:ind w:firstLine="567"/>
        <w:rPr>
          <w:rStyle w:val="19"/>
          <w:rFonts w:ascii="仿宋" w:hAnsi="仿宋" w:eastAsia="仿宋"/>
          <w:b w:val="0"/>
          <w:spacing w:val="-4"/>
          <w:sz w:val="32"/>
          <w:szCs w:val="32"/>
        </w:rPr>
      </w:pPr>
    </w:p>
    <w:p w14:paraId="322CFA90">
      <w:pPr>
        <w:spacing w:line="540" w:lineRule="exact"/>
        <w:ind w:firstLine="567"/>
        <w:rPr>
          <w:rStyle w:val="19"/>
          <w:rFonts w:ascii="仿宋" w:hAnsi="仿宋" w:eastAsia="仿宋"/>
          <w:b w:val="0"/>
          <w:spacing w:val="-4"/>
          <w:sz w:val="32"/>
          <w:szCs w:val="32"/>
        </w:rPr>
      </w:pPr>
    </w:p>
    <w:p w14:paraId="721284D8">
      <w:pPr>
        <w:spacing w:line="540" w:lineRule="exact"/>
        <w:ind w:firstLine="567"/>
        <w:rPr>
          <w:rStyle w:val="19"/>
          <w:rFonts w:ascii="仿宋" w:hAnsi="仿宋" w:eastAsia="仿宋"/>
          <w:b w:val="0"/>
          <w:spacing w:val="-4"/>
          <w:sz w:val="32"/>
          <w:szCs w:val="32"/>
        </w:rPr>
      </w:pPr>
    </w:p>
    <w:p w14:paraId="407B8E23">
      <w:pPr>
        <w:spacing w:line="540" w:lineRule="exact"/>
        <w:ind w:firstLine="567"/>
        <w:rPr>
          <w:rStyle w:val="19"/>
          <w:rFonts w:ascii="仿宋" w:hAnsi="仿宋" w:eastAsia="仿宋"/>
          <w:b w:val="0"/>
          <w:spacing w:val="-4"/>
          <w:sz w:val="32"/>
          <w:szCs w:val="32"/>
        </w:rPr>
      </w:pPr>
    </w:p>
    <w:p w14:paraId="60E35693">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5F40B3-0B83-4514-9B87-B0CABCE8C3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78D009D-F1FA-457F-9EBA-55502DE9FEDC}"/>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D88AC6F6-B28E-4A8B-BC97-79F87D74DBE2}"/>
  </w:font>
  <w:font w:name="华文中宋">
    <w:panose1 w:val="02010600040101010101"/>
    <w:charset w:val="86"/>
    <w:family w:val="auto"/>
    <w:pitch w:val="default"/>
    <w:sig w:usb0="00000287" w:usb1="080F0000" w:usb2="00000000" w:usb3="00000000" w:csb0="0004009F" w:csb1="DFD70000"/>
    <w:embedRegular r:id="rId4" w:fontKey="{97BCBB55-4266-4E78-AE3C-BB6F0D769ACA}"/>
  </w:font>
  <w:font w:name="方正小标宋_GBK">
    <w:panose1 w:val="02000000000000000000"/>
    <w:charset w:val="86"/>
    <w:family w:val="script"/>
    <w:pitch w:val="default"/>
    <w:sig w:usb0="A00002BF" w:usb1="38CF7CFA" w:usb2="00082016" w:usb3="00000000" w:csb0="00040001" w:csb1="00000000"/>
    <w:embedRegular r:id="rId5" w:fontKey="{1E704514-24E6-4E54-B475-87543ECFA2E9}"/>
  </w:font>
  <w:font w:name="仿宋_GB2312">
    <w:panose1 w:val="02010609030101010101"/>
    <w:charset w:val="86"/>
    <w:family w:val="modern"/>
    <w:pitch w:val="default"/>
    <w:sig w:usb0="00000001" w:usb1="080E0000" w:usb2="00000000" w:usb3="00000000" w:csb0="00040000" w:csb1="00000000"/>
    <w:embedRegular r:id="rId6" w:fontKey="{5F0F4044-83FE-4A6D-9318-A02757C3FB62}"/>
  </w:font>
  <w:font w:name="楷体">
    <w:panose1 w:val="02010609060101010101"/>
    <w:charset w:val="86"/>
    <w:family w:val="modern"/>
    <w:pitch w:val="default"/>
    <w:sig w:usb0="800002BF" w:usb1="38CF7CFA" w:usb2="00000016" w:usb3="00000000" w:csb0="00040001" w:csb1="00000000"/>
    <w:embedRegular r:id="rId7" w:fontKey="{52F5BAC3-DED2-49F2-80B4-436CE77EB01C}"/>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2C5B2EA">
        <w:pPr>
          <w:pStyle w:val="12"/>
          <w:jc w:val="center"/>
        </w:pPr>
        <w:r>
          <w:fldChar w:fldCharType="begin"/>
        </w:r>
        <w:r>
          <w:instrText xml:space="preserve">PAGE   \* MERGEFORMAT</w:instrText>
        </w:r>
        <w:r>
          <w:fldChar w:fldCharType="separate"/>
        </w:r>
        <w:r>
          <w:rPr>
            <w:lang w:val="zh-CN"/>
          </w:rPr>
          <w:t>2</w:t>
        </w:r>
        <w:r>
          <w:fldChar w:fldCharType="end"/>
        </w:r>
      </w:p>
    </w:sdtContent>
  </w:sdt>
  <w:p w14:paraId="6A57C8E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4EFF1E66"/>
    <w:rsid w:val="546139F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0c568915-3d9a-4179-ad21-75d81f726d53}">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13991</Words>
  <Characters>14922</Characters>
  <Lines>4</Lines>
  <Paragraphs>1</Paragraphs>
  <TotalTime>7</TotalTime>
  <ScaleCrop>false</ScaleCrop>
  <LinksUpToDate>false</LinksUpToDate>
  <CharactersWithSpaces>14960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小麦啾</cp:lastModifiedBy>
  <cp:lastPrinted>2018-12-31T10:56:00Z</cp:lastPrinted>
  <dcterms:modified xsi:type="dcterms:W3CDTF">2026-03-31T08:39:14Z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86A4BE803B594D54BB30BEB283D7FDDD_13</vt:lpwstr>
  </property>
  <property fmtid="{D5CDD505-2E9C-101B-9397-08002B2CF9AE}" pid="4" name="KSOTemplateDocerSaveRecord">
    <vt:lpwstr>eyJoZGlkIjoiZGZmMjg3MDQ2MzExNDk0OWY5M2UwNzBmOWViMDBkMGMiLCJ1c2VySWQiOiIzMjQ5NjUzODcifQ==</vt:lpwstr>
  </property>
</Properties>
</file>