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bookmarkStart w:id="0" w:name="_GoBack"/>
      <w:bookmarkEnd w:id="0"/>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B714AA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昌吉回族自治州人民政府驻北京联络处</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6406CAC6">
      <w:r>
        <w:br w:type="page"/>
      </w:r>
    </w:p>
    <w:p w14:paraId="4332DE7B">
      <w:pPr>
        <w:spacing w:line="640" w:lineRule="exact"/>
        <w:jc w:val="center"/>
        <w:outlineLvl w:val="1"/>
      </w:pPr>
      <w:r>
        <w:rPr>
          <w:rFonts w:ascii="黑体" w:hAnsi="黑体" w:eastAsia="黑体"/>
          <w:sz w:val="32"/>
        </w:rPr>
        <w:t>第一部分 单位概况</w:t>
      </w:r>
    </w:p>
    <w:p w14:paraId="68F838D7">
      <w:pPr>
        <w:spacing w:line="640" w:lineRule="exact"/>
        <w:ind w:firstLine="640"/>
        <w:jc w:val="both"/>
        <w:outlineLvl w:val="2"/>
      </w:pPr>
      <w:r>
        <w:rPr>
          <w:rFonts w:ascii="黑体" w:hAnsi="黑体" w:eastAsia="黑体"/>
          <w:sz w:val="32"/>
        </w:rPr>
        <w:t>一、主要职能</w:t>
      </w:r>
    </w:p>
    <w:p w14:paraId="5676E141">
      <w:pPr>
        <w:spacing w:line="580" w:lineRule="exact"/>
        <w:ind w:firstLine="640"/>
        <w:jc w:val="both"/>
      </w:pPr>
      <w:r>
        <w:rPr>
          <w:rFonts w:ascii="仿宋_GB2312" w:hAnsi="仿宋_GB2312" w:eastAsia="仿宋_GB2312"/>
          <w:sz w:val="32"/>
        </w:rPr>
        <w:t>负责自治州各企业事业单位</w:t>
      </w:r>
      <w:r>
        <w:rPr>
          <w:rFonts w:hint="eastAsia" w:ascii="仿宋_GB2312" w:hAnsi="仿宋_GB2312" w:eastAsia="仿宋_GB2312"/>
          <w:sz w:val="32"/>
          <w:lang w:eastAsia="zh-CN"/>
        </w:rPr>
        <w:t>招</w:t>
      </w:r>
      <w:r>
        <w:rPr>
          <w:rFonts w:ascii="仿宋_GB2312" w:hAnsi="仿宋_GB2312" w:eastAsia="仿宋_GB2312"/>
          <w:sz w:val="32"/>
        </w:rPr>
        <w:t>商引资的联系工作，搭建自治州特色产品展示和销售平台，做好与驻地政府机构和各类社会组织的对接工作，建立信息交流平台，负责引进人才、政务联络和接待工作，完成州党委、政府交办的其他工作。</w:t>
      </w:r>
    </w:p>
    <w:p w14:paraId="2F14EDD3">
      <w:pPr>
        <w:spacing w:line="640" w:lineRule="exact"/>
        <w:ind w:firstLine="640"/>
        <w:jc w:val="both"/>
        <w:outlineLvl w:val="2"/>
      </w:pPr>
      <w:r>
        <w:rPr>
          <w:rFonts w:ascii="黑体" w:hAnsi="黑体" w:eastAsia="黑体"/>
          <w:sz w:val="32"/>
        </w:rPr>
        <w:t>二、机构设置及人员情况</w:t>
      </w:r>
    </w:p>
    <w:p w14:paraId="69044108">
      <w:pPr>
        <w:spacing w:line="580" w:lineRule="exact"/>
        <w:ind w:firstLine="640"/>
        <w:jc w:val="both"/>
      </w:pPr>
      <w:r>
        <w:rPr>
          <w:rFonts w:ascii="仿宋_GB2312" w:hAnsi="仿宋_GB2312" w:eastAsia="仿宋_GB2312"/>
          <w:sz w:val="32"/>
        </w:rPr>
        <w:t>昌吉回族自治州人民政府驻北京联络处2024年度，实有人数11人，其中：在职人员7人，增加0人；离休人员0人，增加0人；退休人员4人,增加4人。</w:t>
      </w:r>
    </w:p>
    <w:p w14:paraId="2007C409">
      <w:pPr>
        <w:spacing w:line="580" w:lineRule="exact"/>
        <w:ind w:firstLine="640"/>
        <w:jc w:val="both"/>
      </w:pPr>
      <w:r>
        <w:rPr>
          <w:rFonts w:ascii="仿宋_GB2312" w:hAnsi="仿宋_GB2312" w:eastAsia="仿宋_GB2312"/>
          <w:sz w:val="32"/>
        </w:rPr>
        <w:t>昌吉回族自治州人民政府驻北京联络处无下属预算单位，下设2个科室，分别是：办公室、业务科。</w:t>
      </w:r>
    </w:p>
    <w:p w14:paraId="7ED43FB6">
      <w:r>
        <w:br w:type="page"/>
      </w:r>
    </w:p>
    <w:p w14:paraId="0BF21D92">
      <w:pPr>
        <w:spacing w:line="240" w:lineRule="auto"/>
        <w:jc w:val="center"/>
        <w:outlineLvl w:val="1"/>
      </w:pPr>
      <w:r>
        <w:rPr>
          <w:rFonts w:ascii="黑体" w:hAnsi="黑体" w:eastAsia="黑体"/>
          <w:sz w:val="32"/>
        </w:rPr>
        <w:t>第二部分 部门决算情况说明</w:t>
      </w:r>
    </w:p>
    <w:p w14:paraId="502734D4">
      <w:pPr>
        <w:spacing w:line="640" w:lineRule="exact"/>
        <w:ind w:firstLine="640"/>
        <w:jc w:val="both"/>
        <w:outlineLvl w:val="2"/>
      </w:pPr>
      <w:r>
        <w:rPr>
          <w:rFonts w:ascii="黑体" w:hAnsi="黑体" w:eastAsia="黑体"/>
          <w:sz w:val="32"/>
        </w:rPr>
        <w:t>一、收入支出决算总体情况说明</w:t>
      </w:r>
    </w:p>
    <w:p w14:paraId="0929F67E">
      <w:pPr>
        <w:spacing w:line="580" w:lineRule="exact"/>
        <w:ind w:firstLine="640"/>
        <w:jc w:val="both"/>
      </w:pPr>
      <w:r>
        <w:rPr>
          <w:rFonts w:ascii="仿宋_GB2312" w:hAnsi="仿宋_GB2312" w:eastAsia="仿宋_GB2312"/>
          <w:b/>
          <w:sz w:val="32"/>
        </w:rPr>
        <w:t>2024年度收入总计455.15万元，</w:t>
      </w:r>
      <w:r>
        <w:rPr>
          <w:rFonts w:ascii="仿宋_GB2312" w:hAnsi="仿宋_GB2312" w:eastAsia="仿宋_GB2312"/>
          <w:b w:val="0"/>
          <w:sz w:val="32"/>
        </w:rPr>
        <w:t>其中：本年收入合计355.15万元，使用非财政拨款结余（含专用结余）0.00万元，年初结转和结余100.00万元。</w:t>
      </w:r>
    </w:p>
    <w:p w14:paraId="14E75D1C">
      <w:pPr>
        <w:spacing w:line="580" w:lineRule="exact"/>
        <w:ind w:firstLine="640"/>
        <w:jc w:val="both"/>
      </w:pPr>
      <w:r>
        <w:rPr>
          <w:rFonts w:ascii="仿宋_GB2312" w:hAnsi="仿宋_GB2312" w:eastAsia="仿宋_GB2312"/>
          <w:b/>
          <w:sz w:val="32"/>
        </w:rPr>
        <w:t>2024年度支出总计455.15万元，</w:t>
      </w:r>
      <w:r>
        <w:rPr>
          <w:rFonts w:ascii="仿宋_GB2312" w:hAnsi="仿宋_GB2312" w:eastAsia="仿宋_GB2312"/>
          <w:b w:val="0"/>
          <w:sz w:val="32"/>
        </w:rPr>
        <w:t>其中：本年支出合计455.15万元，结余分配0.00万元，年末结转和结余0.00万元。</w:t>
      </w:r>
    </w:p>
    <w:p w14:paraId="27472F07">
      <w:pPr>
        <w:spacing w:line="580" w:lineRule="exact"/>
        <w:ind w:firstLine="640"/>
        <w:jc w:val="both"/>
      </w:pPr>
      <w:r>
        <w:rPr>
          <w:rFonts w:ascii="仿宋_GB2312" w:hAnsi="仿宋_GB2312" w:eastAsia="仿宋_GB2312"/>
          <w:b w:val="0"/>
          <w:sz w:val="32"/>
        </w:rPr>
        <w:t>收入支出总体与上年相比，减少53.04万元，下降10.44%，主要原因是：本年减少昌吉州人民政府驻北京联络处土地征收成片开发方案编制项目经费、信访工作业务经费。</w:t>
      </w:r>
    </w:p>
    <w:p w14:paraId="6B4C5164">
      <w:pPr>
        <w:spacing w:line="640" w:lineRule="exact"/>
        <w:ind w:firstLine="640"/>
        <w:jc w:val="both"/>
        <w:outlineLvl w:val="2"/>
      </w:pPr>
      <w:r>
        <w:rPr>
          <w:rFonts w:ascii="黑体" w:hAnsi="黑体" w:eastAsia="黑体"/>
          <w:sz w:val="32"/>
        </w:rPr>
        <w:t>二、收入决算情况说明</w:t>
      </w:r>
    </w:p>
    <w:p w14:paraId="7A28A728">
      <w:pPr>
        <w:spacing w:line="580" w:lineRule="exact"/>
        <w:ind w:firstLine="640"/>
        <w:jc w:val="both"/>
      </w:pPr>
      <w:r>
        <w:rPr>
          <w:rFonts w:ascii="仿宋_GB2312" w:hAnsi="仿宋_GB2312" w:eastAsia="仿宋_GB2312"/>
          <w:b/>
          <w:sz w:val="32"/>
        </w:rPr>
        <w:t>本年收入355.15万元，</w:t>
      </w:r>
      <w:r>
        <w:rPr>
          <w:rFonts w:ascii="仿宋_GB2312" w:hAnsi="仿宋_GB2312" w:eastAsia="仿宋_GB2312"/>
          <w:b w:val="0"/>
          <w:sz w:val="32"/>
        </w:rPr>
        <w:t>其中：财政拨款收入256.00万元，占72.08%；上级补助收入0.00万元，占0.00%；事业收入0.00万元，占0.00%；经营收入0.00万元，占0.00%；附属单位上缴收入0.00万元，占0.00%；其他收入99.15万元，占27.92%。</w:t>
      </w:r>
    </w:p>
    <w:p w14:paraId="686C7AFA">
      <w:pPr>
        <w:spacing w:line="640" w:lineRule="exact"/>
        <w:ind w:firstLine="640"/>
        <w:jc w:val="both"/>
        <w:outlineLvl w:val="2"/>
      </w:pPr>
      <w:r>
        <w:rPr>
          <w:rFonts w:ascii="黑体" w:hAnsi="黑体" w:eastAsia="黑体"/>
          <w:sz w:val="32"/>
        </w:rPr>
        <w:t>三、支出决算情况说明</w:t>
      </w:r>
    </w:p>
    <w:p w14:paraId="1CD0EA54">
      <w:pPr>
        <w:spacing w:line="580" w:lineRule="exact"/>
        <w:ind w:firstLine="640"/>
        <w:jc w:val="both"/>
      </w:pPr>
      <w:r>
        <w:rPr>
          <w:rFonts w:ascii="仿宋_GB2312" w:hAnsi="仿宋_GB2312" w:eastAsia="仿宋_GB2312"/>
          <w:b/>
          <w:sz w:val="32"/>
        </w:rPr>
        <w:t>本年支出455.15万元，</w:t>
      </w:r>
      <w:r>
        <w:rPr>
          <w:rFonts w:ascii="仿宋_GB2312" w:hAnsi="仿宋_GB2312" w:eastAsia="仿宋_GB2312"/>
          <w:b w:val="0"/>
          <w:sz w:val="32"/>
        </w:rPr>
        <w:t>其中：基本支出184.00万元，占40.43%；项目支出271.15万元，占59.57%；上缴上级支出0.00万元，占0.00%；经营支出0.00万元，占0.00%；对附属单位补助支出0.00万元，占0.00%。</w:t>
      </w:r>
    </w:p>
    <w:p w14:paraId="58B68010">
      <w:pPr>
        <w:spacing w:line="640" w:lineRule="exact"/>
        <w:ind w:firstLine="640"/>
        <w:jc w:val="both"/>
        <w:outlineLvl w:val="2"/>
      </w:pPr>
      <w:r>
        <w:rPr>
          <w:rFonts w:ascii="黑体" w:hAnsi="黑体" w:eastAsia="黑体"/>
          <w:sz w:val="32"/>
        </w:rPr>
        <w:t>四、财政拨款收入支出决算总体情况说明</w:t>
      </w:r>
    </w:p>
    <w:p w14:paraId="186DAA1A">
      <w:pPr>
        <w:spacing w:line="580" w:lineRule="exact"/>
        <w:ind w:firstLine="640"/>
        <w:jc w:val="both"/>
      </w:pPr>
      <w:r>
        <w:rPr>
          <w:rFonts w:ascii="仿宋_GB2312" w:hAnsi="仿宋_GB2312" w:eastAsia="仿宋_GB2312"/>
          <w:b/>
          <w:sz w:val="32"/>
        </w:rPr>
        <w:t>2024年度财政拨款收入总计356.00万元，</w:t>
      </w:r>
      <w:r>
        <w:rPr>
          <w:rFonts w:ascii="仿宋_GB2312" w:hAnsi="仿宋_GB2312" w:eastAsia="仿宋_GB2312"/>
          <w:b w:val="0"/>
          <w:sz w:val="32"/>
        </w:rPr>
        <w:t>其中：年初财政拨款结转和结余100.00万元，本年财政拨款收入256.00万元。</w:t>
      </w:r>
      <w:r>
        <w:rPr>
          <w:rFonts w:ascii="仿宋_GB2312" w:hAnsi="仿宋_GB2312" w:eastAsia="仿宋_GB2312"/>
          <w:b/>
          <w:sz w:val="32"/>
        </w:rPr>
        <w:t>财政拨款支出总计356.00万元，</w:t>
      </w:r>
      <w:r>
        <w:rPr>
          <w:rFonts w:ascii="仿宋_GB2312" w:hAnsi="仿宋_GB2312" w:eastAsia="仿宋_GB2312"/>
          <w:b w:val="0"/>
          <w:sz w:val="32"/>
        </w:rPr>
        <w:t>其中：年末财政拨款结转和结余0.00万元，本年财政拨款支出356.00万元。</w:t>
      </w:r>
    </w:p>
    <w:p w14:paraId="4951598B">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减少33.57万元，下降8.62%，主要原因是：本年减少昌吉州人民政府驻北京联络处土地征收成片开发方案编制项目经费资金。</w:t>
      </w:r>
      <w:r>
        <w:rPr>
          <w:rFonts w:ascii="仿宋_GB2312" w:hAnsi="仿宋_GB2312" w:eastAsia="仿宋_GB2312"/>
          <w:b/>
          <w:sz w:val="32"/>
        </w:rPr>
        <w:t>与年初预算相比，</w:t>
      </w:r>
      <w:r>
        <w:rPr>
          <w:rFonts w:ascii="仿宋_GB2312" w:hAnsi="仿宋_GB2312" w:eastAsia="仿宋_GB2312"/>
          <w:b w:val="0"/>
          <w:sz w:val="32"/>
        </w:rPr>
        <w:t>年初预算数232.31万元，决算数356.00万元，预决算差异率53.24%，主要原因是：年中追加土地补偿金及州人民政府驻北京联络处土地手续办理项目资金，导致预决算存在差异。</w:t>
      </w:r>
    </w:p>
    <w:p w14:paraId="2DC4A17A">
      <w:pPr>
        <w:spacing w:line="640" w:lineRule="exact"/>
        <w:ind w:firstLine="640"/>
        <w:jc w:val="both"/>
        <w:outlineLvl w:val="2"/>
      </w:pPr>
      <w:r>
        <w:rPr>
          <w:rFonts w:ascii="黑体" w:hAnsi="黑体" w:eastAsia="黑体"/>
          <w:sz w:val="32"/>
        </w:rPr>
        <w:t>五、一般公共预算财政拨款支出决算情况说明</w:t>
      </w:r>
    </w:p>
    <w:p w14:paraId="08F46839">
      <w:pPr>
        <w:spacing w:line="640" w:lineRule="exact"/>
        <w:ind w:firstLine="640"/>
        <w:jc w:val="both"/>
        <w:outlineLvl w:val="3"/>
      </w:pPr>
      <w:r>
        <w:rPr>
          <w:rFonts w:ascii="楷体_GB2312" w:hAnsi="楷体_GB2312" w:eastAsia="楷体_GB2312"/>
          <w:b/>
          <w:sz w:val="32"/>
        </w:rPr>
        <w:t>（一）一般公共预算财政拨款支出决算总体情况</w:t>
      </w:r>
    </w:p>
    <w:p w14:paraId="6AC4ECCD">
      <w:pPr>
        <w:spacing w:line="580" w:lineRule="exact"/>
        <w:ind w:firstLine="640"/>
        <w:jc w:val="both"/>
      </w:pPr>
      <w:r>
        <w:rPr>
          <w:rFonts w:ascii="仿宋_GB2312" w:hAnsi="仿宋_GB2312" w:eastAsia="仿宋_GB2312"/>
          <w:b/>
          <w:sz w:val="32"/>
        </w:rPr>
        <w:t>2024年度一般公共预算财政拨款支出356.00万元，</w:t>
      </w:r>
      <w:r>
        <w:rPr>
          <w:rFonts w:ascii="仿宋_GB2312" w:hAnsi="仿宋_GB2312" w:eastAsia="仿宋_GB2312"/>
          <w:b w:val="0"/>
          <w:sz w:val="32"/>
        </w:rPr>
        <w:t>占本年支出合计的78.22%。</w:t>
      </w:r>
      <w:r>
        <w:rPr>
          <w:rFonts w:ascii="仿宋_GB2312" w:hAnsi="仿宋_GB2312" w:eastAsia="仿宋_GB2312"/>
          <w:b/>
          <w:sz w:val="32"/>
        </w:rPr>
        <w:t>与上年相比，</w:t>
      </w:r>
      <w:r>
        <w:rPr>
          <w:rFonts w:ascii="仿宋_GB2312" w:hAnsi="仿宋_GB2312" w:eastAsia="仿宋_GB2312"/>
          <w:b w:val="0"/>
          <w:sz w:val="32"/>
        </w:rPr>
        <w:t>增加66.43万元，增长22.94%，主要原因是：本年增加土地补偿金及州人民政府驻北京联络处土地手续办理项目资金。</w:t>
      </w:r>
      <w:r>
        <w:rPr>
          <w:rFonts w:ascii="仿宋_GB2312" w:hAnsi="仿宋_GB2312" w:eastAsia="仿宋_GB2312"/>
          <w:b/>
          <w:sz w:val="32"/>
        </w:rPr>
        <w:t>与年初预算相比,</w:t>
      </w:r>
      <w:r>
        <w:rPr>
          <w:rFonts w:ascii="仿宋_GB2312" w:hAnsi="仿宋_GB2312" w:eastAsia="仿宋_GB2312"/>
          <w:b w:val="0"/>
          <w:sz w:val="32"/>
        </w:rPr>
        <w:t>年初预算数232.31万元，决算数356.00万元，预决算差异率53.24%，主要原因是：年中追加土地补偿金及州人民政府驻北京联络处土地手续办理项目资金，导致预决算存在差异。</w:t>
      </w:r>
    </w:p>
    <w:p w14:paraId="7C6AD332">
      <w:pPr>
        <w:spacing w:line="640" w:lineRule="exact"/>
        <w:ind w:firstLine="640"/>
        <w:jc w:val="both"/>
        <w:outlineLvl w:val="3"/>
      </w:pPr>
      <w:r>
        <w:rPr>
          <w:rFonts w:ascii="楷体_GB2312" w:hAnsi="楷体_GB2312" w:eastAsia="楷体_GB2312"/>
          <w:b/>
          <w:sz w:val="32"/>
        </w:rPr>
        <w:t>（二）一般公共预算财政拨款支出决算结构情况</w:t>
      </w:r>
    </w:p>
    <w:p w14:paraId="3AFA0530">
      <w:pPr>
        <w:spacing w:line="580" w:lineRule="exact"/>
        <w:ind w:firstLine="640"/>
        <w:jc w:val="both"/>
      </w:pPr>
      <w:r>
        <w:rPr>
          <w:rFonts w:ascii="仿宋_GB2312" w:hAnsi="仿宋_GB2312" w:eastAsia="仿宋_GB2312"/>
          <w:b w:val="0"/>
          <w:sz w:val="32"/>
        </w:rPr>
        <w:t>1.一般公共服务支出(类)310.15万元,占87.12%。</w:t>
      </w:r>
    </w:p>
    <w:p w14:paraId="676B992E">
      <w:pPr>
        <w:spacing w:line="580" w:lineRule="exact"/>
        <w:ind w:firstLine="640"/>
        <w:jc w:val="both"/>
      </w:pPr>
      <w:r>
        <w:rPr>
          <w:rFonts w:ascii="仿宋_GB2312" w:hAnsi="仿宋_GB2312" w:eastAsia="仿宋_GB2312"/>
          <w:b w:val="0"/>
          <w:sz w:val="32"/>
        </w:rPr>
        <w:t>2.社会保障和就业支出(类)27.83万元,占7.82%。</w:t>
      </w:r>
    </w:p>
    <w:p w14:paraId="631803BA">
      <w:pPr>
        <w:spacing w:line="580" w:lineRule="exact"/>
        <w:ind w:firstLine="640"/>
        <w:jc w:val="both"/>
      </w:pPr>
      <w:r>
        <w:rPr>
          <w:rFonts w:ascii="仿宋_GB2312" w:hAnsi="仿宋_GB2312" w:eastAsia="仿宋_GB2312"/>
          <w:b w:val="0"/>
          <w:sz w:val="32"/>
        </w:rPr>
        <w:t>3.卫生健康支出(类)7.61万元,占2.14%。</w:t>
      </w:r>
    </w:p>
    <w:p w14:paraId="745199FE">
      <w:pPr>
        <w:spacing w:line="580" w:lineRule="exact"/>
        <w:ind w:firstLine="640"/>
        <w:jc w:val="both"/>
      </w:pPr>
      <w:r>
        <w:rPr>
          <w:rFonts w:ascii="仿宋_GB2312" w:hAnsi="仿宋_GB2312" w:eastAsia="仿宋_GB2312"/>
          <w:b w:val="0"/>
          <w:sz w:val="32"/>
        </w:rPr>
        <w:t>4.住房保障支出(类)10.42万元,占2.93%。</w:t>
      </w:r>
    </w:p>
    <w:p w14:paraId="44CEE03E">
      <w:pPr>
        <w:spacing w:line="640" w:lineRule="exact"/>
        <w:ind w:firstLine="640"/>
        <w:jc w:val="both"/>
        <w:outlineLvl w:val="3"/>
      </w:pPr>
      <w:r>
        <w:rPr>
          <w:rFonts w:ascii="楷体_GB2312" w:hAnsi="楷体_GB2312" w:eastAsia="楷体_GB2312"/>
          <w:b/>
          <w:sz w:val="32"/>
        </w:rPr>
        <w:t>（三）一般公共预算财政拨款支出决算具体情况</w:t>
      </w:r>
    </w:p>
    <w:p w14:paraId="0C449A14">
      <w:pPr>
        <w:spacing w:line="580" w:lineRule="exact"/>
        <w:ind w:firstLine="640"/>
        <w:jc w:val="both"/>
      </w:pPr>
      <w:r>
        <w:rPr>
          <w:rFonts w:ascii="仿宋_GB2312" w:hAnsi="仿宋_GB2312" w:eastAsia="仿宋_GB2312"/>
          <w:b w:val="0"/>
          <w:sz w:val="32"/>
        </w:rPr>
        <w:t>1.一般公共服务支出(类)政府办公厅（室）及相关机构事务(款)一般行政管理事务(项):支出决算数为72.00万元，比上年决算减少54.30万元，下降42.99%,主要原因是：本年减少昌吉州人民政府驻北京联络处土地征收成片开发方案编制项目经费资金。</w:t>
      </w:r>
    </w:p>
    <w:p w14:paraId="26940379">
      <w:pPr>
        <w:spacing w:line="580" w:lineRule="exact"/>
        <w:ind w:firstLine="640"/>
        <w:jc w:val="both"/>
      </w:pPr>
      <w:r>
        <w:rPr>
          <w:rFonts w:ascii="仿宋_GB2312" w:hAnsi="仿宋_GB2312" w:eastAsia="仿宋_GB2312"/>
          <w:b w:val="0"/>
          <w:sz w:val="32"/>
        </w:rPr>
        <w:t>2.一般公共服务支出(类)政府办公厅（室）及相关机构事务(款)事业运行(项):支出决算数为138.15万元，比上年决算增加13.26万元，增长10.62%,主要原因是：本年在职人员工资调增，导致相关人员经费较上年有所增加。</w:t>
      </w:r>
    </w:p>
    <w:p w14:paraId="18490815">
      <w:pPr>
        <w:spacing w:line="580" w:lineRule="exact"/>
        <w:ind w:firstLine="640"/>
        <w:jc w:val="both"/>
      </w:pPr>
      <w:r>
        <w:rPr>
          <w:rFonts w:ascii="仿宋_GB2312" w:hAnsi="仿宋_GB2312" w:eastAsia="仿宋_GB2312"/>
          <w:b w:val="0"/>
          <w:sz w:val="32"/>
        </w:rPr>
        <w:t>3.一般公共服务支出(类)政府办公厅（室）及相关机构事务(款)其他政府办公厅（室）及相关机构事务支出(项):支出决算数为100.00万元，比上年决算增加100.00万元，增长100.00%,主要原因是：本年增加土地补偿金及州人民政府驻北京联络处土地手续办理项目资金。</w:t>
      </w:r>
    </w:p>
    <w:p w14:paraId="05DFC36E">
      <w:pPr>
        <w:spacing w:line="580" w:lineRule="exact"/>
        <w:ind w:firstLine="640"/>
        <w:jc w:val="both"/>
      </w:pPr>
      <w:r>
        <w:rPr>
          <w:rFonts w:ascii="仿宋_GB2312" w:hAnsi="仿宋_GB2312" w:eastAsia="仿宋_GB2312"/>
          <w:b w:val="0"/>
          <w:sz w:val="32"/>
        </w:rPr>
        <w:t>4.社会保障和就业支出(类)行政事业单位养老支出(款)事业单位离退休(项):支出决算数为1.54万元，比上年决算增加1.54万元，增长100.00%,主要原因是：本年增加退休人员4名及基础绩效奖调增，退休费支出增加。</w:t>
      </w:r>
    </w:p>
    <w:p w14:paraId="67F4AEF5">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13.51万元，比上年决算减少0.27万元，下降1.96%,主要原因是：本年在职人员调入，退休，人员职级不同，缴费基数不同，导致养老保险缴费较上年减少。</w:t>
      </w:r>
    </w:p>
    <w:p w14:paraId="33B0ACE3">
      <w:pPr>
        <w:spacing w:line="580" w:lineRule="exact"/>
        <w:ind w:firstLine="640"/>
        <w:jc w:val="both"/>
      </w:pPr>
      <w:r>
        <w:rPr>
          <w:rFonts w:ascii="仿宋_GB2312" w:hAnsi="仿宋_GB2312" w:eastAsia="仿宋_GB2312"/>
          <w:b w:val="0"/>
          <w:sz w:val="32"/>
        </w:rPr>
        <w:t>6.社会保障和就业支出(类)行政事业单位养老支出(款)机关事业单位职业年金缴费支出(项):支出决算数为12.78万元，比上年决算增加5.89万元，增长85.49%,主要原因是：本年新增退休人员，职业年金缴费支出增加。</w:t>
      </w:r>
    </w:p>
    <w:p w14:paraId="446EA4E5">
      <w:pPr>
        <w:spacing w:line="580" w:lineRule="exact"/>
        <w:ind w:firstLine="640"/>
        <w:jc w:val="both"/>
      </w:pPr>
      <w:r>
        <w:rPr>
          <w:rFonts w:ascii="仿宋_GB2312" w:hAnsi="仿宋_GB2312" w:eastAsia="仿宋_GB2312"/>
          <w:b w:val="0"/>
          <w:sz w:val="32"/>
        </w:rPr>
        <w:t>7.卫生健康支出(类)行政事业单位医疗(款)事业单位医疗(项):支出决算数为7.12万元，比上年决算增加0.23万元，增长3.34%,主要原因是：本年在职人员工资基数调增，事业单位医疗缴费基数上涨，相应支出增加。</w:t>
      </w:r>
    </w:p>
    <w:p w14:paraId="2B6ADEEA">
      <w:pPr>
        <w:spacing w:line="580" w:lineRule="exact"/>
        <w:ind w:firstLine="640"/>
        <w:jc w:val="both"/>
      </w:pPr>
      <w:r>
        <w:rPr>
          <w:rFonts w:ascii="仿宋_GB2312" w:hAnsi="仿宋_GB2312" w:eastAsia="仿宋_GB2312"/>
          <w:b w:val="0"/>
          <w:sz w:val="32"/>
        </w:rPr>
        <w:t>8.卫生健康支出(类)行政事业单位医疗(款)公务员医疗补助(项):支出决算数为0.44万元，比上年决算增加0.01万元，增长2.33%,主要原因是：本年在职人员工资基数调增，公务员医疗补助缴费基数上涨，相应支出增加。</w:t>
      </w:r>
    </w:p>
    <w:p w14:paraId="7BAD0727">
      <w:pPr>
        <w:spacing w:line="580" w:lineRule="exact"/>
        <w:ind w:firstLine="640"/>
        <w:jc w:val="both"/>
      </w:pPr>
      <w:r>
        <w:rPr>
          <w:rFonts w:ascii="仿宋_GB2312" w:hAnsi="仿宋_GB2312" w:eastAsia="仿宋_GB2312"/>
          <w:b w:val="0"/>
          <w:sz w:val="32"/>
        </w:rPr>
        <w:t>9.卫生健康支出(类)行政事业单位医疗(款)其他行政事业单位医疗支出(项):支出决算数为0.05万元，比上年决算增加0.00万元，增长0.00%,主要原因是：本年其他行政事业单位医疗缴费基数与上年持平。</w:t>
      </w:r>
    </w:p>
    <w:p w14:paraId="74617ED6">
      <w:pPr>
        <w:spacing w:line="580" w:lineRule="exact"/>
        <w:ind w:firstLine="640"/>
        <w:jc w:val="both"/>
      </w:pPr>
      <w:r>
        <w:rPr>
          <w:rFonts w:ascii="仿宋_GB2312" w:hAnsi="仿宋_GB2312" w:eastAsia="仿宋_GB2312"/>
          <w:b w:val="0"/>
          <w:sz w:val="32"/>
        </w:rPr>
        <w:t>10.住房保障支出(类)住房改革支出(款)住房公积金(项):支出决算数为10.42万元，比上年决算增加0.09万元，增长0.87%,主要原因是：本年在职人员工资基数调增，公积金缴费基数上涨，相应支出增加。</w:t>
      </w:r>
    </w:p>
    <w:p w14:paraId="63BEFD67">
      <w:pPr>
        <w:spacing w:line="640" w:lineRule="exact"/>
        <w:ind w:firstLine="640"/>
        <w:jc w:val="both"/>
        <w:outlineLvl w:val="2"/>
      </w:pPr>
      <w:r>
        <w:rPr>
          <w:rFonts w:ascii="黑体" w:hAnsi="黑体" w:eastAsia="黑体"/>
          <w:sz w:val="32"/>
        </w:rPr>
        <w:t>六、一般公共预算财政拨款基本支出决算情况说明</w:t>
      </w:r>
    </w:p>
    <w:p w14:paraId="1B0E20FE">
      <w:pPr>
        <w:spacing w:line="580" w:lineRule="exact"/>
        <w:ind w:firstLine="640"/>
        <w:jc w:val="both"/>
      </w:pPr>
      <w:r>
        <w:rPr>
          <w:rFonts w:ascii="仿宋_GB2312" w:hAnsi="仿宋_GB2312" w:eastAsia="仿宋_GB2312"/>
          <w:b w:val="0"/>
          <w:sz w:val="32"/>
        </w:rPr>
        <w:t>2024年度一般公共预算财政拨款基本支出184.00万元，其中：</w:t>
      </w:r>
      <w:r>
        <w:rPr>
          <w:rFonts w:ascii="仿宋_GB2312" w:hAnsi="仿宋_GB2312" w:eastAsia="仿宋_GB2312"/>
          <w:b/>
          <w:sz w:val="32"/>
        </w:rPr>
        <w:t>人员经费143.57万元，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包括：基本工资、津贴补贴、奖金、绩效工资、机关事业单位基本养老保险缴费、职业年金缴费、职工基本医疗保险缴费、公务员医疗补助缴费、其他社会保障缴费、住房公积金、退休费、奖励金。</w:t>
      </w:r>
    </w:p>
    <w:p w14:paraId="478BC655">
      <w:pPr>
        <w:spacing w:line="580" w:lineRule="exact"/>
        <w:ind w:firstLine="640"/>
        <w:jc w:val="both"/>
      </w:pPr>
      <w:r>
        <w:rPr>
          <w:rFonts w:ascii="仿宋_GB2312" w:hAnsi="仿宋_GB2312" w:eastAsia="仿宋_GB2312"/>
          <w:b/>
          <w:sz w:val="32"/>
        </w:rPr>
        <w:t>公用经费40.44万元，</w:t>
      </w:r>
      <w:r>
        <w:rPr>
          <w:rFonts w:ascii="仿宋_GB2312" w:hAnsi="仿宋_GB2312" w:eastAsia="仿宋_GB2312"/>
          <w:b w:val="0"/>
          <w:sz w:val="32"/>
        </w:rPr>
        <w:t>包括：办公费、水费、电费、取暖费、公务接待费、工会经费、福利费、公务用车运行维护费、其他商品和服务支出。</w:t>
      </w:r>
    </w:p>
    <w:p w14:paraId="659EAB12">
      <w:pPr>
        <w:spacing w:line="640" w:lineRule="exact"/>
        <w:ind w:firstLine="640"/>
        <w:jc w:val="both"/>
        <w:outlineLvl w:val="2"/>
      </w:pPr>
      <w:r>
        <w:rPr>
          <w:rFonts w:ascii="黑体" w:hAnsi="黑体" w:eastAsia="黑体"/>
          <w:sz w:val="32"/>
        </w:rPr>
        <w:t>七、政府性基金预算财政拨款收入支出决算情况说明</w:t>
      </w:r>
    </w:p>
    <w:p w14:paraId="5ACDAC3C">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22B15F06">
      <w:pPr>
        <w:spacing w:line="640" w:lineRule="exact"/>
        <w:ind w:firstLine="640"/>
        <w:jc w:val="both"/>
        <w:outlineLvl w:val="2"/>
      </w:pPr>
      <w:r>
        <w:rPr>
          <w:rFonts w:ascii="黑体" w:hAnsi="黑体" w:eastAsia="黑体"/>
          <w:sz w:val="32"/>
        </w:rPr>
        <w:t>八、国有资本经营预算财政拨款收入支出决算情况说明</w:t>
      </w:r>
    </w:p>
    <w:p w14:paraId="00FB0AC3">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4EFF5D88">
      <w:pPr>
        <w:spacing w:line="640" w:lineRule="exact"/>
        <w:ind w:firstLine="640"/>
        <w:jc w:val="both"/>
        <w:outlineLvl w:val="2"/>
      </w:pPr>
      <w:r>
        <w:rPr>
          <w:rFonts w:ascii="黑体" w:hAnsi="黑体" w:eastAsia="黑体"/>
          <w:sz w:val="32"/>
        </w:rPr>
        <w:t>九、财政拨款“三公”经费支出决算情况说明</w:t>
      </w:r>
    </w:p>
    <w:p w14:paraId="14DFDBE1">
      <w:pPr>
        <w:spacing w:line="580" w:lineRule="exact"/>
        <w:ind w:firstLine="640"/>
        <w:jc w:val="both"/>
      </w:pPr>
      <w:r>
        <w:rPr>
          <w:rFonts w:ascii="仿宋_GB2312" w:hAnsi="仿宋_GB2312" w:eastAsia="仿宋_GB2312"/>
          <w:b/>
          <w:sz w:val="32"/>
        </w:rPr>
        <w:t>2024年度财政拨款“三公”经费支出4.96万元，</w:t>
      </w:r>
      <w:r>
        <w:rPr>
          <w:rFonts w:ascii="仿宋_GB2312" w:hAnsi="仿宋_GB2312" w:eastAsia="仿宋_GB2312"/>
          <w:b w:val="0"/>
          <w:sz w:val="32"/>
        </w:rPr>
        <w:t>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三公”经费与上年一致无变化。其中：因公出国（境）费支出0.00万元，占0.00%，比上年增加0.00万元，增长0.00%，主要原因是：2023年与2024年均未安排因公出国（境）费支出。公务用车购置及运行维护费支出4.80万元，占96.77%，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公务用车运行维护费与上年一致无变化。公务接待费支出0.16万元，占3.23%，比上年增加0.00万元，增长0.00%，主要原因是：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公务接待费与上年一致无变化。</w:t>
      </w:r>
    </w:p>
    <w:p w14:paraId="591647CC">
      <w:pPr>
        <w:spacing w:line="580" w:lineRule="exact"/>
        <w:ind w:firstLine="640"/>
        <w:jc w:val="both"/>
      </w:pPr>
      <w:r>
        <w:rPr>
          <w:rFonts w:ascii="仿宋_GB2312" w:hAnsi="仿宋_GB2312" w:eastAsia="仿宋_GB2312"/>
          <w:b/>
          <w:sz w:val="32"/>
        </w:rPr>
        <w:t>具体情况如下：</w:t>
      </w:r>
    </w:p>
    <w:p w14:paraId="303B196E">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315354DC">
      <w:pPr>
        <w:spacing w:line="580" w:lineRule="exact"/>
        <w:ind w:firstLine="640"/>
        <w:jc w:val="both"/>
      </w:pPr>
      <w:r>
        <w:rPr>
          <w:rFonts w:ascii="仿宋_GB2312" w:hAnsi="仿宋_GB2312" w:eastAsia="仿宋_GB2312"/>
          <w:b w:val="0"/>
          <w:sz w:val="32"/>
        </w:rPr>
        <w:t>公务用车购置及运行维护费4.80万元，其中：公务用车购置费0.00万元，公务用车运行维护费4.80万元。公务用车运行维护费开支内容包括车辆加油费、维修费、保险费、审车费、过路费。公务用车购置数0辆，公务用车保有量3辆。国有资产占用情况中固定资产车辆3辆，与公务用车保有量差异原因是：本单位固定资产车辆与公务用车保有量一致无差异。</w:t>
      </w:r>
    </w:p>
    <w:p w14:paraId="6D8476D8">
      <w:pPr>
        <w:spacing w:line="580" w:lineRule="exact"/>
        <w:ind w:firstLine="640"/>
        <w:jc w:val="both"/>
      </w:pPr>
      <w:r>
        <w:rPr>
          <w:rFonts w:ascii="仿宋_GB2312" w:hAnsi="仿宋_GB2312" w:eastAsia="仿宋_GB2312"/>
          <w:b w:val="0"/>
          <w:sz w:val="32"/>
        </w:rPr>
        <w:t>公务接待费0.16万元，开支内容包括因对接招商引资工作，接待商会企业家产生的就餐费。单位全年安排的国内公务接待2批次，20人次。</w:t>
      </w:r>
    </w:p>
    <w:p w14:paraId="7CF7B0D6">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4.96万元，决算数4.96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4.80万元，决算数4.80万元，预决算差异率0.00%，主要原因是：严格按照预算执行，预决算无差异。公务接待费全年预算数0.16万元，决算数0.16万元，预决算差异率0.00%，主要原因是：严格按照预算执行，预决算无差异。</w:t>
      </w:r>
    </w:p>
    <w:p w14:paraId="17F14ABF">
      <w:pPr>
        <w:spacing w:line="640" w:lineRule="exact"/>
        <w:ind w:firstLine="640"/>
        <w:jc w:val="both"/>
        <w:outlineLvl w:val="2"/>
      </w:pPr>
      <w:r>
        <w:rPr>
          <w:rFonts w:ascii="黑体" w:hAnsi="黑体" w:eastAsia="黑体"/>
          <w:sz w:val="32"/>
        </w:rPr>
        <w:t>十、其他重要事项的情况说明</w:t>
      </w:r>
    </w:p>
    <w:p w14:paraId="44B0E067">
      <w:pPr>
        <w:spacing w:line="640" w:lineRule="exact"/>
        <w:ind w:firstLine="640"/>
        <w:jc w:val="both"/>
        <w:outlineLvl w:val="3"/>
      </w:pPr>
      <w:r>
        <w:rPr>
          <w:rFonts w:ascii="楷体_GB2312" w:hAnsi="楷体_GB2312" w:eastAsia="楷体_GB2312"/>
          <w:b/>
          <w:sz w:val="32"/>
        </w:rPr>
        <w:t>（一）机关运行经费及公用经费支出情况</w:t>
      </w:r>
    </w:p>
    <w:p w14:paraId="04A78868">
      <w:pPr>
        <w:spacing w:line="580" w:lineRule="exact"/>
        <w:ind w:firstLine="640"/>
        <w:jc w:val="both"/>
      </w:pPr>
      <w:r>
        <w:rPr>
          <w:rFonts w:ascii="仿宋_GB2312" w:hAnsi="仿宋_GB2312" w:eastAsia="仿宋_GB2312"/>
          <w:b w:val="0"/>
          <w:sz w:val="32"/>
        </w:rPr>
        <w:t>2024年度昌吉回族自治州人民政府驻北京联络处（事业单位）公用经费支出40.44万元，比上年增加21.75万元，增长116.37%，主要原因是：本年增加办公经费，导致公用经费较上年增加。</w:t>
      </w:r>
    </w:p>
    <w:p w14:paraId="691CE51E">
      <w:pPr>
        <w:spacing w:line="640" w:lineRule="exact"/>
        <w:ind w:firstLine="640"/>
        <w:jc w:val="both"/>
        <w:outlineLvl w:val="3"/>
      </w:pPr>
      <w:r>
        <w:rPr>
          <w:rFonts w:ascii="楷体_GB2312" w:hAnsi="楷体_GB2312" w:eastAsia="楷体_GB2312"/>
          <w:b/>
          <w:sz w:val="32"/>
        </w:rPr>
        <w:t>（二）政府采购情况</w:t>
      </w:r>
    </w:p>
    <w:p w14:paraId="7285A6FC">
      <w:pPr>
        <w:spacing w:line="580" w:lineRule="exact"/>
        <w:ind w:firstLine="640"/>
        <w:jc w:val="both"/>
      </w:pPr>
      <w:r>
        <w:rPr>
          <w:rFonts w:ascii="仿宋_GB2312" w:hAnsi="仿宋_GB2312" w:eastAsia="仿宋_GB2312"/>
          <w:b w:val="0"/>
          <w:sz w:val="32"/>
        </w:rPr>
        <w:t>2024年度政府采购支出总额99.92万元，其中：政府采购货物支出55.51万元、政府采购工程支出5.97万元、政府采购服务支出38.44万元。</w:t>
      </w:r>
    </w:p>
    <w:p w14:paraId="1D5683E2">
      <w:pPr>
        <w:spacing w:line="580" w:lineRule="exact"/>
        <w:ind w:firstLine="640"/>
        <w:jc w:val="both"/>
      </w:pPr>
      <w:r>
        <w:rPr>
          <w:rFonts w:ascii="仿宋_GB2312" w:hAnsi="仿宋_GB2312" w:eastAsia="仿宋_GB2312"/>
          <w:b w:val="0"/>
          <w:sz w:val="32"/>
        </w:rPr>
        <w:t>授予中小企业合同金额99.92万元，占政府采购支出总额的100.00%，其中：授予小微企业合同金额99.92万元，占政府采购支出总额的100.00%。</w:t>
      </w:r>
    </w:p>
    <w:p w14:paraId="61E1AA58">
      <w:pPr>
        <w:spacing w:line="640" w:lineRule="exact"/>
        <w:ind w:firstLine="640"/>
        <w:jc w:val="both"/>
        <w:outlineLvl w:val="3"/>
      </w:pPr>
      <w:r>
        <w:rPr>
          <w:rFonts w:ascii="楷体_GB2312" w:hAnsi="楷体_GB2312" w:eastAsia="楷体_GB2312"/>
          <w:b/>
          <w:sz w:val="32"/>
        </w:rPr>
        <w:t>（三）国有资产占用情况说明</w:t>
      </w:r>
    </w:p>
    <w:p w14:paraId="5D74EC16">
      <w:pPr>
        <w:spacing w:line="580" w:lineRule="exact"/>
        <w:ind w:firstLine="640"/>
        <w:jc w:val="both"/>
      </w:pPr>
      <w:r>
        <w:rPr>
          <w:rFonts w:ascii="仿宋_GB2312" w:hAnsi="仿宋_GB2312" w:eastAsia="仿宋_GB2312"/>
          <w:b w:val="0"/>
          <w:sz w:val="32"/>
        </w:rPr>
        <w:t>截至2024年12月31日，房屋3,279.22平方米，价值638.82万元。车辆3辆，价值125.46万元，其中：副部（省）级及以上领导用车0辆、主要负责人用车0辆、机要通信用车0辆、应急保障用车0辆、执法执勤用车0辆、特种专业技术用车0辆、离退休干部服务用车0辆、其他用车3辆，其他用车主要是：开展对外联络业务公务活动用车。单价100万元（含）以上设备（不含车辆）0台（套）。</w:t>
      </w:r>
    </w:p>
    <w:p w14:paraId="0F2F956D">
      <w:pPr>
        <w:spacing w:line="640" w:lineRule="exact"/>
        <w:ind w:firstLine="640"/>
        <w:jc w:val="both"/>
        <w:outlineLvl w:val="2"/>
      </w:pPr>
      <w:r>
        <w:rPr>
          <w:rFonts w:ascii="黑体" w:hAnsi="黑体" w:eastAsia="黑体"/>
          <w:sz w:val="32"/>
        </w:rPr>
        <w:t>十一、预算绩效的情况说明</w:t>
      </w:r>
    </w:p>
    <w:p w14:paraId="2C577D06">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455.15万元，实际执行总额455.15万元；预算绩效评价项目3个，全年预算数171.15万元，全年执行数171.15万元。预算绩效管理取得的成效：一是提高政治站位，认真履职尽责。坚持以习近平新时代中国特色社会主义思想为指导，</w:t>
      </w:r>
      <w:r>
        <w:rPr>
          <w:rFonts w:hint="eastAsia" w:ascii="仿宋_GB2312" w:hAnsi="仿宋_GB2312" w:eastAsia="仿宋_GB2312"/>
          <w:b w:val="0"/>
          <w:sz w:val="32"/>
          <w:lang w:eastAsia="zh-CN"/>
        </w:rPr>
        <w:t>认真开展学习贯彻习近平新时代中国特色社会主义思想主题教育</w:t>
      </w:r>
      <w:r>
        <w:rPr>
          <w:rFonts w:ascii="仿宋_GB2312" w:hAnsi="仿宋_GB2312" w:eastAsia="仿宋_GB2312"/>
          <w:b w:val="0"/>
          <w:sz w:val="32"/>
        </w:rPr>
        <w:t>，坚持学思用贯通、知信行统一。坚决贯彻落实党中央治疆方略，聚焦社会稳定和长治久安总目标，确保北京方向“三不出”。夯实本单位党建基础，突出理论武装，促进支部建设，提升党员党性意识。坚持全面从严治党要求，严格落实中央八项规定和党纪国法，把改进干部作风作为发展的重要保证。二是招商引资持续发力，为经济高质量发展注入新动力。充分发挥驻京联络处招商平台作用，积极引荐环球嘉年华（北京）投资有限公司环球嘉年华“童”世界“元宇宙数字娱乐”旅游项目、巍巍昆仑（北京）新能源有限公司光伏大基地项目、青岛锦江环保科技公司生物柴油循环经济项目落地昌吉州，向全国各省驻京办工作协会企业分会的企业家推介项目，扩大昌吉州的知名度。</w:t>
      </w:r>
      <w:r>
        <w:rPr>
          <w:rFonts w:hint="eastAsia" w:ascii="仿宋_GB2312" w:hAnsi="仿宋_GB2312" w:eastAsia="仿宋_GB2312"/>
          <w:b w:val="0"/>
          <w:sz w:val="32"/>
          <w:lang w:eastAsia="zh-CN"/>
        </w:rPr>
        <w:t>产品销售</w:t>
      </w:r>
      <w:r>
        <w:rPr>
          <w:rFonts w:ascii="仿宋_GB2312" w:hAnsi="仿宋_GB2312" w:eastAsia="仿宋_GB2312"/>
          <w:b w:val="0"/>
          <w:sz w:val="32"/>
        </w:rPr>
        <w:t>取得新进展，积极联系对接北京通惠河文化企业商会、“欣疆云仓”网络销售平台等，推销麦趣尔公司产品进入北京社区、线上销售。三是以平安建设为目标，切实加强在京务工经商人员服务管理。按照“一户一册”“一人一档”要求，充实完善昌吉籍在京务工经商人员的信息，建立档案台账。一年来，摸排筛查164人，并及时上报新疆驻京工作组，确保北京“三不出”。截至目前，已经梳理建立50人档案，在京的31人中重点关注人员2户4人。积极做好春节、全国两会、肉孜节、庆祝建党103周年、二十届三中全会、</w:t>
      </w:r>
      <w:r>
        <w:rPr>
          <w:rFonts w:hint="eastAsia" w:ascii="仿宋_GB2312" w:hAnsi="仿宋_GB2312" w:eastAsia="仿宋_GB2312"/>
          <w:b w:val="0"/>
          <w:sz w:val="32"/>
          <w:lang w:eastAsia="zh-CN"/>
        </w:rPr>
        <w:t>“一带一路”</w:t>
      </w:r>
      <w:r>
        <w:rPr>
          <w:rFonts w:ascii="仿宋_GB2312" w:hAnsi="仿宋_GB2312" w:eastAsia="仿宋_GB2312"/>
          <w:b w:val="0"/>
          <w:sz w:val="32"/>
        </w:rPr>
        <w:t>高峰论坛等重要时期的安全保障工作，对在京昌吉籍务工经商人员开展大走访大排查大宣讲活动。四是落实信访工作要求，扎实做好信访安全保障工作。认真学习贯彻《信访工作条例》，积极配合自治区驻京信访工作组和州信访部门、有关县市开展赴京上访人员的劝返工作。今年以来，分析研判及时处置自治州赴京信访案件23批次34人。做好服务保障工作，不断提升服务质量。在去年改造了网络设施、修缮了劝返楼卫生间地漏等基础上，2024年，又对办公楼楼顶进行了防水处理、修剪院落树木等，为自治区信访工作组创造了更加舒适的办公、学习和生活环境。五是严格落实制度，强化内部管理。</w:t>
      </w:r>
      <w:r>
        <w:rPr>
          <w:rFonts w:hint="eastAsia" w:ascii="仿宋_GB2312" w:hAnsi="仿宋_GB2312" w:eastAsia="仿宋_GB2312"/>
          <w:b w:val="0"/>
          <w:sz w:val="32"/>
          <w:lang w:eastAsia="zh-CN"/>
        </w:rPr>
        <w:t>本单位</w:t>
      </w:r>
      <w:r>
        <w:rPr>
          <w:rFonts w:ascii="仿宋_GB2312" w:hAnsi="仿宋_GB2312" w:eastAsia="仿宋_GB2312"/>
          <w:b w:val="0"/>
          <w:sz w:val="32"/>
        </w:rPr>
        <w:t>能够严格按照职责，各项工作实施及资金使用情况均在绩效目标设定时</w:t>
      </w:r>
      <w:r>
        <w:rPr>
          <w:rFonts w:hint="eastAsia" w:ascii="仿宋_GB2312" w:hAnsi="仿宋_GB2312" w:eastAsia="仿宋_GB2312"/>
          <w:b w:val="0"/>
          <w:sz w:val="32"/>
          <w:lang w:eastAsia="zh-CN"/>
        </w:rPr>
        <w:t>限内</w:t>
      </w:r>
      <w:r>
        <w:rPr>
          <w:rFonts w:ascii="仿宋_GB2312" w:hAnsi="仿宋_GB2312" w:eastAsia="仿宋_GB2312"/>
          <w:b w:val="0"/>
          <w:sz w:val="32"/>
        </w:rPr>
        <w:t>完成。预算安排的基本支出保障了正常的工作运转，预算安排的项目支出非常必要，在执行上严格遵守各项财经纪律，在项目资金的使用上严格把关，用好每一笔钱</w:t>
      </w:r>
      <w:r>
        <w:rPr>
          <w:rFonts w:hint="eastAsia" w:ascii="仿宋_GB2312" w:hAnsi="仿宋_GB2312" w:eastAsia="仿宋_GB2312"/>
          <w:b w:val="0"/>
          <w:sz w:val="32"/>
          <w:lang w:eastAsia="zh-CN"/>
        </w:rPr>
        <w:t>，在</w:t>
      </w:r>
      <w:r>
        <w:rPr>
          <w:rFonts w:ascii="仿宋_GB2312" w:hAnsi="仿宋_GB2312" w:eastAsia="仿宋_GB2312"/>
          <w:b w:val="0"/>
          <w:sz w:val="32"/>
        </w:rPr>
        <w:t>执行中严守法律底线、纪律底线、道德底线。</w:t>
      </w:r>
      <w:r>
        <w:rPr>
          <w:rFonts w:hint="eastAsia" w:ascii="仿宋_GB2312" w:hAnsi="仿宋_GB2312" w:eastAsia="仿宋_GB2312"/>
          <w:b w:val="0"/>
          <w:sz w:val="32"/>
          <w:lang w:eastAsia="zh-CN"/>
        </w:rPr>
        <w:t>本单位</w:t>
      </w:r>
      <w:r>
        <w:rPr>
          <w:rFonts w:ascii="仿宋_GB2312" w:hAnsi="仿宋_GB2312" w:eastAsia="仿宋_GB2312"/>
          <w:b w:val="0"/>
          <w:sz w:val="32"/>
        </w:rPr>
        <w:t>基本经费中人员经费支出、公用支出，严格执行各项制度，保障单位工作正常运转。</w:t>
      </w:r>
      <w:r>
        <w:rPr>
          <w:rFonts w:hint="eastAsia" w:ascii="仿宋_GB2312" w:hAnsi="仿宋_GB2312" w:eastAsia="仿宋_GB2312"/>
          <w:b w:val="0"/>
          <w:sz w:val="32"/>
          <w:lang w:eastAsia="zh-CN"/>
        </w:rPr>
        <w:t>“三公”经费</w:t>
      </w:r>
      <w:r>
        <w:rPr>
          <w:rFonts w:ascii="仿宋_GB2312" w:hAnsi="仿宋_GB2312" w:eastAsia="仿宋_GB2312"/>
          <w:b w:val="0"/>
          <w:sz w:val="32"/>
        </w:rPr>
        <w:t>的使用严格控制在预算申报的范围内；在项目经费的使用上，在保证各项工作顺利完成的同时，严格落实厉行节约的原则。发现的问题及原因：一是由于联络处工作职能发生变化，增加了工作经费，导致预算实际执行数大于年初预算数。二是预算精细化管理还需完善，预算编制管理水平仍需提升，业务人员绩效管理意识有待加强。下一步改进措施：一是加强领导，高度重视，切实发挥财政预决算的约束力，严格执行预算。二是强化绩效理念，加大绩效工作宣传力度，强化业务人员整体素质，坚持厉行节约，进一步降低财务支出，增强绩效管理的科学化，设置目标时一定要考虑目标的可实现性，做到所设置的目标细化、量化，进一步加大绩效工作的宣传力度，严格财务管理，提高工作效率。具体附整体支出绩效自评表，项目支出绩效自评表和评价报告。</w:t>
      </w:r>
    </w:p>
    <w:p w14:paraId="2CFA238F">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23B7D784">
        <w:tblPrEx>
          <w:tblCellMar>
            <w:top w:w="0" w:type="dxa"/>
            <w:left w:w="108" w:type="dxa"/>
            <w:bottom w:w="0" w:type="dxa"/>
            <w:right w:w="108" w:type="dxa"/>
          </w:tblCellMar>
        </w:tblPrEx>
        <w:tc>
          <w:tcPr>
            <w:tcW w:w="8847" w:type="dxa"/>
            <w:gridSpan w:val="9"/>
            <w:vAlign w:val="center"/>
          </w:tcPr>
          <w:p w14:paraId="1DD22606">
            <w:pPr>
              <w:jc w:val="center"/>
            </w:pPr>
            <w:r>
              <w:rPr>
                <w:rFonts w:ascii="宋体" w:hAnsi="宋体" w:eastAsia="宋体"/>
                <w:sz w:val="24"/>
              </w:rPr>
              <w:t>单位整体支出绩效自评表</w:t>
            </w:r>
          </w:p>
        </w:tc>
      </w:tr>
      <w:tr w14:paraId="5B1EA8E4">
        <w:tblPrEx>
          <w:tblCellMar>
            <w:top w:w="0" w:type="dxa"/>
            <w:left w:w="108" w:type="dxa"/>
            <w:bottom w:w="0" w:type="dxa"/>
            <w:right w:w="108" w:type="dxa"/>
          </w:tblCellMar>
        </w:tblPrEx>
        <w:tc>
          <w:tcPr>
            <w:tcW w:w="8847" w:type="dxa"/>
            <w:gridSpan w:val="9"/>
            <w:vAlign w:val="center"/>
          </w:tcPr>
          <w:p w14:paraId="4FB7B830">
            <w:pPr>
              <w:jc w:val="center"/>
            </w:pPr>
            <w:r>
              <w:rPr>
                <w:rFonts w:ascii="宋体" w:hAnsi="宋体" w:eastAsia="宋体"/>
                <w:sz w:val="24"/>
              </w:rPr>
              <w:t>（2024年度）</w:t>
            </w:r>
          </w:p>
        </w:tc>
      </w:tr>
      <w:tr w14:paraId="25D19F6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E5EEC4">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5835E4B">
            <w:pPr>
              <w:jc w:val="center"/>
            </w:pPr>
            <w:r>
              <w:rPr>
                <w:rFonts w:ascii="宋体" w:hAnsi="宋体" w:eastAsia="宋体"/>
                <w:sz w:val="16"/>
              </w:rPr>
              <w:t>昌吉回族自治州人民政府驻北京联络处</w:t>
            </w:r>
          </w:p>
        </w:tc>
      </w:tr>
      <w:tr w14:paraId="6FF0E7E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417A23">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CEEB71">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E7F5D1">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9524F6">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A290DD">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072F1F">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AF83FF">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0F6EFB">
            <w:pPr>
              <w:jc w:val="center"/>
            </w:pPr>
            <w:r>
              <w:rPr>
                <w:rFonts w:ascii="宋体" w:hAnsi="宋体" w:eastAsia="宋体"/>
                <w:sz w:val="16"/>
              </w:rPr>
              <w:t>得分</w:t>
            </w:r>
          </w:p>
        </w:tc>
      </w:tr>
      <w:tr w14:paraId="634F2B7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F88E4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3E9300">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1DC8E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7A6D8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59B1F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C5EC6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8F4E8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5F62C2">
            <w:pPr>
              <w:jc w:val="center"/>
            </w:pPr>
            <w:r>
              <w:rPr>
                <w:rFonts w:ascii="宋体" w:hAnsi="宋体" w:eastAsia="宋体"/>
                <w:sz w:val="16"/>
              </w:rPr>
              <w:t>-</w:t>
            </w:r>
          </w:p>
        </w:tc>
      </w:tr>
      <w:tr w14:paraId="023F49F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E9CC4C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235D72">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7A4705">
            <w:pPr>
              <w:jc w:val="center"/>
            </w:pPr>
            <w:r>
              <w:rPr>
                <w:rFonts w:ascii="宋体" w:hAnsi="宋体" w:eastAsia="宋体"/>
                <w:sz w:val="16"/>
              </w:rPr>
              <w:t>232.31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37A020">
            <w:pPr>
              <w:jc w:val="center"/>
            </w:pPr>
            <w:r>
              <w:rPr>
                <w:rFonts w:ascii="宋体" w:hAnsi="宋体" w:eastAsia="宋体"/>
                <w:sz w:val="16"/>
              </w:rPr>
              <w:t>356.00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C5C473">
            <w:pPr>
              <w:jc w:val="center"/>
            </w:pPr>
            <w:r>
              <w:rPr>
                <w:rFonts w:ascii="宋体" w:hAnsi="宋体" w:eastAsia="宋体"/>
                <w:sz w:val="16"/>
              </w:rPr>
              <w:t>356.00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CCF5D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2A613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702076">
            <w:pPr>
              <w:jc w:val="center"/>
            </w:pPr>
            <w:r>
              <w:rPr>
                <w:rFonts w:ascii="宋体" w:hAnsi="宋体" w:eastAsia="宋体"/>
                <w:sz w:val="16"/>
              </w:rPr>
              <w:t>-</w:t>
            </w:r>
          </w:p>
        </w:tc>
      </w:tr>
      <w:tr w14:paraId="2FDFAD1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BF99E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33328F">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68996C">
            <w:pPr>
              <w:jc w:val="center"/>
            </w:pPr>
            <w:r>
              <w:rPr>
                <w:rFonts w:ascii="宋体" w:hAnsi="宋体" w:eastAsia="宋体"/>
                <w:sz w:val="16"/>
              </w:rPr>
              <w:t>110.00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6A0217">
            <w:pPr>
              <w:jc w:val="center"/>
            </w:pPr>
            <w:r>
              <w:rPr>
                <w:rFonts w:ascii="宋体" w:hAnsi="宋体" w:eastAsia="宋体"/>
                <w:sz w:val="16"/>
              </w:rPr>
              <w:t>99.15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8D58DC">
            <w:pPr>
              <w:jc w:val="center"/>
            </w:pPr>
            <w:r>
              <w:rPr>
                <w:rFonts w:ascii="宋体" w:hAnsi="宋体" w:eastAsia="宋体"/>
                <w:sz w:val="16"/>
              </w:rPr>
              <w:t>99.15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0F367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ED7F2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82C5C1">
            <w:pPr>
              <w:jc w:val="center"/>
            </w:pPr>
            <w:r>
              <w:rPr>
                <w:rFonts w:ascii="宋体" w:hAnsi="宋体" w:eastAsia="宋体"/>
                <w:sz w:val="16"/>
              </w:rPr>
              <w:t>-</w:t>
            </w:r>
          </w:p>
        </w:tc>
      </w:tr>
      <w:tr w14:paraId="1D173AB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7F0FD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8B4169">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547AA5">
            <w:pPr>
              <w:jc w:val="center"/>
            </w:pPr>
            <w:r>
              <w:rPr>
                <w:rFonts w:ascii="宋体" w:hAnsi="宋体" w:eastAsia="宋体"/>
                <w:sz w:val="16"/>
              </w:rPr>
              <w:t>342.31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F76C23">
            <w:pPr>
              <w:jc w:val="center"/>
            </w:pPr>
            <w:r>
              <w:rPr>
                <w:rFonts w:ascii="宋体" w:hAnsi="宋体" w:eastAsia="宋体"/>
                <w:sz w:val="16"/>
              </w:rPr>
              <w:t>455.15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52795F">
            <w:pPr>
              <w:jc w:val="center"/>
            </w:pPr>
            <w:r>
              <w:rPr>
                <w:rFonts w:ascii="宋体" w:hAnsi="宋体" w:eastAsia="宋体"/>
                <w:sz w:val="16"/>
              </w:rPr>
              <w:t>455.15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B5FE0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AF414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327DB1">
            <w:pPr>
              <w:jc w:val="center"/>
            </w:pPr>
            <w:r>
              <w:rPr>
                <w:rFonts w:ascii="宋体" w:hAnsi="宋体" w:eastAsia="宋体"/>
                <w:sz w:val="16"/>
              </w:rPr>
              <w:t>10</w:t>
            </w:r>
          </w:p>
        </w:tc>
      </w:tr>
      <w:tr w14:paraId="6F7FE98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A5AB03">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4F18128">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6679170">
            <w:pPr>
              <w:jc w:val="center"/>
            </w:pPr>
            <w:r>
              <w:rPr>
                <w:rFonts w:ascii="宋体" w:hAnsi="宋体" w:eastAsia="宋体"/>
                <w:sz w:val="16"/>
              </w:rPr>
              <w:t>实际完成情况</w:t>
            </w:r>
          </w:p>
        </w:tc>
      </w:tr>
      <w:tr w14:paraId="52702F4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C0311A1"/>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733DE89">
            <w:pPr>
              <w:jc w:val="both"/>
            </w:pPr>
            <w:r>
              <w:rPr>
                <w:rFonts w:ascii="宋体" w:hAnsi="宋体" w:eastAsia="宋体"/>
                <w:sz w:val="16"/>
              </w:rPr>
              <w:t>认真完成好驻京联络处各项工作职责。按照中央新疆工作领导小组会议批准备案要求，完成好全疆非正常上访劝返等政治任务，按照2017年自治区党委常委会“</w:t>
            </w:r>
            <w:r>
              <w:rPr>
                <w:rFonts w:hint="eastAsia" w:ascii="宋体" w:hAnsi="宋体"/>
                <w:sz w:val="16"/>
                <w:lang w:eastAsia="zh-CN"/>
              </w:rPr>
              <w:t>5·23</w:t>
            </w:r>
            <w:r>
              <w:rPr>
                <w:rFonts w:ascii="宋体" w:hAnsi="宋体" w:eastAsia="宋体"/>
                <w:sz w:val="16"/>
              </w:rPr>
              <w:t>”《会议纪要》精神，所有驻京机构都由新疆驻京办事处“统起来、管起来”，做好在京务工经商人员管理等工作，确保北京方面“三不出”。目标1.资金使用合理性100%；各项工作完成及时性100%；公用经费支付及时性100%；2.提高</w:t>
            </w:r>
            <w:r>
              <w:rPr>
                <w:rFonts w:hint="eastAsia" w:ascii="宋体" w:hAnsi="宋体"/>
                <w:sz w:val="16"/>
                <w:lang w:eastAsia="zh-CN"/>
              </w:rPr>
              <w:t>招</w:t>
            </w:r>
            <w:r>
              <w:rPr>
                <w:rFonts w:ascii="宋体" w:hAnsi="宋体" w:eastAsia="宋体"/>
                <w:sz w:val="16"/>
              </w:rPr>
              <w:t>商引资服务工作；3.不断</w:t>
            </w:r>
            <w:r>
              <w:rPr>
                <w:rFonts w:hint="eastAsia" w:ascii="宋体" w:hAnsi="宋体"/>
                <w:sz w:val="16"/>
                <w:lang w:eastAsia="zh-CN"/>
              </w:rPr>
              <w:t>推进</w:t>
            </w:r>
            <w:r>
              <w:rPr>
                <w:rFonts w:ascii="宋体" w:hAnsi="宋体" w:eastAsia="宋体"/>
                <w:sz w:val="16"/>
              </w:rPr>
              <w:t>昌吉州特色产品知名度；4.做好昌吉籍务工经商人员服务管理工作；5.加强自治区驻京信访工作组后勤保障。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585C5CB">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全年预算数为455.15万元，全年执行数为455.15万元，总预算执行率为100.00%。2024 年</w:t>
            </w:r>
            <w:r>
              <w:rPr>
                <w:rFonts w:hint="eastAsia" w:ascii="宋体" w:hAnsi="宋体"/>
                <w:sz w:val="16"/>
                <w:lang w:eastAsia="zh-CN"/>
              </w:rPr>
              <w:t>本单位</w:t>
            </w:r>
            <w:r>
              <w:rPr>
                <w:rFonts w:ascii="宋体" w:hAnsi="宋体" w:eastAsia="宋体"/>
                <w:sz w:val="16"/>
              </w:rPr>
              <w:t>完成以下工作内容：1.提高</w:t>
            </w:r>
            <w:r>
              <w:rPr>
                <w:rFonts w:hint="eastAsia" w:ascii="宋体" w:hAnsi="宋体"/>
                <w:sz w:val="16"/>
                <w:lang w:eastAsia="zh-CN"/>
              </w:rPr>
              <w:t>招</w:t>
            </w:r>
            <w:r>
              <w:rPr>
                <w:rFonts w:ascii="宋体" w:hAnsi="宋体" w:eastAsia="宋体"/>
                <w:sz w:val="16"/>
              </w:rPr>
              <w:t>商引资服务工作4次；2.不断推介昌吉州特色产品知名度2次；3.做好昌吉籍务工经商人员服务管理工作12次；4.加强自治区驻京信访工作组后勤保障12次；通过以上工作的实施，提升了驻京联络处正常工作运转效率及自治区驻京信访工作组后勤保障服务工作；促进了自治区驻京信访工作组后勤保障和昌吉籍工</w:t>
            </w:r>
            <w:r>
              <w:rPr>
                <w:rFonts w:hint="eastAsia" w:ascii="宋体" w:hAnsi="宋体"/>
                <w:sz w:val="16"/>
                <w:lang w:eastAsia="zh-CN"/>
              </w:rPr>
              <w:t>商</w:t>
            </w:r>
            <w:r>
              <w:rPr>
                <w:rFonts w:ascii="宋体" w:hAnsi="宋体" w:eastAsia="宋体"/>
                <w:sz w:val="16"/>
              </w:rPr>
              <w:t>人员服务管理工作及内部安全、人员管理、消防、</w:t>
            </w:r>
            <w:r>
              <w:rPr>
                <w:rFonts w:hint="eastAsia" w:ascii="宋体" w:hAnsi="宋体"/>
                <w:sz w:val="16"/>
                <w:lang w:eastAsia="zh-CN"/>
              </w:rPr>
              <w:t>防疫</w:t>
            </w:r>
            <w:r>
              <w:rPr>
                <w:rFonts w:ascii="宋体" w:hAnsi="宋体" w:eastAsia="宋体"/>
                <w:sz w:val="16"/>
              </w:rPr>
              <w:t>防控、绿化美化、垃圾分类、环境整治、设施维修改造等各项工作。</w:t>
            </w:r>
          </w:p>
        </w:tc>
      </w:tr>
      <w:tr w14:paraId="40559F3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957047">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50C7E1">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9399CA">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8BC119">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4B2314">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211F94">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492162">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DB271E">
            <w:pPr>
              <w:jc w:val="center"/>
            </w:pPr>
            <w:r>
              <w:rPr>
                <w:rFonts w:ascii="宋体" w:hAnsi="宋体" w:eastAsia="宋体"/>
                <w:sz w:val="16"/>
              </w:rPr>
              <w:t>得分</w:t>
            </w:r>
          </w:p>
        </w:tc>
      </w:tr>
      <w:tr w14:paraId="54C1607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E7EA7E">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73DE16">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C4A936">
            <w:pPr>
              <w:jc w:val="center"/>
            </w:pPr>
            <w:r>
              <w:rPr>
                <w:rFonts w:ascii="宋体" w:hAnsi="宋体" w:eastAsia="宋体"/>
                <w:sz w:val="16"/>
              </w:rPr>
              <w:t>提高招商引资服务工作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D4FCE9">
            <w:pPr>
              <w:jc w:val="center"/>
            </w:pPr>
            <w:r>
              <w:rPr>
                <w:rFonts w:ascii="宋体" w:hAnsi="宋体" w:eastAsia="宋体"/>
                <w:sz w:val="16"/>
              </w:rPr>
              <w:t>&gt;=4次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995689">
            <w:pPr>
              <w:jc w:val="center"/>
            </w:pPr>
            <w:r>
              <w:rPr>
                <w:rFonts w:ascii="宋体" w:hAnsi="宋体" w:eastAsia="宋体"/>
                <w:sz w:val="16"/>
              </w:rPr>
              <w:t>《关于自治州商务局所属事业单位机构编制调整有关事宜的通知》（昌州党机编发</w:t>
            </w:r>
            <w:r>
              <w:rPr>
                <w:rFonts w:hint="eastAsia" w:ascii="宋体" w:hAnsi="宋体"/>
                <w:sz w:val="16"/>
                <w:lang w:eastAsia="zh-CN"/>
              </w:rPr>
              <w:t>〔2019〕63号</w:t>
            </w: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AC542D">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4E3C35">
            <w:pPr>
              <w:jc w:val="center"/>
            </w:pPr>
            <w:r>
              <w:rPr>
                <w:rFonts w:ascii="宋体" w:hAnsi="宋体" w:eastAsia="宋体"/>
                <w:sz w:val="16"/>
              </w:rPr>
              <w: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BA118D">
            <w:pPr>
              <w:jc w:val="center"/>
            </w:pPr>
            <w:r>
              <w:rPr>
                <w:rFonts w:ascii="宋体" w:hAnsi="宋体" w:eastAsia="宋体"/>
                <w:sz w:val="16"/>
              </w:rPr>
              <w:t>20</w:t>
            </w:r>
          </w:p>
        </w:tc>
      </w:tr>
      <w:tr w14:paraId="04799F5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8CAFB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632A3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1282B7">
            <w:pPr>
              <w:jc w:val="center"/>
            </w:pPr>
            <w:r>
              <w:rPr>
                <w:rFonts w:ascii="宋体" w:hAnsi="宋体" w:eastAsia="宋体"/>
                <w:sz w:val="16"/>
              </w:rPr>
              <w:t>不断推介昌吉州特色产品知名度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4F67F6">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C5EA8D">
            <w:pPr>
              <w:jc w:val="center"/>
            </w:pPr>
            <w:r>
              <w:rPr>
                <w:rFonts w:ascii="宋体" w:hAnsi="宋体" w:eastAsia="宋体"/>
                <w:sz w:val="16"/>
              </w:rPr>
              <w:t>《关于自治州商务局所属事业单位机构编制调整有关事宜的通知》（昌州党机编发</w:t>
            </w:r>
            <w:r>
              <w:rPr>
                <w:rFonts w:hint="eastAsia" w:ascii="宋体" w:hAnsi="宋体"/>
                <w:sz w:val="16"/>
                <w:lang w:eastAsia="zh-CN"/>
              </w:rPr>
              <w:t>〔2019〕63号</w:t>
            </w: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375CEA">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6207BB">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0342B0">
            <w:pPr>
              <w:jc w:val="center"/>
            </w:pPr>
            <w:r>
              <w:rPr>
                <w:rFonts w:ascii="宋体" w:hAnsi="宋体" w:eastAsia="宋体"/>
                <w:sz w:val="16"/>
              </w:rPr>
              <w:t>20</w:t>
            </w:r>
          </w:p>
        </w:tc>
      </w:tr>
      <w:tr w14:paraId="2CA1D96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D59D5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4FD29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5B09B4">
            <w:pPr>
              <w:jc w:val="center"/>
            </w:pPr>
            <w:r>
              <w:rPr>
                <w:rFonts w:ascii="宋体" w:hAnsi="宋体" w:eastAsia="宋体"/>
                <w:sz w:val="16"/>
              </w:rPr>
              <w:t>做好昌吉籍务工经商人员服务管理工作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623E65">
            <w:pPr>
              <w:jc w:val="center"/>
            </w:pPr>
            <w:r>
              <w:rPr>
                <w:rFonts w:ascii="宋体" w:hAnsi="宋体" w:eastAsia="宋体"/>
                <w:sz w:val="16"/>
              </w:rPr>
              <w:t>&gt;=12次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7A0AB2">
            <w:pPr>
              <w:jc w:val="center"/>
            </w:pPr>
            <w:r>
              <w:rPr>
                <w:rFonts w:ascii="宋体" w:hAnsi="宋体" w:eastAsia="宋体"/>
                <w:sz w:val="16"/>
              </w:rPr>
              <w:t>自治区党委常委会“</w:t>
            </w:r>
            <w:r>
              <w:rPr>
                <w:rFonts w:hint="eastAsia" w:ascii="宋体" w:hAnsi="宋体"/>
                <w:sz w:val="16"/>
                <w:lang w:eastAsia="zh-CN"/>
              </w:rPr>
              <w:t>5·23</w:t>
            </w:r>
            <w:r>
              <w:rPr>
                <w:rFonts w:ascii="宋体" w:hAnsi="宋体" w:eastAsia="宋体"/>
                <w:sz w:val="16"/>
              </w:rPr>
              <w:t>”《会议纪要》《关于进一步加强自治区驻京信访工作管理保障工作的通知》（新信联发</w:t>
            </w:r>
            <w:r>
              <w:rPr>
                <w:rFonts w:hint="eastAsia" w:ascii="宋体" w:hAnsi="宋体"/>
                <w:sz w:val="16"/>
                <w:lang w:eastAsia="zh-CN"/>
              </w:rPr>
              <w:t>〔2016〕14号</w:t>
            </w: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4991BC">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30EECF">
            <w:pPr>
              <w:jc w:val="center"/>
            </w:pPr>
            <w:r>
              <w:rPr>
                <w:rFonts w:ascii="宋体" w:hAnsi="宋体" w:eastAsia="宋体"/>
                <w:sz w:val="16"/>
              </w:rPr>
              <w: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84A0DF">
            <w:pPr>
              <w:jc w:val="center"/>
            </w:pPr>
            <w:r>
              <w:rPr>
                <w:rFonts w:ascii="宋体" w:hAnsi="宋体" w:eastAsia="宋体"/>
                <w:sz w:val="16"/>
              </w:rPr>
              <w:t>30</w:t>
            </w:r>
          </w:p>
        </w:tc>
      </w:tr>
      <w:tr w14:paraId="1AE9D8E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2061A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4B73C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4CEE72">
            <w:pPr>
              <w:jc w:val="center"/>
            </w:pPr>
            <w:r>
              <w:rPr>
                <w:rFonts w:ascii="宋体" w:hAnsi="宋体" w:eastAsia="宋体"/>
                <w:sz w:val="16"/>
              </w:rPr>
              <w:t>加强自治区驻京信访工作组后勤保障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AB6612">
            <w:pPr>
              <w:jc w:val="center"/>
            </w:pPr>
            <w:r>
              <w:rPr>
                <w:rFonts w:ascii="宋体" w:hAnsi="宋体" w:eastAsia="宋体"/>
                <w:sz w:val="16"/>
              </w:rPr>
              <w:t>&gt;=12次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E6EEA9">
            <w:pPr>
              <w:jc w:val="center"/>
            </w:pPr>
            <w:r>
              <w:rPr>
                <w:rFonts w:ascii="宋体" w:hAnsi="宋体" w:eastAsia="宋体"/>
                <w:sz w:val="16"/>
              </w:rPr>
              <w:t>自治区党委常委会“</w:t>
            </w:r>
            <w:r>
              <w:rPr>
                <w:rFonts w:hint="eastAsia" w:ascii="宋体" w:hAnsi="宋体"/>
                <w:sz w:val="16"/>
                <w:lang w:eastAsia="zh-CN"/>
              </w:rPr>
              <w:t>5·23</w:t>
            </w:r>
            <w:r>
              <w:rPr>
                <w:rFonts w:ascii="宋体" w:hAnsi="宋体" w:eastAsia="宋体"/>
                <w:sz w:val="16"/>
              </w:rPr>
              <w:t>”《会议纪要》《关于进一步加强自治区驻京信访工作管理保障工作的通知》（新信联发</w:t>
            </w:r>
            <w:r>
              <w:rPr>
                <w:rFonts w:hint="eastAsia" w:ascii="宋体" w:hAnsi="宋体"/>
                <w:sz w:val="16"/>
                <w:lang w:eastAsia="zh-CN"/>
              </w:rPr>
              <w:t>〔2016〕14号</w:t>
            </w: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439AB1">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3ED71D">
            <w:pPr>
              <w:jc w:val="center"/>
            </w:pPr>
            <w:r>
              <w:rPr>
                <w:rFonts w:ascii="宋体" w:hAnsi="宋体" w:eastAsia="宋体"/>
                <w:sz w:val="16"/>
              </w:rPr>
              <w: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908D98">
            <w:pPr>
              <w:jc w:val="center"/>
            </w:pPr>
            <w:r>
              <w:rPr>
                <w:rFonts w:ascii="宋体" w:hAnsi="宋体" w:eastAsia="宋体"/>
                <w:sz w:val="16"/>
              </w:rPr>
              <w:t>20</w:t>
            </w:r>
          </w:p>
        </w:tc>
      </w:tr>
    </w:tbl>
    <w:p w14:paraId="250A6E78">
      <w:r>
        <w:br w:type="page"/>
      </w:r>
    </w:p>
    <w:tbl>
      <w:tblPr>
        <w:tblStyle w:val="9"/>
        <w:tblW w:w="0" w:type="auto"/>
        <w:tblInd w:w="0" w:type="dxa"/>
        <w:tblLayout w:type="autofit"/>
        <w:tblCellMar>
          <w:top w:w="0" w:type="dxa"/>
          <w:left w:w="108" w:type="dxa"/>
          <w:bottom w:w="0" w:type="dxa"/>
          <w:right w:w="108" w:type="dxa"/>
        </w:tblCellMar>
      </w:tblPr>
      <w:tblGrid>
        <w:gridCol w:w="617"/>
        <w:gridCol w:w="594"/>
        <w:gridCol w:w="594"/>
        <w:gridCol w:w="696"/>
        <w:gridCol w:w="606"/>
        <w:gridCol w:w="776"/>
        <w:gridCol w:w="696"/>
        <w:gridCol w:w="776"/>
        <w:gridCol w:w="696"/>
        <w:gridCol w:w="594"/>
        <w:gridCol w:w="594"/>
        <w:gridCol w:w="596"/>
        <w:gridCol w:w="595"/>
        <w:gridCol w:w="630"/>
      </w:tblGrid>
      <w:tr w14:paraId="6C4A0770">
        <w:tblPrEx>
          <w:tblCellMar>
            <w:top w:w="0" w:type="dxa"/>
            <w:left w:w="108" w:type="dxa"/>
            <w:bottom w:w="0" w:type="dxa"/>
            <w:right w:w="108" w:type="dxa"/>
          </w:tblCellMar>
        </w:tblPrEx>
        <w:tc>
          <w:tcPr>
            <w:tcW w:w="8848" w:type="dxa"/>
            <w:gridSpan w:val="14"/>
            <w:vAlign w:val="center"/>
          </w:tcPr>
          <w:p w14:paraId="6CF4FA03">
            <w:pPr>
              <w:jc w:val="center"/>
            </w:pPr>
            <w:r>
              <w:rPr>
                <w:rFonts w:ascii="宋体" w:hAnsi="宋体" w:eastAsia="宋体"/>
                <w:sz w:val="24"/>
              </w:rPr>
              <w:t>项目支出绩效自评表</w:t>
            </w:r>
          </w:p>
        </w:tc>
      </w:tr>
      <w:tr w14:paraId="6D0DCD7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F0E3D38">
            <w:pPr>
              <w:jc w:val="center"/>
            </w:pPr>
            <w:r>
              <w:rPr>
                <w:rFonts w:ascii="宋体" w:hAnsi="宋体" w:eastAsia="宋体"/>
                <w:sz w:val="24"/>
              </w:rPr>
              <w:t>(2024年度)</w:t>
            </w:r>
          </w:p>
        </w:tc>
      </w:tr>
      <w:tr w14:paraId="1B23E93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C68A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17EC60D">
            <w:pPr>
              <w:jc w:val="center"/>
            </w:pPr>
            <w:r>
              <w:rPr>
                <w:rFonts w:ascii="宋体" w:hAnsi="宋体" w:eastAsia="宋体"/>
                <w:sz w:val="16"/>
              </w:rPr>
              <w:t>土地征收咨询服务费项目</w:t>
            </w:r>
          </w:p>
        </w:tc>
      </w:tr>
      <w:tr w14:paraId="15D1536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C362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FD6479">
            <w:pPr>
              <w:jc w:val="center"/>
            </w:pPr>
            <w:r>
              <w:rPr>
                <w:rFonts w:hint="eastAsia" w:ascii="宋体" w:hAnsi="宋体" w:eastAsia="宋体"/>
                <w:sz w:val="16"/>
              </w:rPr>
              <w:t>昌吉回族自治州商务局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0B4E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C19BC71">
            <w:pPr>
              <w:jc w:val="center"/>
            </w:pPr>
            <w:r>
              <w:rPr>
                <w:rFonts w:ascii="宋体" w:hAnsi="宋体" w:eastAsia="宋体"/>
                <w:sz w:val="16"/>
              </w:rPr>
              <w:t>昌吉回族自治州人民政府驻北京联络处</w:t>
            </w:r>
          </w:p>
        </w:tc>
      </w:tr>
      <w:tr w14:paraId="3C0BE4A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4BCE0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9DE85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72BED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D4294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D7506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C78A8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D580B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DFD0A">
            <w:pPr>
              <w:jc w:val="center"/>
            </w:pPr>
            <w:r>
              <w:rPr>
                <w:rFonts w:ascii="宋体" w:hAnsi="宋体" w:eastAsia="宋体"/>
                <w:sz w:val="16"/>
              </w:rPr>
              <w:t>得分</w:t>
            </w:r>
          </w:p>
        </w:tc>
      </w:tr>
      <w:tr w14:paraId="1A4EAE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C0C5F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F7AFD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F49526">
            <w:pPr>
              <w:jc w:val="center"/>
            </w:pPr>
            <w:r>
              <w:rPr>
                <w:rFonts w:ascii="宋体" w:hAnsi="宋体" w:eastAsia="宋体"/>
                <w:sz w:val="16"/>
              </w:rPr>
              <w:t>10.44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87CFB2">
            <w:pPr>
              <w:jc w:val="center"/>
            </w:pPr>
            <w:r>
              <w:rPr>
                <w:rFonts w:ascii="宋体" w:hAnsi="宋体" w:eastAsia="宋体"/>
                <w:sz w:val="16"/>
              </w:rPr>
              <w:t>10.44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D1FA08">
            <w:pPr>
              <w:jc w:val="center"/>
            </w:pPr>
            <w:r>
              <w:rPr>
                <w:rFonts w:ascii="宋体" w:hAnsi="宋体" w:eastAsia="宋体"/>
                <w:sz w:val="16"/>
              </w:rPr>
              <w:t>10.44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74F06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BF7BE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E72D7">
            <w:pPr>
              <w:jc w:val="center"/>
            </w:pPr>
            <w:r>
              <w:rPr>
                <w:rFonts w:ascii="宋体" w:hAnsi="宋体" w:eastAsia="宋体"/>
                <w:sz w:val="16"/>
              </w:rPr>
              <w:t>10.00</w:t>
            </w:r>
          </w:p>
        </w:tc>
      </w:tr>
      <w:tr w14:paraId="791BC4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464AA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CAA41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B51C6E">
            <w:pPr>
              <w:jc w:val="center"/>
            </w:pPr>
            <w:r>
              <w:rPr>
                <w:rFonts w:ascii="宋体" w:hAnsi="宋体" w:eastAsia="宋体"/>
                <w:sz w:val="16"/>
              </w:rPr>
              <w:t>10.44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669B42">
            <w:pPr>
              <w:jc w:val="center"/>
            </w:pPr>
            <w:r>
              <w:rPr>
                <w:rFonts w:ascii="宋体" w:hAnsi="宋体" w:eastAsia="宋体"/>
                <w:sz w:val="16"/>
              </w:rPr>
              <w:t>10.44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876CB8">
            <w:pPr>
              <w:jc w:val="center"/>
            </w:pPr>
            <w:r>
              <w:rPr>
                <w:rFonts w:ascii="宋体" w:hAnsi="宋体" w:eastAsia="宋体"/>
                <w:sz w:val="16"/>
              </w:rPr>
              <w:t>10.44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2BAE7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AE7E3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8DCC1">
            <w:pPr>
              <w:jc w:val="center"/>
            </w:pPr>
            <w:r>
              <w:rPr>
                <w:rFonts w:ascii="宋体" w:hAnsi="宋体" w:eastAsia="宋体"/>
                <w:sz w:val="16"/>
              </w:rPr>
              <w:t>—</w:t>
            </w:r>
          </w:p>
        </w:tc>
      </w:tr>
      <w:tr w14:paraId="5B6EF7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DBDBE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1CE86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DDF02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E5E2B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18D6C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25DF6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10B66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A503A">
            <w:pPr>
              <w:jc w:val="center"/>
            </w:pPr>
            <w:r>
              <w:rPr>
                <w:rFonts w:ascii="宋体" w:hAnsi="宋体" w:eastAsia="宋体"/>
                <w:sz w:val="16"/>
              </w:rPr>
              <w:t>—</w:t>
            </w:r>
          </w:p>
        </w:tc>
      </w:tr>
      <w:tr w14:paraId="4541652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1F8F9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E4F731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0320652">
            <w:pPr>
              <w:jc w:val="center"/>
            </w:pPr>
            <w:r>
              <w:rPr>
                <w:rFonts w:ascii="宋体" w:hAnsi="宋体" w:eastAsia="宋体"/>
                <w:sz w:val="16"/>
              </w:rPr>
              <w:t>实际完成情况</w:t>
            </w:r>
          </w:p>
        </w:tc>
      </w:tr>
      <w:tr w14:paraId="3D58BA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256BA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3188F76">
            <w:pPr>
              <w:jc w:val="both"/>
            </w:pPr>
            <w:r>
              <w:rPr>
                <w:rFonts w:ascii="宋体" w:hAnsi="宋体" w:eastAsia="宋体"/>
                <w:sz w:val="16"/>
              </w:rPr>
              <w:t>新疆昌吉回族自治州人民政府驻北京联络处征收集体土地委托第三方已经完成土地勘界、安评、稳评等工作，是征地重要组件，力争上半年获得北京市征地批复，为驻京联络处最终取得不动产证目标奠定基础。办理土地面积8.97亩，委托业务一次。保障国有资产保值。</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F417272">
            <w:pPr>
              <w:jc w:val="both"/>
            </w:pPr>
            <w:r>
              <w:rPr>
                <w:rFonts w:ascii="宋体" w:hAnsi="宋体" w:eastAsia="宋体"/>
                <w:sz w:val="16"/>
              </w:rPr>
              <w:t>截至2024年12月31日，该项目实际完成办理土地面积8.97亩；完成土地勘界、稳评、安评等工作；项目完成时间：2024年10月31日；委托第三方1次，支付10.44万元委托业务费；有效保障国有资产保值；提升了对土地的规划和管理能力。</w:t>
            </w:r>
          </w:p>
        </w:tc>
      </w:tr>
      <w:tr w14:paraId="762BD10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7F68E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4D4E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EB38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525B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4D3F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C7A2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654B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B60C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62C5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C28D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E523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1540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106A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CD029">
            <w:pPr>
              <w:jc w:val="center"/>
            </w:pPr>
            <w:r>
              <w:rPr>
                <w:rFonts w:ascii="宋体" w:hAnsi="宋体" w:eastAsia="宋体"/>
                <w:sz w:val="16"/>
              </w:rPr>
              <w:t>偏差原因分析及改进措施</w:t>
            </w:r>
          </w:p>
        </w:tc>
      </w:tr>
      <w:tr w14:paraId="5C130A8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AD0AF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4794F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37BFF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EDFA8">
            <w:pPr>
              <w:jc w:val="center"/>
            </w:pPr>
            <w:r>
              <w:rPr>
                <w:rFonts w:ascii="宋体" w:hAnsi="宋体" w:eastAsia="宋体"/>
                <w:sz w:val="16"/>
              </w:rPr>
              <w:t>办理土地面积（亩）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AAC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55841">
            <w:pPr>
              <w:jc w:val="center"/>
            </w:pPr>
            <w:r>
              <w:rPr>
                <w:rFonts w:ascii="宋体" w:hAnsi="宋体" w:eastAsia="宋体"/>
                <w:sz w:val="16"/>
              </w:rPr>
              <w:t>=8.97亩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9C283">
            <w:pPr>
              <w:jc w:val="center"/>
            </w:pPr>
            <w:r>
              <w:rPr>
                <w:rFonts w:ascii="宋体" w:hAnsi="宋体" w:eastAsia="宋体"/>
                <w:sz w:val="16"/>
              </w:rPr>
              <w:t>=8.97亩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0B2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9FDB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A48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03D5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2309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075A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A44E8">
            <w:pPr>
              <w:jc w:val="center"/>
            </w:pPr>
          </w:p>
        </w:tc>
      </w:tr>
      <w:tr w14:paraId="63F482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1499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48DD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4EC7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EACB4">
            <w:pPr>
              <w:jc w:val="center"/>
            </w:pPr>
            <w:r>
              <w:rPr>
                <w:rFonts w:ascii="宋体" w:hAnsi="宋体" w:eastAsia="宋体"/>
                <w:sz w:val="16"/>
              </w:rPr>
              <w:t>委托业务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6CD3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218E8">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98E30">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2FF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39E3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014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1CF6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AC04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084E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46176">
            <w:pPr>
              <w:jc w:val="center"/>
            </w:pPr>
          </w:p>
        </w:tc>
      </w:tr>
      <w:tr w14:paraId="45BF45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07E3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223D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F65D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D2AB6">
            <w:pPr>
              <w:jc w:val="center"/>
            </w:pPr>
            <w:r>
              <w:rPr>
                <w:rFonts w:ascii="宋体" w:hAnsi="宋体" w:eastAsia="宋体"/>
                <w:sz w:val="16"/>
              </w:rPr>
              <w:t>完成土地勘界、稳评、安评等工作合格率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E52C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289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9F0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5FF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C4F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D0E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A4D0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992E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391A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16B3A">
            <w:pPr>
              <w:jc w:val="center"/>
            </w:pPr>
          </w:p>
        </w:tc>
      </w:tr>
      <w:tr w14:paraId="42B68E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2133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42DF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6896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A70FF">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171D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61E13">
            <w:pPr>
              <w:jc w:val="center"/>
            </w:pPr>
            <w:r>
              <w:rPr>
                <w:rFonts w:ascii="宋体" w:hAnsi="宋体" w:eastAsia="宋体"/>
                <w:sz w:val="16"/>
              </w:rPr>
              <w:t>2024年10月31日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C7067">
            <w:pPr>
              <w:jc w:val="center"/>
            </w:pPr>
            <w:r>
              <w:rPr>
                <w:rFonts w:ascii="宋体" w:hAnsi="宋体" w:eastAsia="宋体"/>
                <w:sz w:val="16"/>
              </w:rPr>
              <w:t>=2024年10月31日7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92C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06C0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77F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565F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CF78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6D4F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2B486">
            <w:pPr>
              <w:jc w:val="center"/>
            </w:pPr>
          </w:p>
        </w:tc>
      </w:tr>
      <w:tr w14:paraId="4902ED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27E4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568D5">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D8BA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FB2AD">
            <w:pPr>
              <w:jc w:val="center"/>
            </w:pPr>
            <w:r>
              <w:rPr>
                <w:rFonts w:ascii="宋体" w:hAnsi="宋体" w:eastAsia="宋体"/>
                <w:sz w:val="16"/>
              </w:rPr>
              <w:t>委托费用（次）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C505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E18AF">
            <w:pPr>
              <w:jc w:val="center"/>
            </w:pPr>
            <w:r>
              <w:rPr>
                <w:rFonts w:ascii="宋体" w:hAnsi="宋体" w:eastAsia="宋体"/>
                <w:sz w:val="16"/>
              </w:rPr>
              <w:t>&lt;=10.44万元/次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032F3">
            <w:pPr>
              <w:jc w:val="center"/>
            </w:pPr>
            <w:r>
              <w:rPr>
                <w:rFonts w:ascii="宋体" w:hAnsi="宋体" w:eastAsia="宋体"/>
                <w:sz w:val="16"/>
              </w:rPr>
              <w:t>=10.44万元/次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ACF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EF57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5F6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7CE7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A9CD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1572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6B947">
            <w:pPr>
              <w:jc w:val="center"/>
            </w:pPr>
          </w:p>
        </w:tc>
      </w:tr>
      <w:tr w14:paraId="72E837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A3FD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BC85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D4E5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6CDF5">
            <w:pPr>
              <w:jc w:val="center"/>
            </w:pPr>
            <w:r>
              <w:rPr>
                <w:rFonts w:ascii="宋体" w:hAnsi="宋体" w:eastAsia="宋体"/>
                <w:sz w:val="16"/>
              </w:rPr>
              <w:t>保障国有资产保值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5EB1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1E896">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FB855">
            <w:pPr>
              <w:jc w:val="center"/>
            </w:pPr>
            <w:r>
              <w:rPr>
                <w:rFonts w:ascii="宋体" w:hAnsi="宋体" w:eastAsia="宋体"/>
                <w:sz w:val="16"/>
              </w:rPr>
              <w:t>达到预期指标</w:t>
            </w:r>
            <w:r>
              <w:rPr>
                <w:rFonts w:ascii="宋体" w:hAnsi="宋体" w:eastAsia="宋体"/>
                <w:sz w:val="16"/>
              </w:rPr>
              <w:tab/>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85A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5EAA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7419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2EDF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5D0E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6399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4733F">
            <w:pPr>
              <w:jc w:val="center"/>
            </w:pPr>
          </w:p>
        </w:tc>
      </w:tr>
      <w:tr w14:paraId="751E97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1EB6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3602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31E2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D8406">
            <w:pPr>
              <w:jc w:val="center"/>
            </w:pPr>
            <w:r>
              <w:rPr>
                <w:rFonts w:ascii="宋体" w:hAnsi="宋体" w:eastAsia="宋体"/>
                <w:sz w:val="16"/>
              </w:rPr>
              <w:t>委托人满意度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398E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D35D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256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77C46">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6488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F996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DC4C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7800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32D4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AE206">
            <w:pPr>
              <w:jc w:val="center"/>
            </w:pPr>
            <w:r>
              <w:rPr>
                <w:rFonts w:ascii="宋体" w:hAnsi="宋体" w:eastAsia="宋体"/>
                <w:sz w:val="16"/>
              </w:rPr>
              <w:t>项目实施比较好，受托人对项目实施满意。</w:t>
            </w:r>
          </w:p>
        </w:tc>
      </w:tr>
      <w:tr w14:paraId="47BE303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F02EB3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FC0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B4C1A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33C35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2880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B2533">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57375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B0180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5C2FA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B7E19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5ED44C"/>
        </w:tc>
      </w:tr>
    </w:tbl>
    <w:p w14:paraId="2F77FED8">
      <w:r>
        <w:br w:type="page"/>
      </w:r>
    </w:p>
    <w:tbl>
      <w:tblPr>
        <w:tblStyle w:val="9"/>
        <w:tblW w:w="0" w:type="auto"/>
        <w:tblInd w:w="0" w:type="dxa"/>
        <w:tblLayout w:type="autofit"/>
        <w:tblCellMar>
          <w:top w:w="0" w:type="dxa"/>
          <w:left w:w="108" w:type="dxa"/>
          <w:bottom w:w="0" w:type="dxa"/>
          <w:right w:w="108" w:type="dxa"/>
        </w:tblCellMar>
      </w:tblPr>
      <w:tblGrid>
        <w:gridCol w:w="611"/>
        <w:gridCol w:w="577"/>
        <w:gridCol w:w="577"/>
        <w:gridCol w:w="696"/>
        <w:gridCol w:w="594"/>
        <w:gridCol w:w="776"/>
        <w:gridCol w:w="696"/>
        <w:gridCol w:w="776"/>
        <w:gridCol w:w="696"/>
        <w:gridCol w:w="577"/>
        <w:gridCol w:w="696"/>
        <w:gridCol w:w="580"/>
        <w:gridCol w:w="579"/>
        <w:gridCol w:w="629"/>
      </w:tblGrid>
      <w:tr w14:paraId="14A958A7">
        <w:tblPrEx>
          <w:tblCellMar>
            <w:top w:w="0" w:type="dxa"/>
            <w:left w:w="108" w:type="dxa"/>
            <w:bottom w:w="0" w:type="dxa"/>
            <w:right w:w="108" w:type="dxa"/>
          </w:tblCellMar>
        </w:tblPrEx>
        <w:tc>
          <w:tcPr>
            <w:tcW w:w="8848" w:type="dxa"/>
            <w:gridSpan w:val="14"/>
            <w:vAlign w:val="center"/>
          </w:tcPr>
          <w:p w14:paraId="16028E39">
            <w:pPr>
              <w:jc w:val="center"/>
            </w:pPr>
            <w:r>
              <w:rPr>
                <w:rFonts w:ascii="宋体" w:hAnsi="宋体" w:eastAsia="宋体"/>
                <w:sz w:val="24"/>
              </w:rPr>
              <w:t>项目支出绩效自评表</w:t>
            </w:r>
          </w:p>
        </w:tc>
      </w:tr>
      <w:tr w14:paraId="157D5A2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3CB1E9E">
            <w:pPr>
              <w:jc w:val="center"/>
            </w:pPr>
            <w:r>
              <w:rPr>
                <w:rFonts w:ascii="宋体" w:hAnsi="宋体" w:eastAsia="宋体"/>
                <w:sz w:val="24"/>
              </w:rPr>
              <w:t>(2024年度)</w:t>
            </w:r>
          </w:p>
        </w:tc>
      </w:tr>
      <w:tr w14:paraId="41A1D50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60CE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9E446BF">
            <w:pPr>
              <w:jc w:val="center"/>
            </w:pPr>
            <w:r>
              <w:rPr>
                <w:rFonts w:ascii="宋体" w:hAnsi="宋体" w:eastAsia="宋体"/>
                <w:sz w:val="16"/>
              </w:rPr>
              <w:t>机构运行保障经费</w:t>
            </w:r>
          </w:p>
        </w:tc>
      </w:tr>
      <w:tr w14:paraId="07C8673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A52C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0D13A40">
            <w:pPr>
              <w:jc w:val="center"/>
            </w:pPr>
            <w:r>
              <w:rPr>
                <w:rFonts w:hint="eastAsia" w:ascii="宋体" w:hAnsi="宋体" w:eastAsia="宋体"/>
                <w:sz w:val="16"/>
              </w:rPr>
              <w:t>昌吉回族自治州商务局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9DA6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97D5A73">
            <w:pPr>
              <w:jc w:val="center"/>
            </w:pPr>
            <w:r>
              <w:rPr>
                <w:rFonts w:ascii="宋体" w:hAnsi="宋体" w:eastAsia="宋体"/>
                <w:sz w:val="16"/>
              </w:rPr>
              <w:t>昌吉回族自治州人民政府驻北京联络处</w:t>
            </w:r>
          </w:p>
        </w:tc>
      </w:tr>
      <w:tr w14:paraId="31FFC29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B08C8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15E30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D1905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A921E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EB687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632A3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CDBFE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F0B8D">
            <w:pPr>
              <w:jc w:val="center"/>
            </w:pPr>
            <w:r>
              <w:rPr>
                <w:rFonts w:ascii="宋体" w:hAnsi="宋体" w:eastAsia="宋体"/>
                <w:sz w:val="16"/>
              </w:rPr>
              <w:t>得分</w:t>
            </w:r>
          </w:p>
        </w:tc>
      </w:tr>
      <w:tr w14:paraId="7E0A37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FE934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D2433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0E340D">
            <w:pPr>
              <w:jc w:val="center"/>
            </w:pPr>
            <w:r>
              <w:rPr>
                <w:rFonts w:ascii="宋体" w:hAnsi="宋体" w:eastAsia="宋体"/>
                <w:sz w:val="16"/>
              </w:rPr>
              <w:t>110.00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BB6BC9">
            <w:pPr>
              <w:jc w:val="center"/>
            </w:pPr>
            <w:r>
              <w:rPr>
                <w:rFonts w:ascii="宋体" w:hAnsi="宋体" w:eastAsia="宋体"/>
                <w:sz w:val="16"/>
              </w:rPr>
              <w:t>88.71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FB29DE">
            <w:pPr>
              <w:jc w:val="center"/>
            </w:pPr>
            <w:r>
              <w:rPr>
                <w:rFonts w:ascii="宋体" w:hAnsi="宋体" w:eastAsia="宋体"/>
                <w:sz w:val="16"/>
              </w:rPr>
              <w:t>88.71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D485E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2A601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0AB55">
            <w:pPr>
              <w:jc w:val="center"/>
            </w:pPr>
            <w:r>
              <w:rPr>
                <w:rFonts w:ascii="宋体" w:hAnsi="宋体" w:eastAsia="宋体"/>
                <w:sz w:val="16"/>
              </w:rPr>
              <w:t>10.00</w:t>
            </w:r>
          </w:p>
        </w:tc>
      </w:tr>
      <w:tr w14:paraId="331167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B7F3A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CB164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54A61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8DA66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F04B0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4D851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231D7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1269A">
            <w:pPr>
              <w:jc w:val="center"/>
            </w:pPr>
            <w:r>
              <w:rPr>
                <w:rFonts w:ascii="宋体" w:hAnsi="宋体" w:eastAsia="宋体"/>
                <w:sz w:val="16"/>
              </w:rPr>
              <w:t>—</w:t>
            </w:r>
          </w:p>
        </w:tc>
      </w:tr>
      <w:tr w14:paraId="4E4B12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E84E9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D92A6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781716">
            <w:pPr>
              <w:jc w:val="center"/>
            </w:pPr>
            <w:r>
              <w:rPr>
                <w:rFonts w:ascii="宋体" w:hAnsi="宋体" w:eastAsia="宋体"/>
                <w:sz w:val="16"/>
              </w:rPr>
              <w:t>110.00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887A30">
            <w:pPr>
              <w:jc w:val="center"/>
            </w:pPr>
            <w:r>
              <w:rPr>
                <w:rFonts w:ascii="宋体" w:hAnsi="宋体" w:eastAsia="宋体"/>
                <w:sz w:val="16"/>
              </w:rPr>
              <w:t>88.71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3A8A90">
            <w:pPr>
              <w:jc w:val="center"/>
            </w:pPr>
            <w:r>
              <w:rPr>
                <w:rFonts w:ascii="宋体" w:hAnsi="宋体" w:eastAsia="宋体"/>
                <w:sz w:val="16"/>
              </w:rPr>
              <w:t>88.71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DF2EF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FA43F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D51A8">
            <w:pPr>
              <w:jc w:val="center"/>
            </w:pPr>
            <w:r>
              <w:rPr>
                <w:rFonts w:ascii="宋体" w:hAnsi="宋体" w:eastAsia="宋体"/>
                <w:sz w:val="16"/>
              </w:rPr>
              <w:t>—</w:t>
            </w:r>
          </w:p>
        </w:tc>
      </w:tr>
      <w:tr w14:paraId="667A079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4DCB8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65F43D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4A2A903">
            <w:pPr>
              <w:jc w:val="center"/>
            </w:pPr>
            <w:r>
              <w:rPr>
                <w:rFonts w:ascii="宋体" w:hAnsi="宋体" w:eastAsia="宋体"/>
                <w:sz w:val="16"/>
              </w:rPr>
              <w:t>实际完成情况</w:t>
            </w:r>
          </w:p>
        </w:tc>
      </w:tr>
      <w:tr w14:paraId="048E14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7645D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5F3EE8">
            <w:pPr>
              <w:jc w:val="both"/>
            </w:pPr>
            <w:r>
              <w:rPr>
                <w:rFonts w:hint="eastAsia" w:ascii="宋体" w:hAnsi="宋体"/>
                <w:sz w:val="16"/>
                <w:lang w:eastAsia="zh-CN"/>
              </w:rPr>
              <w:t>《</w:t>
            </w:r>
            <w:r>
              <w:rPr>
                <w:rFonts w:ascii="宋体" w:hAnsi="宋体" w:eastAsia="宋体"/>
                <w:sz w:val="16"/>
              </w:rPr>
              <w:t>关于进一步加强自治区驻京信访工作组管理保障工作的通知》精神，做好自治区驻京信访工作组后勤保障服务工作，确保自治区在京信访工作正常运转，做好自治区赴京非访人员安置、劝返、思想疏导等工作。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64DB8FC">
            <w:pPr>
              <w:jc w:val="both"/>
            </w:pPr>
            <w:r>
              <w:rPr>
                <w:rFonts w:hint="eastAsia" w:ascii="宋体" w:hAnsi="宋体"/>
                <w:sz w:val="16"/>
                <w:lang w:eastAsia="zh-CN"/>
              </w:rPr>
              <w:t>截至</w:t>
            </w:r>
            <w:r>
              <w:rPr>
                <w:rFonts w:ascii="宋体" w:hAnsi="宋体" w:eastAsia="宋体"/>
                <w:sz w:val="16"/>
              </w:rPr>
              <w:t>2024年12月31日，该项目实际完成：设备购置数量3台，办公室维修（护）费4次，服务信访工作组次数12次，政府采购率达100%，购置办公设备支付4.56万元，保障经费信访工作组支付84.15万元，持续增强加强自治区驻京信访工作组后勤保障和昌吉籍工经商人员服务管理工作，信访工作组满意度达100%。通过该项目的实施，提升了自治区驻京信访工作组后勤保障服务工作， 促进了自治区驻京信访工作组后勤保障和昌吉籍工</w:t>
            </w:r>
            <w:r>
              <w:rPr>
                <w:rFonts w:hint="eastAsia" w:ascii="宋体" w:hAnsi="宋体"/>
                <w:sz w:val="16"/>
                <w:lang w:eastAsia="zh-CN"/>
              </w:rPr>
              <w:t>商</w:t>
            </w:r>
            <w:r>
              <w:rPr>
                <w:rFonts w:ascii="宋体" w:hAnsi="宋体" w:eastAsia="宋体"/>
                <w:sz w:val="16"/>
              </w:rPr>
              <w:t>人员服务管理工作。</w:t>
            </w:r>
          </w:p>
        </w:tc>
      </w:tr>
      <w:tr w14:paraId="234FF6B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7E3CE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D654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F94D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441D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26EF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5002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5A62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268B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DAAF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52AD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7C13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8494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35EC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B6340">
            <w:pPr>
              <w:jc w:val="center"/>
            </w:pPr>
            <w:r>
              <w:rPr>
                <w:rFonts w:ascii="宋体" w:hAnsi="宋体" w:eastAsia="宋体"/>
                <w:sz w:val="16"/>
              </w:rPr>
              <w:t>偏差原因分析及改进措施</w:t>
            </w:r>
          </w:p>
        </w:tc>
      </w:tr>
      <w:tr w14:paraId="4C3FAFF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7B608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19732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F5C4F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D803D">
            <w:pPr>
              <w:jc w:val="center"/>
            </w:pPr>
            <w:r>
              <w:rPr>
                <w:rFonts w:ascii="宋体" w:hAnsi="宋体" w:eastAsia="宋体"/>
                <w:sz w:val="16"/>
              </w:rPr>
              <w:t>设备购置数量（台）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984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5200E">
            <w:pPr>
              <w:jc w:val="center"/>
            </w:pPr>
            <w:r>
              <w:rPr>
                <w:rFonts w:ascii="宋体" w:hAnsi="宋体" w:eastAsia="宋体"/>
                <w:sz w:val="16"/>
              </w:rPr>
              <w:t>&gt;=3台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C370B">
            <w:pPr>
              <w:jc w:val="center"/>
            </w:pPr>
            <w:r>
              <w:rPr>
                <w:rFonts w:ascii="宋体" w:hAnsi="宋体" w:eastAsia="宋体"/>
                <w:sz w:val="16"/>
              </w:rPr>
              <w:t>=3台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930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57D0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4692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97FD9">
            <w:pPr>
              <w:jc w:val="center"/>
            </w:pPr>
            <w:r>
              <w:rPr>
                <w:rFonts w:ascii="宋体" w:hAnsi="宋体" w:eastAsia="宋体"/>
                <w:sz w:val="16"/>
              </w:rPr>
              <w:t>5台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350C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6D0F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123C6">
            <w:pPr>
              <w:jc w:val="center"/>
            </w:pPr>
          </w:p>
        </w:tc>
      </w:tr>
      <w:tr w14:paraId="037CA7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042E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16EF3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A1C8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3151F">
            <w:pPr>
              <w:jc w:val="center"/>
            </w:pPr>
            <w:r>
              <w:rPr>
                <w:rFonts w:ascii="宋体" w:hAnsi="宋体" w:eastAsia="宋体"/>
                <w:sz w:val="16"/>
              </w:rPr>
              <w:t>办公室维修（护）费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F75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CA64B">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7C2A8">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0FF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727F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614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DB518">
            <w:pPr>
              <w:jc w:val="center"/>
            </w:pPr>
            <w:r>
              <w:rPr>
                <w:rFonts w:ascii="宋体" w:hAnsi="宋体" w:eastAsia="宋体"/>
                <w:sz w:val="16"/>
              </w:rPr>
              <w:t>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A98B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E55D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DFA3D">
            <w:pPr>
              <w:jc w:val="center"/>
            </w:pPr>
          </w:p>
        </w:tc>
      </w:tr>
      <w:tr w14:paraId="2B5C94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80723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6840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1179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137E4">
            <w:pPr>
              <w:jc w:val="center"/>
            </w:pPr>
            <w:r>
              <w:rPr>
                <w:rFonts w:ascii="宋体" w:hAnsi="宋体" w:eastAsia="宋体"/>
                <w:sz w:val="16"/>
              </w:rPr>
              <w:t>服务信访工作组次数（次）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FA8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33BDD">
            <w:pPr>
              <w:jc w:val="center"/>
            </w:pPr>
            <w:r>
              <w:rPr>
                <w:rFonts w:ascii="宋体" w:hAnsi="宋体" w:eastAsia="宋体"/>
                <w:sz w:val="16"/>
              </w:rPr>
              <w:t>&gt;=12次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E090C">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B79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290F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E3E3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067A2">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85AB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FCB2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98EA3">
            <w:pPr>
              <w:jc w:val="center"/>
            </w:pPr>
          </w:p>
        </w:tc>
      </w:tr>
      <w:tr w14:paraId="2BF2E2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44E47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C04E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F290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65FBE">
            <w:pPr>
              <w:jc w:val="center"/>
            </w:pPr>
            <w:r>
              <w:rPr>
                <w:rFonts w:ascii="宋体" w:hAnsi="宋体" w:eastAsia="宋体"/>
                <w:sz w:val="16"/>
              </w:rPr>
              <w:t>政府采购率（%）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EBB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14B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388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915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ECE7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1A3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8E5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9563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C76E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C5EF4">
            <w:pPr>
              <w:jc w:val="center"/>
            </w:pPr>
          </w:p>
        </w:tc>
      </w:tr>
      <w:tr w14:paraId="29E947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882A2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559C8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DC656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6DCC3">
            <w:pPr>
              <w:jc w:val="center"/>
            </w:pPr>
            <w:r>
              <w:rPr>
                <w:rFonts w:ascii="宋体" w:hAnsi="宋体" w:eastAsia="宋体"/>
                <w:sz w:val="16"/>
              </w:rPr>
              <w:t>办公设备购置成本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ADDE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AAF54">
            <w:pPr>
              <w:jc w:val="center"/>
            </w:pPr>
            <w:r>
              <w:rPr>
                <w:rFonts w:ascii="宋体" w:hAnsi="宋体" w:eastAsia="宋体"/>
                <w:sz w:val="16"/>
              </w:rPr>
              <w:t>&lt;=4.56万元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8D7CF">
            <w:pPr>
              <w:jc w:val="center"/>
            </w:pPr>
            <w:r>
              <w:rPr>
                <w:rFonts w:ascii="宋体" w:hAnsi="宋体" w:eastAsia="宋体"/>
                <w:sz w:val="16"/>
              </w:rPr>
              <w:t>=4.56万元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61B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A9E1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192C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68066">
            <w:pPr>
              <w:jc w:val="center"/>
            </w:pPr>
            <w:r>
              <w:rPr>
                <w:rFonts w:ascii="宋体" w:hAnsi="宋体" w:eastAsia="宋体"/>
                <w:sz w:val="16"/>
              </w:rPr>
              <w:t>7.86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6248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5AFD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4F94F">
            <w:pPr>
              <w:jc w:val="center"/>
            </w:pPr>
          </w:p>
        </w:tc>
      </w:tr>
      <w:tr w14:paraId="169EB2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EA10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7A8DE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940B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3240E">
            <w:pPr>
              <w:jc w:val="center"/>
            </w:pPr>
            <w:r>
              <w:rPr>
                <w:rFonts w:ascii="宋体" w:hAnsi="宋体" w:eastAsia="宋体"/>
                <w:sz w:val="16"/>
              </w:rPr>
              <w:t>保障经费信访工作组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80C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158C8">
            <w:pPr>
              <w:jc w:val="center"/>
            </w:pPr>
            <w:r>
              <w:rPr>
                <w:rFonts w:ascii="宋体" w:hAnsi="宋体" w:eastAsia="宋体"/>
                <w:sz w:val="16"/>
              </w:rPr>
              <w:t>&lt;=84.15万元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7E8B3">
            <w:pPr>
              <w:jc w:val="center"/>
            </w:pPr>
            <w:r>
              <w:rPr>
                <w:rFonts w:ascii="宋体" w:hAnsi="宋体" w:eastAsia="宋体"/>
                <w:sz w:val="16"/>
              </w:rPr>
              <w:t>=84.15万元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C85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DE8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86B7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A01EB">
            <w:pPr>
              <w:jc w:val="center"/>
            </w:pPr>
            <w:r>
              <w:rPr>
                <w:rFonts w:ascii="宋体" w:hAnsi="宋体" w:eastAsia="宋体"/>
                <w:sz w:val="16"/>
              </w:rPr>
              <w:t>102.14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7BA2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A46B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FEAD9">
            <w:pPr>
              <w:jc w:val="center"/>
            </w:pPr>
          </w:p>
        </w:tc>
      </w:tr>
      <w:tr w14:paraId="25BE05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C9D1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300F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EC1F4">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CB90A">
            <w:pPr>
              <w:jc w:val="center"/>
            </w:pPr>
            <w:r>
              <w:rPr>
                <w:rFonts w:ascii="宋体" w:hAnsi="宋体" w:eastAsia="宋体"/>
                <w:sz w:val="16"/>
              </w:rPr>
              <w:t>加强自治区驻京信访工作组后勤保障和昌吉籍工</w:t>
            </w:r>
            <w:r>
              <w:rPr>
                <w:rFonts w:hint="eastAsia" w:ascii="宋体" w:hAnsi="宋体"/>
                <w:sz w:val="16"/>
                <w:lang w:eastAsia="zh-CN"/>
              </w:rPr>
              <w:t>商</w:t>
            </w:r>
            <w:r>
              <w:rPr>
                <w:rFonts w:ascii="宋体" w:hAnsi="宋体" w:eastAsia="宋体"/>
                <w:sz w:val="16"/>
              </w:rPr>
              <w:t>人员服务管理工作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878C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53E03">
            <w:pPr>
              <w:jc w:val="center"/>
            </w:pPr>
            <w:r>
              <w:rPr>
                <w:rFonts w:ascii="宋体" w:hAnsi="宋体" w:eastAsia="宋体"/>
                <w:sz w:val="16"/>
              </w:rPr>
              <w:t>持续增强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4C1F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CB6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C5BD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6DF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366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55AC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001F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04F95">
            <w:pPr>
              <w:jc w:val="center"/>
            </w:pPr>
          </w:p>
        </w:tc>
      </w:tr>
      <w:tr w14:paraId="46DEEE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6E42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160C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8B64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73485">
            <w:pPr>
              <w:jc w:val="center"/>
            </w:pPr>
            <w:r>
              <w:rPr>
                <w:rFonts w:ascii="宋体" w:hAnsi="宋体" w:eastAsia="宋体"/>
                <w:sz w:val="16"/>
              </w:rPr>
              <w:t>信访工作组满意度（%）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940E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BA48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DD5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D4884">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096A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770D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3B0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69A8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F473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D029E">
            <w:pPr>
              <w:jc w:val="center"/>
            </w:pPr>
            <w:r>
              <w:rPr>
                <w:rFonts w:ascii="宋体" w:hAnsi="宋体" w:eastAsia="宋体"/>
                <w:sz w:val="16"/>
              </w:rPr>
              <w:t>项目实施较好，信访工作组对项目实施满意</w:t>
            </w:r>
          </w:p>
        </w:tc>
      </w:tr>
      <w:tr w14:paraId="1DFBA44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123DE5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BF5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1325B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23411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220D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9A0C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8D4A4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5CE8F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A041B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749DE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BC0775"/>
        </w:tc>
      </w:tr>
    </w:tbl>
    <w:p w14:paraId="5577E9E9">
      <w:r>
        <w:br w:type="page"/>
      </w:r>
    </w:p>
    <w:tbl>
      <w:tblPr>
        <w:tblStyle w:val="9"/>
        <w:tblW w:w="0" w:type="auto"/>
        <w:tblInd w:w="0" w:type="dxa"/>
        <w:tblLayout w:type="autofit"/>
        <w:tblCellMar>
          <w:top w:w="0" w:type="dxa"/>
          <w:left w:w="108" w:type="dxa"/>
          <w:bottom w:w="0" w:type="dxa"/>
          <w:right w:w="108" w:type="dxa"/>
        </w:tblCellMar>
      </w:tblPr>
      <w:tblGrid>
        <w:gridCol w:w="614"/>
        <w:gridCol w:w="585"/>
        <w:gridCol w:w="585"/>
        <w:gridCol w:w="696"/>
        <w:gridCol w:w="600"/>
        <w:gridCol w:w="776"/>
        <w:gridCol w:w="629"/>
        <w:gridCol w:w="776"/>
        <w:gridCol w:w="629"/>
        <w:gridCol w:w="585"/>
        <w:gridCol w:w="614"/>
        <w:gridCol w:w="588"/>
        <w:gridCol w:w="587"/>
        <w:gridCol w:w="796"/>
      </w:tblGrid>
      <w:tr w14:paraId="6283A0FC">
        <w:tblPrEx>
          <w:tblCellMar>
            <w:top w:w="0" w:type="dxa"/>
            <w:left w:w="108" w:type="dxa"/>
            <w:bottom w:w="0" w:type="dxa"/>
            <w:right w:w="108" w:type="dxa"/>
          </w:tblCellMar>
        </w:tblPrEx>
        <w:tc>
          <w:tcPr>
            <w:tcW w:w="8848" w:type="dxa"/>
            <w:gridSpan w:val="14"/>
            <w:vAlign w:val="center"/>
          </w:tcPr>
          <w:p w14:paraId="526F28A0">
            <w:pPr>
              <w:jc w:val="center"/>
            </w:pPr>
            <w:r>
              <w:rPr>
                <w:rFonts w:ascii="宋体" w:hAnsi="宋体" w:eastAsia="宋体"/>
                <w:sz w:val="24"/>
              </w:rPr>
              <w:t>项目支出绩效自评表</w:t>
            </w:r>
          </w:p>
        </w:tc>
      </w:tr>
      <w:tr w14:paraId="387EEB9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CCD339B">
            <w:pPr>
              <w:jc w:val="center"/>
            </w:pPr>
            <w:r>
              <w:rPr>
                <w:rFonts w:ascii="宋体" w:hAnsi="宋体" w:eastAsia="宋体"/>
                <w:sz w:val="24"/>
              </w:rPr>
              <w:t>(2024年度)</w:t>
            </w:r>
          </w:p>
        </w:tc>
      </w:tr>
      <w:tr w14:paraId="3791E9B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93B8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B5A97B4">
            <w:pPr>
              <w:jc w:val="center"/>
            </w:pPr>
            <w:r>
              <w:rPr>
                <w:rFonts w:ascii="宋体" w:hAnsi="宋体" w:eastAsia="宋体"/>
                <w:sz w:val="16"/>
              </w:rPr>
              <w:t>机构运行补助经费</w:t>
            </w:r>
          </w:p>
        </w:tc>
      </w:tr>
      <w:tr w14:paraId="566656D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27B6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E9DC073">
            <w:pPr>
              <w:jc w:val="center"/>
            </w:pPr>
            <w:r>
              <w:rPr>
                <w:rFonts w:hint="eastAsia" w:ascii="宋体" w:hAnsi="宋体" w:eastAsia="宋体"/>
                <w:sz w:val="16"/>
              </w:rPr>
              <w:t>昌吉回族自治州商务局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635A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3A7A72E">
            <w:pPr>
              <w:jc w:val="center"/>
            </w:pPr>
            <w:r>
              <w:rPr>
                <w:rFonts w:ascii="宋体" w:hAnsi="宋体" w:eastAsia="宋体"/>
                <w:sz w:val="16"/>
              </w:rPr>
              <w:t>昌吉回族自治州人民政府驻北京联络处</w:t>
            </w:r>
          </w:p>
        </w:tc>
      </w:tr>
      <w:tr w14:paraId="4A562D7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3809B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85ADD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CAE92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458DD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86F51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71D3F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53842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2030D">
            <w:pPr>
              <w:jc w:val="center"/>
            </w:pPr>
            <w:r>
              <w:rPr>
                <w:rFonts w:ascii="宋体" w:hAnsi="宋体" w:eastAsia="宋体"/>
                <w:sz w:val="16"/>
              </w:rPr>
              <w:t>得分</w:t>
            </w:r>
          </w:p>
        </w:tc>
      </w:tr>
      <w:tr w14:paraId="4561DF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8F62D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2E0F6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7249B8">
            <w:pPr>
              <w:jc w:val="center"/>
            </w:pPr>
            <w:r>
              <w:rPr>
                <w:rFonts w:ascii="宋体" w:hAnsi="宋体" w:eastAsia="宋体"/>
                <w:sz w:val="16"/>
              </w:rPr>
              <w:t>72.00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D52D4D">
            <w:pPr>
              <w:jc w:val="center"/>
            </w:pPr>
            <w:r>
              <w:rPr>
                <w:rFonts w:ascii="宋体" w:hAnsi="宋体" w:eastAsia="宋体"/>
                <w:sz w:val="16"/>
              </w:rPr>
              <w:t>72.00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59CBFF">
            <w:pPr>
              <w:jc w:val="center"/>
            </w:pPr>
            <w:r>
              <w:rPr>
                <w:rFonts w:ascii="宋体" w:hAnsi="宋体" w:eastAsia="宋体"/>
                <w:sz w:val="16"/>
              </w:rPr>
              <w:t>72.00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66639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FE79F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9F388">
            <w:pPr>
              <w:jc w:val="center"/>
            </w:pPr>
            <w:r>
              <w:rPr>
                <w:rFonts w:ascii="宋体" w:hAnsi="宋体" w:eastAsia="宋体"/>
                <w:sz w:val="16"/>
              </w:rPr>
              <w:t>10.00</w:t>
            </w:r>
          </w:p>
        </w:tc>
      </w:tr>
      <w:tr w14:paraId="247773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63867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68DAB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104F60">
            <w:pPr>
              <w:jc w:val="center"/>
            </w:pPr>
            <w:r>
              <w:rPr>
                <w:rFonts w:ascii="宋体" w:hAnsi="宋体" w:eastAsia="宋体"/>
                <w:sz w:val="16"/>
              </w:rPr>
              <w:t>72.00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DF2CB1">
            <w:pPr>
              <w:jc w:val="center"/>
            </w:pPr>
            <w:r>
              <w:rPr>
                <w:rFonts w:ascii="宋体" w:hAnsi="宋体" w:eastAsia="宋体"/>
                <w:sz w:val="16"/>
              </w:rPr>
              <w:t>72.00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BC88C0">
            <w:pPr>
              <w:jc w:val="center"/>
            </w:pPr>
            <w:r>
              <w:rPr>
                <w:rFonts w:ascii="宋体" w:hAnsi="宋体" w:eastAsia="宋体"/>
                <w:sz w:val="16"/>
              </w:rPr>
              <w:t>72.00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B299F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4007E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8677D">
            <w:pPr>
              <w:jc w:val="center"/>
            </w:pPr>
            <w:r>
              <w:rPr>
                <w:rFonts w:ascii="宋体" w:hAnsi="宋体" w:eastAsia="宋体"/>
                <w:sz w:val="16"/>
              </w:rPr>
              <w:t>—</w:t>
            </w:r>
          </w:p>
        </w:tc>
      </w:tr>
      <w:tr w14:paraId="6872B9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6B016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3BBA6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225EB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E3E35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EE6CD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4458A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B5692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E4EA9">
            <w:pPr>
              <w:jc w:val="center"/>
            </w:pPr>
            <w:r>
              <w:rPr>
                <w:rFonts w:ascii="宋体" w:hAnsi="宋体" w:eastAsia="宋体"/>
                <w:sz w:val="16"/>
              </w:rPr>
              <w:t>—</w:t>
            </w:r>
          </w:p>
        </w:tc>
      </w:tr>
      <w:tr w14:paraId="23062F6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EF28E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549C5E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0419145">
            <w:pPr>
              <w:jc w:val="center"/>
            </w:pPr>
            <w:r>
              <w:rPr>
                <w:rFonts w:ascii="宋体" w:hAnsi="宋体" w:eastAsia="宋体"/>
                <w:sz w:val="16"/>
              </w:rPr>
              <w:t>实际完成情况</w:t>
            </w:r>
          </w:p>
        </w:tc>
      </w:tr>
      <w:tr w14:paraId="7BEEE4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1C666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AF18E25">
            <w:pPr>
              <w:jc w:val="both"/>
            </w:pPr>
            <w:r>
              <w:rPr>
                <w:rFonts w:ascii="宋体" w:hAnsi="宋体" w:eastAsia="宋体"/>
                <w:sz w:val="16"/>
              </w:rPr>
              <w:t>障驻京联络处正常工作运转，加强驻京联络处内部安全、人员管理、消防、</w:t>
            </w:r>
            <w:r>
              <w:rPr>
                <w:rFonts w:hint="eastAsia" w:ascii="宋体" w:hAnsi="宋体"/>
                <w:sz w:val="16"/>
                <w:lang w:eastAsia="zh-CN"/>
              </w:rPr>
              <w:t>防疫</w:t>
            </w:r>
            <w:r>
              <w:rPr>
                <w:rFonts w:ascii="宋体" w:hAnsi="宋体" w:eastAsia="宋体"/>
                <w:sz w:val="16"/>
              </w:rPr>
              <w:t>防控、绿化美化、垃圾分类、环境整治、设施维修改造等。</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EAA443C">
            <w:pPr>
              <w:jc w:val="both"/>
            </w:pPr>
            <w:r>
              <w:rPr>
                <w:rFonts w:hint="eastAsia" w:ascii="宋体" w:hAnsi="宋体"/>
                <w:sz w:val="16"/>
                <w:lang w:eastAsia="zh-CN"/>
              </w:rPr>
              <w:t>截至</w:t>
            </w:r>
            <w:r>
              <w:rPr>
                <w:rFonts w:ascii="宋体" w:hAnsi="宋体" w:eastAsia="宋体"/>
                <w:sz w:val="16"/>
              </w:rPr>
              <w:t>2024年12月31日，该项目实际完成，设备购置数量3台，保障人员数3人，办公室维修（护）费7次，政府采购率达100%，维修费支付15万元，劳务费支付22.4万元，水电暖等保障运转经费支付34.6万元，持续增强加强自治区驻京信访工作组后勤保障和昌吉籍务工经商人员服务管理工作，工作人员满意度达100%。通过该项目的实施，提升了驻京联络处正常工作运转效率，促进了驻京联络处内部安全、人员管理、消防、</w:t>
            </w:r>
            <w:r>
              <w:rPr>
                <w:rFonts w:hint="eastAsia" w:ascii="宋体" w:hAnsi="宋体"/>
                <w:sz w:val="16"/>
                <w:lang w:eastAsia="zh-CN"/>
              </w:rPr>
              <w:t>防疫</w:t>
            </w:r>
            <w:r>
              <w:rPr>
                <w:rFonts w:ascii="宋体" w:hAnsi="宋体" w:eastAsia="宋体"/>
                <w:sz w:val="16"/>
              </w:rPr>
              <w:t>防控、绿化美化、垃圾分类、环境整治、设施维修改造等各项工作。</w:t>
            </w:r>
          </w:p>
        </w:tc>
      </w:tr>
      <w:tr w14:paraId="0C077AB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82CD60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D5CC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C99B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B2DB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9D4D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FA84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3E53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6677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4CDA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A3BB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6158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FF13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4135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D1663">
            <w:pPr>
              <w:jc w:val="center"/>
            </w:pPr>
            <w:r>
              <w:rPr>
                <w:rFonts w:ascii="宋体" w:hAnsi="宋体" w:eastAsia="宋体"/>
                <w:sz w:val="16"/>
              </w:rPr>
              <w:t>偏差原因分析及改进措施</w:t>
            </w:r>
          </w:p>
        </w:tc>
      </w:tr>
      <w:tr w14:paraId="321BC35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AC166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91185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42110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3BF64">
            <w:pPr>
              <w:jc w:val="center"/>
            </w:pPr>
            <w:r>
              <w:rPr>
                <w:rFonts w:ascii="宋体" w:hAnsi="宋体" w:eastAsia="宋体"/>
                <w:sz w:val="16"/>
              </w:rPr>
              <w:t>设备购置数量（个）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FB35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B4A21">
            <w:pPr>
              <w:jc w:val="center"/>
            </w:pPr>
            <w:r>
              <w:rPr>
                <w:rFonts w:ascii="宋体" w:hAnsi="宋体" w:eastAsia="宋体"/>
                <w:sz w:val="16"/>
              </w:rPr>
              <w:t>&gt;=1台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9E884">
            <w:pPr>
              <w:jc w:val="center"/>
            </w:pPr>
            <w:r>
              <w:rPr>
                <w:rFonts w:ascii="宋体" w:hAnsi="宋体" w:eastAsia="宋体"/>
                <w:sz w:val="16"/>
              </w:rPr>
              <w:t>=3台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6C9D8">
            <w:pPr>
              <w:jc w:val="center"/>
            </w:pPr>
            <w:r>
              <w:rPr>
                <w:rFonts w:ascii="宋体" w:hAnsi="宋体" w:eastAsia="宋体"/>
                <w:sz w:val="16"/>
              </w:rPr>
              <w:t>300%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F9A5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844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888FF">
            <w:pPr>
              <w:jc w:val="center"/>
            </w:pPr>
            <w:r>
              <w:rPr>
                <w:rFonts w:ascii="宋体" w:hAnsi="宋体" w:eastAsia="宋体"/>
                <w:sz w:val="16"/>
              </w:rPr>
              <w:t>2台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17F0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5F4E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8D8F5">
            <w:pPr>
              <w:jc w:val="center"/>
            </w:pPr>
            <w:r>
              <w:rPr>
                <w:rFonts w:ascii="宋体" w:hAnsi="宋体" w:eastAsia="宋体"/>
                <w:sz w:val="16"/>
              </w:rPr>
              <w:t>目标值：设备购置数量&gt;=1台，业绩值：3台，完成率300%</w:t>
            </w:r>
            <w:r>
              <w:rPr>
                <w:rFonts w:ascii="宋体" w:hAnsi="宋体" w:eastAsia="宋体"/>
                <w:sz w:val="16"/>
              </w:rPr>
              <w:tab/>
            </w:r>
            <w:r>
              <w:rPr>
                <w:rFonts w:ascii="宋体" w:hAnsi="宋体" w:eastAsia="宋体"/>
                <w:sz w:val="16"/>
              </w:rPr>
              <w:t>，偏差-200%，主要原因是为确保各项工作顺利开展，满足办公需要，购买了3台办公设备，购买了3台办公设备。</w:t>
            </w:r>
          </w:p>
        </w:tc>
      </w:tr>
      <w:tr w14:paraId="566BEC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F4BB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498AA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2683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5FACD">
            <w:pPr>
              <w:jc w:val="center"/>
            </w:pPr>
            <w:r>
              <w:rPr>
                <w:rFonts w:ascii="宋体" w:hAnsi="宋体" w:eastAsia="宋体"/>
                <w:sz w:val="16"/>
              </w:rPr>
              <w:t>保障人员数（人）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DFA2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D7AA5">
            <w:pPr>
              <w:jc w:val="center"/>
            </w:pPr>
            <w:r>
              <w:rPr>
                <w:rFonts w:ascii="宋体" w:hAnsi="宋体" w:eastAsia="宋体"/>
                <w:sz w:val="16"/>
              </w:rPr>
              <w:t>&gt;=3人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65F8E">
            <w:pPr>
              <w:jc w:val="center"/>
            </w:pPr>
            <w:r>
              <w:rPr>
                <w:rFonts w:ascii="宋体" w:hAnsi="宋体" w:eastAsia="宋体"/>
                <w:sz w:val="16"/>
              </w:rPr>
              <w:t>=3人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4FC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7FD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464B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52304">
            <w:pPr>
              <w:jc w:val="center"/>
            </w:pPr>
            <w:r>
              <w:rPr>
                <w:rFonts w:ascii="宋体" w:hAnsi="宋体" w:eastAsia="宋体"/>
                <w:sz w:val="16"/>
              </w:rPr>
              <w: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C92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F39C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04A46">
            <w:pPr>
              <w:jc w:val="center"/>
            </w:pPr>
          </w:p>
        </w:tc>
      </w:tr>
      <w:tr w14:paraId="50D1FA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F33D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575B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7090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5E3FA">
            <w:pPr>
              <w:jc w:val="center"/>
            </w:pPr>
            <w:r>
              <w:rPr>
                <w:rFonts w:ascii="宋体" w:hAnsi="宋体" w:eastAsia="宋体"/>
                <w:sz w:val="16"/>
              </w:rPr>
              <w:t>办公室维修（护）费（次）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3E8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68C56">
            <w:pPr>
              <w:jc w:val="center"/>
            </w:pPr>
            <w:r>
              <w:rPr>
                <w:rFonts w:ascii="宋体" w:hAnsi="宋体" w:eastAsia="宋体"/>
                <w:sz w:val="16"/>
              </w:rPr>
              <w:t>&gt;=7次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253FF">
            <w:pPr>
              <w:jc w:val="center"/>
            </w:pPr>
            <w:r>
              <w:rPr>
                <w:rFonts w:ascii="宋体" w:hAnsi="宋体" w:eastAsia="宋体"/>
                <w:sz w:val="16"/>
              </w:rPr>
              <w:t>=7次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355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706E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FAE6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37F6D">
            <w:pPr>
              <w:jc w:val="center"/>
            </w:pPr>
            <w:r>
              <w:rPr>
                <w:rFonts w:ascii="宋体" w:hAnsi="宋体" w:eastAsia="宋体"/>
                <w:sz w:val="16"/>
              </w:rPr>
              <w: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0724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0880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C5E70">
            <w:pPr>
              <w:jc w:val="center"/>
            </w:pPr>
          </w:p>
        </w:tc>
      </w:tr>
      <w:tr w14:paraId="4879B1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9517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31EB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F39F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E742E">
            <w:pPr>
              <w:jc w:val="center"/>
            </w:pPr>
            <w:r>
              <w:rPr>
                <w:rFonts w:ascii="宋体" w:hAnsi="宋体" w:eastAsia="宋体"/>
                <w:sz w:val="16"/>
              </w:rPr>
              <w:t>政府采购率（%）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1F7A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43E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C61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655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3DF1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5D4D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A08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A96D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A1D0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6A599">
            <w:pPr>
              <w:jc w:val="center"/>
            </w:pPr>
          </w:p>
        </w:tc>
      </w:tr>
      <w:tr w14:paraId="540306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C2CAB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2A0BA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B75EC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7380A">
            <w:pPr>
              <w:jc w:val="center"/>
            </w:pPr>
            <w:r>
              <w:rPr>
                <w:rFonts w:ascii="宋体" w:hAnsi="宋体" w:eastAsia="宋体"/>
                <w:sz w:val="16"/>
              </w:rPr>
              <w:t>维修（护）费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A752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BA01A">
            <w:pPr>
              <w:jc w:val="center"/>
            </w:pPr>
            <w:r>
              <w:rPr>
                <w:rFonts w:ascii="宋体" w:hAnsi="宋体" w:eastAsia="宋体"/>
                <w:sz w:val="16"/>
              </w:rPr>
              <w:t>&lt;=15万元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E4B6D">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55D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B0C0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23D9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EA1A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A86F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2655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C9822">
            <w:pPr>
              <w:jc w:val="center"/>
            </w:pPr>
          </w:p>
        </w:tc>
      </w:tr>
      <w:tr w14:paraId="229A52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9C3E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05C8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DE20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74570">
            <w:pPr>
              <w:jc w:val="center"/>
            </w:pPr>
            <w:r>
              <w:rPr>
                <w:rFonts w:ascii="宋体" w:hAnsi="宋体" w:eastAsia="宋体"/>
                <w:sz w:val="16"/>
              </w:rPr>
              <w:t>劳务费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094D4">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33395">
            <w:pPr>
              <w:jc w:val="center"/>
            </w:pPr>
            <w:r>
              <w:rPr>
                <w:rFonts w:ascii="宋体" w:hAnsi="宋体" w:eastAsia="宋体"/>
                <w:sz w:val="16"/>
              </w:rPr>
              <w:t>&lt;=22.40万元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3E782">
            <w:pPr>
              <w:jc w:val="center"/>
            </w:pPr>
            <w:r>
              <w:rPr>
                <w:rFonts w:ascii="宋体" w:hAnsi="宋体" w:eastAsia="宋体"/>
                <w:sz w:val="16"/>
              </w:rPr>
              <w:t>=22.4万元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635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B16E8">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E37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CA39D">
            <w:pPr>
              <w:jc w:val="center"/>
            </w:pPr>
            <w:r>
              <w:rPr>
                <w:rFonts w:ascii="宋体" w:hAnsi="宋体" w:eastAsia="宋体"/>
                <w:sz w:val="16"/>
              </w:rPr>
              <w:t>22.4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6A9F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523B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1FD96">
            <w:pPr>
              <w:jc w:val="center"/>
            </w:pPr>
          </w:p>
        </w:tc>
      </w:tr>
      <w:tr w14:paraId="17A0F3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4C8D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21C3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A216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0B2F2">
            <w:pPr>
              <w:jc w:val="center"/>
            </w:pPr>
            <w:r>
              <w:rPr>
                <w:rFonts w:ascii="宋体" w:hAnsi="宋体" w:eastAsia="宋体"/>
                <w:sz w:val="16"/>
              </w:rPr>
              <w:t>水电暖等保障运转经费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E540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1BBAE">
            <w:pPr>
              <w:jc w:val="center"/>
            </w:pPr>
            <w:r>
              <w:rPr>
                <w:rFonts w:ascii="宋体" w:hAnsi="宋体" w:eastAsia="宋体"/>
                <w:sz w:val="16"/>
              </w:rPr>
              <w:t>&lt;=34.60万元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4BAA5">
            <w:pPr>
              <w:jc w:val="center"/>
            </w:pPr>
            <w:r>
              <w:rPr>
                <w:rFonts w:ascii="宋体" w:hAnsi="宋体" w:eastAsia="宋体"/>
                <w:sz w:val="16"/>
              </w:rPr>
              <w:t>=34.6万元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BB8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1B92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2F5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8A95D">
            <w:pPr>
              <w:jc w:val="center"/>
            </w:pPr>
            <w:r>
              <w:rPr>
                <w:rFonts w:ascii="宋体" w:hAnsi="宋体" w:eastAsia="宋体"/>
                <w:sz w:val="16"/>
              </w:rPr>
              <w:t>34.6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0EC2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4C99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2EFD4">
            <w:pPr>
              <w:jc w:val="center"/>
            </w:pPr>
          </w:p>
        </w:tc>
      </w:tr>
      <w:tr w14:paraId="1A8AD6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33CC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5B40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2F6A3">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8432D">
            <w:pPr>
              <w:jc w:val="center"/>
            </w:pPr>
            <w:r>
              <w:rPr>
                <w:rFonts w:ascii="宋体" w:hAnsi="宋体" w:eastAsia="宋体"/>
                <w:sz w:val="16"/>
              </w:rPr>
              <w:t>加强自治区驻京信访工作组后勤保障和昌吉籍务工经商人员服务管理工作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8E30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680E4">
            <w:pPr>
              <w:jc w:val="center"/>
            </w:pPr>
            <w:r>
              <w:rPr>
                <w:rFonts w:ascii="宋体" w:hAnsi="宋体" w:eastAsia="宋体"/>
                <w:sz w:val="16"/>
              </w:rPr>
              <w:t>持续增强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30B2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8F9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3D5E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343C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6E4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A86C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EFB7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0543B">
            <w:pPr>
              <w:jc w:val="center"/>
            </w:pPr>
          </w:p>
        </w:tc>
      </w:tr>
      <w:tr w14:paraId="5D7A1F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DF8B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4871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6AAA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BEB0E">
            <w:pPr>
              <w:jc w:val="center"/>
            </w:pPr>
            <w:r>
              <w:rPr>
                <w:rFonts w:ascii="宋体" w:hAnsi="宋体" w:eastAsia="宋体"/>
                <w:sz w:val="16"/>
              </w:rPr>
              <w:t>工作人员满意度（%）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1F1E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57DB5">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0C8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FB4C2">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41FB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0A38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AFD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55DB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7F58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31F58">
            <w:pPr>
              <w:jc w:val="center"/>
            </w:pPr>
            <w:r>
              <w:rPr>
                <w:rFonts w:ascii="宋体" w:hAnsi="宋体" w:eastAsia="宋体"/>
                <w:sz w:val="16"/>
              </w:rPr>
              <w:t>项目实施比较好，工作人员对项目实施满意。</w:t>
            </w:r>
          </w:p>
        </w:tc>
      </w:tr>
      <w:tr w14:paraId="727AE22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3C6A43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FF5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D96CA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12F98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425F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7B0BA">
            <w:pPr>
              <w:jc w:val="center"/>
            </w:pPr>
            <w:r>
              <w:rPr>
                <w:rFonts w:ascii="宋体" w:hAnsi="宋体" w:eastAsia="宋体"/>
                <w:sz w:val="16"/>
              </w:rPr>
              <w:t>90.00分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1A11A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F2FAA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7FBAC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7FF33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6FCEF2"/>
        </w:tc>
      </w:tr>
    </w:tbl>
    <w:p w14:paraId="475F2FE4">
      <w:r>
        <w:br w:type="page"/>
      </w:r>
    </w:p>
    <w:p w14:paraId="2C1DAA35">
      <w:pPr>
        <w:spacing w:line="640" w:lineRule="exact"/>
        <w:ind w:firstLine="640"/>
        <w:jc w:val="both"/>
        <w:outlineLvl w:val="2"/>
      </w:pPr>
      <w:r>
        <w:rPr>
          <w:rFonts w:ascii="黑体" w:hAnsi="黑体" w:eastAsia="黑体"/>
          <w:sz w:val="32"/>
        </w:rPr>
        <w:t>十二、其他需说明的事项</w:t>
      </w:r>
    </w:p>
    <w:p w14:paraId="0229C40B">
      <w:pPr>
        <w:spacing w:line="580" w:lineRule="exact"/>
        <w:ind w:firstLine="640"/>
        <w:jc w:val="both"/>
      </w:pPr>
      <w:r>
        <w:rPr>
          <w:rFonts w:ascii="仿宋_GB2312" w:hAnsi="仿宋_GB2312" w:eastAsia="仿宋_GB2312"/>
          <w:b w:val="0"/>
          <w:sz w:val="32"/>
        </w:rPr>
        <w:t>本单位无其他需说明的事项。</w:t>
      </w:r>
    </w:p>
    <w:p w14:paraId="682B3BAB">
      <w:r>
        <w:br w:type="page"/>
      </w:r>
    </w:p>
    <w:p w14:paraId="4A2DE305">
      <w:pPr>
        <w:spacing w:line="240" w:lineRule="auto"/>
        <w:jc w:val="center"/>
        <w:outlineLvl w:val="1"/>
      </w:pPr>
      <w:r>
        <w:rPr>
          <w:rFonts w:ascii="黑体" w:hAnsi="黑体" w:eastAsia="黑体"/>
          <w:sz w:val="32"/>
        </w:rPr>
        <w:t>第三部分 专业名词解释</w:t>
      </w:r>
    </w:p>
    <w:p w14:paraId="0D72F1C0">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05710639">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56AF766F">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F15BCCE">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39346270">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E1FABE3">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3985C55B">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0639EA72">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22F97EE">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02AE1FE8">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7DB66B55">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3ADF778">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4B54FBDB">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2BE4BE0C">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78ECC53F">
      <w:r>
        <w:br w:type="page"/>
      </w:r>
    </w:p>
    <w:p w14:paraId="24D5E025">
      <w:pPr>
        <w:spacing w:line="240" w:lineRule="auto"/>
        <w:jc w:val="center"/>
        <w:outlineLvl w:val="1"/>
      </w:pPr>
      <w:r>
        <w:rPr>
          <w:rFonts w:ascii="黑体" w:hAnsi="黑体" w:eastAsia="黑体"/>
          <w:sz w:val="32"/>
        </w:rPr>
        <w:t>第四部分 部门决算报表（见附表）</w:t>
      </w:r>
    </w:p>
    <w:p w14:paraId="467A6E33">
      <w:pPr>
        <w:spacing w:line="240" w:lineRule="auto"/>
        <w:ind w:firstLine="640"/>
        <w:jc w:val="both"/>
      </w:pPr>
      <w:r>
        <w:rPr>
          <w:rFonts w:ascii="仿宋_GB2312" w:hAnsi="仿宋_GB2312" w:eastAsia="仿宋_GB2312"/>
          <w:b w:val="0"/>
          <w:sz w:val="32"/>
        </w:rPr>
        <w:t>一、《收入支出决算总表》</w:t>
      </w:r>
    </w:p>
    <w:p w14:paraId="0B85411B">
      <w:pPr>
        <w:spacing w:line="240" w:lineRule="auto"/>
        <w:ind w:firstLine="640"/>
        <w:jc w:val="both"/>
      </w:pPr>
      <w:r>
        <w:rPr>
          <w:rFonts w:ascii="仿宋_GB2312" w:hAnsi="仿宋_GB2312" w:eastAsia="仿宋_GB2312"/>
          <w:b w:val="0"/>
          <w:sz w:val="32"/>
        </w:rPr>
        <w:t>二、《收入决算表》</w:t>
      </w:r>
    </w:p>
    <w:p w14:paraId="435DC658">
      <w:pPr>
        <w:spacing w:line="240" w:lineRule="auto"/>
        <w:ind w:firstLine="640"/>
        <w:jc w:val="both"/>
      </w:pPr>
      <w:r>
        <w:rPr>
          <w:rFonts w:ascii="仿宋_GB2312" w:hAnsi="仿宋_GB2312" w:eastAsia="仿宋_GB2312"/>
          <w:b w:val="0"/>
          <w:sz w:val="32"/>
        </w:rPr>
        <w:t>三、《支出决算表》</w:t>
      </w:r>
    </w:p>
    <w:p w14:paraId="34293637">
      <w:pPr>
        <w:spacing w:line="240" w:lineRule="auto"/>
        <w:ind w:firstLine="640"/>
        <w:jc w:val="both"/>
      </w:pPr>
      <w:r>
        <w:rPr>
          <w:rFonts w:ascii="仿宋_GB2312" w:hAnsi="仿宋_GB2312" w:eastAsia="仿宋_GB2312"/>
          <w:b w:val="0"/>
          <w:sz w:val="32"/>
        </w:rPr>
        <w:t>四、《财政拨款收入支出决算总表》</w:t>
      </w:r>
    </w:p>
    <w:p w14:paraId="2A1BAA1B">
      <w:pPr>
        <w:spacing w:line="240" w:lineRule="auto"/>
        <w:ind w:firstLine="640"/>
        <w:jc w:val="both"/>
      </w:pPr>
      <w:r>
        <w:rPr>
          <w:rFonts w:ascii="仿宋_GB2312" w:hAnsi="仿宋_GB2312" w:eastAsia="仿宋_GB2312"/>
          <w:b w:val="0"/>
          <w:sz w:val="32"/>
        </w:rPr>
        <w:t>五、《一般公共预算财政拨款支出决算表》</w:t>
      </w:r>
    </w:p>
    <w:p w14:paraId="0F0061F9">
      <w:pPr>
        <w:spacing w:line="240" w:lineRule="auto"/>
        <w:ind w:firstLine="640"/>
        <w:jc w:val="both"/>
      </w:pPr>
      <w:r>
        <w:rPr>
          <w:rFonts w:ascii="仿宋_GB2312" w:hAnsi="仿宋_GB2312" w:eastAsia="仿宋_GB2312"/>
          <w:b w:val="0"/>
          <w:sz w:val="32"/>
        </w:rPr>
        <w:t>六、《一般公共预算财政拨款基本支出决算表》</w:t>
      </w:r>
    </w:p>
    <w:p w14:paraId="40BC13DB">
      <w:pPr>
        <w:spacing w:line="240" w:lineRule="auto"/>
        <w:ind w:firstLine="640"/>
        <w:jc w:val="both"/>
      </w:pPr>
      <w:r>
        <w:rPr>
          <w:rFonts w:ascii="仿宋_GB2312" w:hAnsi="仿宋_GB2312" w:eastAsia="仿宋_GB2312"/>
          <w:b w:val="0"/>
          <w:sz w:val="32"/>
        </w:rPr>
        <w:t>七、《政府性基金预算财政拨款收入支出决算表》</w:t>
      </w:r>
    </w:p>
    <w:p w14:paraId="703C2056">
      <w:pPr>
        <w:spacing w:line="240" w:lineRule="auto"/>
        <w:ind w:firstLine="640"/>
        <w:jc w:val="both"/>
      </w:pPr>
      <w:r>
        <w:rPr>
          <w:rFonts w:ascii="仿宋_GB2312" w:hAnsi="仿宋_GB2312" w:eastAsia="仿宋_GB2312"/>
          <w:b w:val="0"/>
          <w:sz w:val="32"/>
        </w:rPr>
        <w:t>八、《国有资本经营预算财政拨款收入支出决算表》</w:t>
      </w:r>
    </w:p>
    <w:p w14:paraId="558C316B">
      <w:pPr>
        <w:spacing w:line="240" w:lineRule="auto"/>
        <w:ind w:firstLine="640"/>
        <w:jc w:val="both"/>
      </w:pPr>
      <w:r>
        <w:rPr>
          <w:rFonts w:ascii="仿宋_GB2312" w:hAnsi="仿宋_GB2312" w:eastAsia="仿宋_GB2312"/>
          <w:b w:val="0"/>
          <w:sz w:val="32"/>
        </w:rPr>
        <w:t>九、《财政拨款“三公”经费支出决算表》</w:t>
      </w:r>
    </w:p>
    <w:p w14:paraId="0B61B2CD">
      <w:pPr>
        <w:spacing w:line="240" w:lineRule="auto"/>
        <w:ind w:firstLine="640"/>
        <w:jc w:val="both"/>
      </w:pPr>
    </w:p>
    <w:p w14:paraId="3B2A1615">
      <w:pPr>
        <w:spacing w:line="240" w:lineRule="auto"/>
        <w:ind w:firstLine="640"/>
        <w:jc w:val="both"/>
      </w:pPr>
    </w:p>
    <w:p w14:paraId="41A6A243">
      <w:pPr>
        <w:spacing w:line="240" w:lineRule="auto"/>
        <w:ind w:firstLine="640"/>
        <w:jc w:val="both"/>
      </w:pPr>
    </w:p>
    <w:p w14:paraId="5FDB6DFA">
      <w:pPr>
        <w:spacing w:line="240" w:lineRule="auto"/>
        <w:ind w:firstLine="640"/>
        <w:jc w:val="both"/>
      </w:pPr>
    </w:p>
    <w:p w14:paraId="71AED79E">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1C7C2A"/>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A386028"/>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5769</Words>
  <Characters>6466</Characters>
  <Lines>0</Lines>
  <Paragraphs>0</Paragraphs>
  <TotalTime>1</TotalTime>
  <ScaleCrop>false</ScaleCrop>
  <LinksUpToDate>false</LinksUpToDate>
  <CharactersWithSpaces>6474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巴霍巴利</cp:lastModifiedBy>
  <cp:lastPrinted>2024-07-22T11:58:00Z</cp:lastPrinted>
  <dcterms:modified xsi:type="dcterms:W3CDTF">2026-03-25T05:20:30Z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B858A68E913346F885B5BC17D4DBEB06_13</vt:lpwstr>
  </property>
  <property fmtid="{D5CDD505-2E9C-101B-9397-08002B2CF9AE}" pid="4" name="KSOTemplateDocerSaveRecord">
    <vt:lpwstr>eyJoZGlkIjoiNDhkZWFlZDExN2IwOTRjZTY5NDEyZDUzZDg5NGM3OTgiLCJ1c2VySWQiOiI0MzI3ODY3NDQifQ==</vt:lpwstr>
  </property>
</Properties>
</file>