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木垒哈萨克自治县人民检察院2024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D0F8C59">
      <w:r>
        <w:br w:type="page"/>
      </w:r>
    </w:p>
    <w:p w14:paraId="196B0447">
      <w:pPr>
        <w:spacing w:line="640" w:lineRule="exact"/>
        <w:jc w:val="center"/>
        <w:outlineLvl w:val="1"/>
      </w:pPr>
      <w:r>
        <w:rPr>
          <w:rFonts w:ascii="黑体" w:hAnsi="黑体" w:eastAsia="黑体"/>
          <w:sz w:val="32"/>
        </w:rPr>
        <w:t>第一部分 单位概况</w:t>
      </w:r>
    </w:p>
    <w:p w14:paraId="445E6D3A">
      <w:pPr>
        <w:spacing w:line="640" w:lineRule="exact"/>
        <w:ind w:firstLine="640"/>
        <w:jc w:val="both"/>
        <w:outlineLvl w:val="2"/>
      </w:pPr>
      <w:r>
        <w:rPr>
          <w:rFonts w:ascii="黑体" w:hAnsi="黑体" w:eastAsia="黑体"/>
          <w:sz w:val="32"/>
        </w:rPr>
        <w:t>一、主要职能</w:t>
      </w:r>
    </w:p>
    <w:p w14:paraId="419F8D7A">
      <w:pPr>
        <w:spacing w:line="580" w:lineRule="exact"/>
        <w:ind w:firstLine="640"/>
        <w:jc w:val="both"/>
        <w:rPr>
          <w:spacing w:val="-6"/>
          <w:sz w:val="32"/>
        </w:rPr>
      </w:pPr>
      <w:r>
        <w:rPr>
          <w:rFonts w:ascii="仿宋_GB2312" w:hAnsi="仿宋_GB2312" w:eastAsia="仿宋_GB2312"/>
          <w:spacing w:val="-6"/>
          <w:sz w:val="32"/>
        </w:rPr>
        <w:t>木垒哈萨克自治县人民检察院通过</w:t>
      </w:r>
      <w:r>
        <w:rPr>
          <w:rFonts w:hint="eastAsia" w:ascii="仿宋_GB2312" w:hAnsi="仿宋_GB2312" w:eastAsia="仿宋_GB2312"/>
          <w:spacing w:val="-6"/>
          <w:sz w:val="32"/>
          <w:lang w:eastAsia="zh-CN"/>
        </w:rPr>
        <w:t>行使</w:t>
      </w:r>
      <w:r>
        <w:rPr>
          <w:rFonts w:ascii="仿宋_GB2312" w:hAnsi="仿宋_GB2312" w:eastAsia="仿宋_GB2312"/>
          <w:spacing w:val="-6"/>
          <w:sz w:val="32"/>
        </w:rPr>
        <w:t>国家检察权来完成自己的任务。对于危害国家安全案、危害公共安全案、侵犯公民人身权利民主权利案和其他重大犯罪案件，</w:t>
      </w:r>
      <w:r>
        <w:rPr>
          <w:rFonts w:hint="eastAsia" w:ascii="仿宋_GB2312" w:hAnsi="仿宋_GB2312" w:eastAsia="仿宋_GB2312"/>
          <w:spacing w:val="-6"/>
          <w:sz w:val="32"/>
          <w:lang w:eastAsia="zh-CN"/>
        </w:rPr>
        <w:t>行使</w:t>
      </w:r>
      <w:r>
        <w:rPr>
          <w:rFonts w:ascii="仿宋_GB2312" w:hAnsi="仿宋_GB2312" w:eastAsia="仿宋_GB2312"/>
          <w:spacing w:val="-6"/>
          <w:sz w:val="32"/>
        </w:rPr>
        <w:t>检察权；对公安机关侦查的案件进行审查，决定是否逮捕、起诉或者不起诉；对刑事案件提起公诉、支持公诉；对公安机关、人民法院和监狱、看守所、劳动改造机关的活动是否合法，实行监督。主要职能如下。</w:t>
      </w:r>
    </w:p>
    <w:p w14:paraId="0A4340FB">
      <w:pPr>
        <w:spacing w:line="580" w:lineRule="exact"/>
        <w:ind w:firstLine="640"/>
        <w:jc w:val="both"/>
      </w:pPr>
      <w:r>
        <w:rPr>
          <w:rFonts w:ascii="仿宋_GB2312" w:hAnsi="仿宋_GB2312" w:eastAsia="仿宋_GB2312"/>
          <w:sz w:val="32"/>
        </w:rPr>
        <w:t>（一）依法向县人民代表大会及其常务委员会报告工作，提出有关检察工作的议案。</w:t>
      </w:r>
    </w:p>
    <w:p w14:paraId="5276B927">
      <w:pPr>
        <w:spacing w:line="580" w:lineRule="exact"/>
        <w:ind w:firstLine="640"/>
        <w:jc w:val="both"/>
      </w:pPr>
      <w:r>
        <w:rPr>
          <w:rFonts w:ascii="仿宋_GB2312" w:hAnsi="仿宋_GB2312" w:eastAsia="仿宋_GB2312"/>
          <w:sz w:val="32"/>
        </w:rPr>
        <w:t>（二）贯彻执行上级人民检察院确定的检察工作方针，部署检察工作任务。</w:t>
      </w:r>
    </w:p>
    <w:p w14:paraId="67E42562">
      <w:pPr>
        <w:spacing w:line="580" w:lineRule="exact"/>
        <w:ind w:firstLine="640"/>
        <w:jc w:val="both"/>
      </w:pPr>
      <w:r>
        <w:rPr>
          <w:rFonts w:ascii="仿宋_GB2312" w:hAnsi="仿宋_GB2312" w:eastAsia="仿宋_GB2312"/>
          <w:sz w:val="32"/>
        </w:rPr>
        <w:t>（三）依法对全县刑事诉讼、民事裁判、行政诉讼和执行机关执行刑罚的活动是否合法实行法律监督。</w:t>
      </w:r>
    </w:p>
    <w:p w14:paraId="5DBAF8B4">
      <w:pPr>
        <w:spacing w:line="580" w:lineRule="exact"/>
        <w:ind w:firstLine="640"/>
        <w:jc w:val="both"/>
      </w:pPr>
      <w:r>
        <w:rPr>
          <w:rFonts w:ascii="仿宋_GB2312" w:hAnsi="仿宋_GB2312" w:eastAsia="仿宋_GB2312"/>
          <w:sz w:val="32"/>
        </w:rPr>
        <w:t>（四）受理单位和个人的报案、控告、申诉、举报及犯罪嫌疑人的自首，办理检察机关刑事赔偿事项。</w:t>
      </w:r>
    </w:p>
    <w:p w14:paraId="575789C6">
      <w:pPr>
        <w:spacing w:line="580" w:lineRule="exact"/>
        <w:ind w:firstLine="640"/>
        <w:jc w:val="both"/>
      </w:pPr>
      <w:r>
        <w:rPr>
          <w:rFonts w:ascii="仿宋_GB2312" w:hAnsi="仿宋_GB2312" w:eastAsia="仿宋_GB2312"/>
          <w:sz w:val="32"/>
        </w:rPr>
        <w:t>（五）对检察工作中具体应用法律进行研究，并向立法机关和上级检察机关提出立法和司法解释建议。</w:t>
      </w:r>
    </w:p>
    <w:p w14:paraId="23EACDD0">
      <w:pPr>
        <w:spacing w:line="580" w:lineRule="exact"/>
        <w:ind w:firstLine="640"/>
        <w:jc w:val="both"/>
      </w:pPr>
      <w:r>
        <w:rPr>
          <w:rFonts w:ascii="仿宋_GB2312" w:hAnsi="仿宋_GB2312" w:eastAsia="仿宋_GB2312"/>
          <w:sz w:val="32"/>
        </w:rPr>
        <w:t>（六）负责院机关队伍建设、</w:t>
      </w:r>
      <w:r>
        <w:rPr>
          <w:rFonts w:hint="eastAsia" w:ascii="仿宋_GB2312" w:hAnsi="仿宋_GB2312" w:eastAsia="仿宋_GB2312"/>
          <w:sz w:val="32"/>
          <w:lang w:eastAsia="zh-CN"/>
        </w:rPr>
        <w:t>思想政治工作</w:t>
      </w:r>
      <w:r>
        <w:rPr>
          <w:rFonts w:ascii="仿宋_GB2312" w:hAnsi="仿宋_GB2312" w:eastAsia="仿宋_GB2312"/>
          <w:sz w:val="32"/>
        </w:rPr>
        <w:t>；依法管理本院检察官及其他检察人员；负责本院检察宣传工作。</w:t>
      </w:r>
    </w:p>
    <w:p w14:paraId="2D24D36A">
      <w:pPr>
        <w:spacing w:line="580" w:lineRule="exact"/>
        <w:ind w:firstLine="640"/>
        <w:jc w:val="both"/>
      </w:pPr>
      <w:r>
        <w:rPr>
          <w:rFonts w:ascii="仿宋_GB2312" w:hAnsi="仿宋_GB2312" w:eastAsia="仿宋_GB2312"/>
          <w:sz w:val="32"/>
        </w:rPr>
        <w:t>（七）管理全院的计划财务和装备工作。</w:t>
      </w:r>
    </w:p>
    <w:p w14:paraId="087AAA9D">
      <w:pPr>
        <w:spacing w:line="580" w:lineRule="exact"/>
        <w:ind w:firstLine="640"/>
        <w:jc w:val="both"/>
      </w:pPr>
      <w:r>
        <w:rPr>
          <w:rFonts w:ascii="仿宋_GB2312" w:hAnsi="仿宋_GB2312" w:eastAsia="仿宋_GB2312"/>
          <w:sz w:val="32"/>
        </w:rPr>
        <w:t>（八）提请县人民代表大会常务委员会决定任免县人民检察院的副检察长、检察委员会委员、检察员。</w:t>
      </w:r>
    </w:p>
    <w:p w14:paraId="7DC5721C">
      <w:pPr>
        <w:spacing w:line="580" w:lineRule="exact"/>
        <w:ind w:firstLine="640"/>
        <w:jc w:val="both"/>
      </w:pPr>
      <w:r>
        <w:rPr>
          <w:rFonts w:ascii="仿宋_GB2312" w:hAnsi="仿宋_GB2312" w:eastAsia="仿宋_GB2312"/>
          <w:sz w:val="32"/>
        </w:rPr>
        <w:t>（九）组织开展全院检察干部教育培训工作。</w:t>
      </w:r>
    </w:p>
    <w:p w14:paraId="46399AD0">
      <w:pPr>
        <w:spacing w:line="580" w:lineRule="exact"/>
        <w:ind w:firstLine="640"/>
        <w:jc w:val="both"/>
      </w:pPr>
      <w:r>
        <w:rPr>
          <w:rFonts w:ascii="仿宋_GB2312" w:hAnsi="仿宋_GB2312" w:eastAsia="仿宋_GB2312"/>
          <w:sz w:val="32"/>
        </w:rPr>
        <w:t>（十）负责其他应当由县人民检察院承办的事项。</w:t>
      </w:r>
    </w:p>
    <w:p w14:paraId="2809C6CD">
      <w:pPr>
        <w:spacing w:line="640" w:lineRule="exact"/>
        <w:ind w:firstLine="640"/>
        <w:jc w:val="both"/>
        <w:outlineLvl w:val="2"/>
      </w:pPr>
      <w:r>
        <w:rPr>
          <w:rFonts w:ascii="黑体" w:hAnsi="黑体" w:eastAsia="黑体"/>
          <w:sz w:val="32"/>
        </w:rPr>
        <w:t>二、机构设置及人员情况</w:t>
      </w:r>
    </w:p>
    <w:p w14:paraId="69071A70">
      <w:pPr>
        <w:spacing w:line="580" w:lineRule="exact"/>
        <w:ind w:firstLine="640"/>
        <w:jc w:val="both"/>
      </w:pPr>
      <w:r>
        <w:rPr>
          <w:rFonts w:ascii="仿宋_GB2312" w:hAnsi="仿宋_GB2312" w:eastAsia="仿宋_GB2312"/>
          <w:sz w:val="32"/>
        </w:rPr>
        <w:t>木垒哈萨克自治县人民检察院2024年度，实有人数43人，其中：在职人员25人，增加0人；离休人员0人，增加0人；退休人员18人,减少1人。</w:t>
      </w:r>
    </w:p>
    <w:p w14:paraId="1F32ED58">
      <w:pPr>
        <w:spacing w:line="580" w:lineRule="exact"/>
        <w:ind w:firstLine="640"/>
        <w:jc w:val="both"/>
      </w:pPr>
      <w:r>
        <w:rPr>
          <w:rFonts w:ascii="仿宋_GB2312" w:hAnsi="仿宋_GB2312" w:eastAsia="仿宋_GB2312"/>
          <w:sz w:val="32"/>
        </w:rPr>
        <w:t>木垒哈萨克自治县人民检察院无下属预算单位，下设5个科室，分别是：办公室（</w:t>
      </w:r>
      <w:r>
        <w:rPr>
          <w:rFonts w:hint="eastAsia" w:ascii="仿宋_GB2312" w:hAnsi="仿宋_GB2312" w:eastAsia="仿宋_GB2312"/>
          <w:sz w:val="32"/>
          <w:lang w:eastAsia="zh-CN"/>
        </w:rPr>
        <w:t>司法警察大队</w:t>
      </w:r>
      <w:r>
        <w:rPr>
          <w:rFonts w:ascii="仿宋_GB2312" w:hAnsi="仿宋_GB2312" w:eastAsia="仿宋_GB2312"/>
          <w:sz w:val="32"/>
        </w:rPr>
        <w:t>）、政治部、第一检察部（对内称刑事犯罪与未成年人检察部）、第二检察部（对内称民事行政公益诉讼检察部）、第三检察部（综合检察业务部）。</w:t>
      </w:r>
    </w:p>
    <w:p w14:paraId="438AFC4D">
      <w:r>
        <w:br w:type="page"/>
      </w:r>
    </w:p>
    <w:p w14:paraId="71AB0F89">
      <w:pPr>
        <w:spacing w:line="240" w:lineRule="auto"/>
        <w:jc w:val="center"/>
        <w:outlineLvl w:val="1"/>
      </w:pPr>
      <w:r>
        <w:rPr>
          <w:rFonts w:ascii="黑体" w:hAnsi="黑体" w:eastAsia="黑体"/>
          <w:sz w:val="32"/>
        </w:rPr>
        <w:t>第二部分 部门决算情况说明</w:t>
      </w:r>
    </w:p>
    <w:p w14:paraId="3110D2CA">
      <w:pPr>
        <w:spacing w:line="640" w:lineRule="exact"/>
        <w:ind w:firstLine="640"/>
        <w:jc w:val="both"/>
        <w:outlineLvl w:val="2"/>
      </w:pPr>
      <w:r>
        <w:rPr>
          <w:rFonts w:ascii="黑体" w:hAnsi="黑体" w:eastAsia="黑体"/>
          <w:sz w:val="32"/>
        </w:rPr>
        <w:t>一、收入支出决算总体情况说明</w:t>
      </w:r>
    </w:p>
    <w:p w14:paraId="54BE11AC">
      <w:pPr>
        <w:spacing w:line="580" w:lineRule="exact"/>
        <w:ind w:firstLine="640"/>
        <w:jc w:val="both"/>
      </w:pPr>
      <w:r>
        <w:rPr>
          <w:rFonts w:ascii="仿宋_GB2312" w:hAnsi="仿宋_GB2312" w:eastAsia="仿宋_GB2312"/>
          <w:b/>
          <w:sz w:val="32"/>
        </w:rPr>
        <w:t>2024年度收入总计988.47万元，</w:t>
      </w:r>
      <w:r>
        <w:rPr>
          <w:rFonts w:ascii="仿宋_GB2312" w:hAnsi="仿宋_GB2312" w:eastAsia="仿宋_GB2312"/>
          <w:b w:val="0"/>
          <w:sz w:val="32"/>
        </w:rPr>
        <w:t>其中：本年收入合计988.47万元，使用非财政拨款结余（含专用结余）0.00万元，年初结转和结余0.00万元。</w:t>
      </w:r>
    </w:p>
    <w:p w14:paraId="6EFD2C4A">
      <w:pPr>
        <w:spacing w:line="580" w:lineRule="exact"/>
        <w:ind w:firstLine="640"/>
        <w:jc w:val="both"/>
      </w:pPr>
      <w:r>
        <w:rPr>
          <w:rFonts w:ascii="仿宋_GB2312" w:hAnsi="仿宋_GB2312" w:eastAsia="仿宋_GB2312"/>
          <w:b/>
          <w:sz w:val="32"/>
        </w:rPr>
        <w:t>2024年度支出总计988.47万元，</w:t>
      </w:r>
      <w:r>
        <w:rPr>
          <w:rFonts w:ascii="仿宋_GB2312" w:hAnsi="仿宋_GB2312" w:eastAsia="仿宋_GB2312"/>
          <w:b w:val="0"/>
          <w:sz w:val="32"/>
        </w:rPr>
        <w:t>其中：本年支出合计988.47万元，结余分配0.00万元，年末结转和结余0.00万元。</w:t>
      </w:r>
    </w:p>
    <w:p w14:paraId="33C762CA">
      <w:pPr>
        <w:spacing w:line="580" w:lineRule="exact"/>
        <w:ind w:firstLine="640"/>
        <w:jc w:val="both"/>
      </w:pPr>
      <w:r>
        <w:rPr>
          <w:rFonts w:ascii="仿宋_GB2312" w:hAnsi="仿宋_GB2312" w:eastAsia="仿宋_GB2312"/>
          <w:b w:val="0"/>
          <w:sz w:val="32"/>
        </w:rPr>
        <w:t>收入支出总体与上年相比，减少452.26万元，下降31.39%，主要原因是：本年减少化解“两房”债务项目、档案信息化管理服务项目、云桌面建设项目、业务费补助资金项目等。</w:t>
      </w:r>
    </w:p>
    <w:p w14:paraId="2D4D73BA">
      <w:pPr>
        <w:spacing w:line="640" w:lineRule="exact"/>
        <w:ind w:firstLine="640"/>
        <w:jc w:val="both"/>
        <w:outlineLvl w:val="2"/>
      </w:pPr>
      <w:r>
        <w:rPr>
          <w:rFonts w:ascii="黑体" w:hAnsi="黑体" w:eastAsia="黑体"/>
          <w:sz w:val="32"/>
        </w:rPr>
        <w:t>二、收入决算情况说明</w:t>
      </w:r>
    </w:p>
    <w:p w14:paraId="7D41F3FC">
      <w:pPr>
        <w:spacing w:line="580" w:lineRule="exact"/>
        <w:ind w:firstLine="640"/>
        <w:jc w:val="both"/>
      </w:pPr>
      <w:r>
        <w:rPr>
          <w:rFonts w:ascii="仿宋_GB2312" w:hAnsi="仿宋_GB2312" w:eastAsia="仿宋_GB2312"/>
          <w:b/>
          <w:sz w:val="32"/>
        </w:rPr>
        <w:t>本年收入988.47万元，</w:t>
      </w:r>
      <w:r>
        <w:rPr>
          <w:rFonts w:ascii="仿宋_GB2312" w:hAnsi="仿宋_GB2312" w:eastAsia="仿宋_GB2312"/>
          <w:b w:val="0"/>
          <w:sz w:val="32"/>
        </w:rPr>
        <w:t>其中：财政拨款收入928.47万元，占93.93%；上级补助收入0.00万元，占0.00%；事业收入0.00万元，占0.00%；经营收入0.00万元，占0.00%；附属单位上缴收入0.00万元，占0.00%；其他收入60.00万元，占6.07%。</w:t>
      </w:r>
    </w:p>
    <w:p w14:paraId="234446E1">
      <w:pPr>
        <w:spacing w:line="640" w:lineRule="exact"/>
        <w:ind w:firstLine="640"/>
        <w:jc w:val="both"/>
        <w:outlineLvl w:val="2"/>
      </w:pPr>
      <w:r>
        <w:rPr>
          <w:rFonts w:ascii="黑体" w:hAnsi="黑体" w:eastAsia="黑体"/>
          <w:sz w:val="32"/>
        </w:rPr>
        <w:t>三、支出决算情况说明</w:t>
      </w:r>
    </w:p>
    <w:p w14:paraId="1BC29393">
      <w:pPr>
        <w:spacing w:line="580" w:lineRule="exact"/>
        <w:ind w:firstLine="640"/>
        <w:jc w:val="both"/>
      </w:pPr>
      <w:r>
        <w:rPr>
          <w:rFonts w:ascii="仿宋_GB2312" w:hAnsi="仿宋_GB2312" w:eastAsia="仿宋_GB2312"/>
          <w:b/>
          <w:sz w:val="32"/>
        </w:rPr>
        <w:t>本年支出988.47万元，</w:t>
      </w:r>
      <w:r>
        <w:rPr>
          <w:rFonts w:ascii="仿宋_GB2312" w:hAnsi="仿宋_GB2312" w:eastAsia="仿宋_GB2312"/>
          <w:b w:val="0"/>
          <w:sz w:val="32"/>
        </w:rPr>
        <w:t>其中：基本支出762.47万元，占77.14%；项目支出226.00万元，占22.86%；上缴上级支出0.00万元，占0.00%；经营支出0.00万元，占0.00%；对附属单位补助支出0.00万元，占0.00%。</w:t>
      </w:r>
    </w:p>
    <w:p w14:paraId="3F6E983A">
      <w:pPr>
        <w:spacing w:line="640" w:lineRule="exact"/>
        <w:ind w:firstLine="640"/>
        <w:jc w:val="both"/>
        <w:outlineLvl w:val="2"/>
      </w:pPr>
      <w:r>
        <w:rPr>
          <w:rFonts w:ascii="黑体" w:hAnsi="黑体" w:eastAsia="黑体"/>
          <w:sz w:val="32"/>
        </w:rPr>
        <w:t>四、财政拨款收入支出决算总体情况说明</w:t>
      </w:r>
    </w:p>
    <w:p w14:paraId="61DDBC1C">
      <w:pPr>
        <w:spacing w:line="580" w:lineRule="exact"/>
        <w:ind w:firstLine="640"/>
        <w:jc w:val="both"/>
      </w:pPr>
      <w:r>
        <w:rPr>
          <w:rFonts w:ascii="仿宋_GB2312" w:hAnsi="仿宋_GB2312" w:eastAsia="仿宋_GB2312"/>
          <w:b/>
          <w:sz w:val="32"/>
        </w:rPr>
        <w:t>2024年度财政拨款收入总计928.47万元，</w:t>
      </w:r>
      <w:r>
        <w:rPr>
          <w:rFonts w:ascii="仿宋_GB2312" w:hAnsi="仿宋_GB2312" w:eastAsia="仿宋_GB2312"/>
          <w:b w:val="0"/>
          <w:sz w:val="32"/>
        </w:rPr>
        <w:t>其中：年初财政拨款结转和结余0.00万元，本年财政拨款收入928.47万元。</w:t>
      </w:r>
      <w:r>
        <w:rPr>
          <w:rFonts w:ascii="仿宋_GB2312" w:hAnsi="仿宋_GB2312" w:eastAsia="仿宋_GB2312"/>
          <w:b/>
          <w:sz w:val="32"/>
        </w:rPr>
        <w:t>财政拨款支出总计928.47万元，</w:t>
      </w:r>
      <w:r>
        <w:rPr>
          <w:rFonts w:ascii="仿宋_GB2312" w:hAnsi="仿宋_GB2312" w:eastAsia="仿宋_GB2312"/>
          <w:b w:val="0"/>
          <w:sz w:val="32"/>
        </w:rPr>
        <w:t>其中：年末财政拨款结转和结余0.00万元，本年财政拨款支出928.47万元。</w:t>
      </w:r>
    </w:p>
    <w:p w14:paraId="3ED57ED1">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减少512.26万元，下降35.56%，主要原因是：本年减少化解“两房”债务项目、档案信息化管理服务项目、云桌面建设项目、业务费补助资金项目等。</w:t>
      </w:r>
      <w:r>
        <w:rPr>
          <w:rFonts w:ascii="仿宋_GB2312" w:hAnsi="仿宋_GB2312" w:eastAsia="仿宋_GB2312"/>
          <w:b/>
          <w:sz w:val="32"/>
        </w:rPr>
        <w:t>与年初预算相比，</w:t>
      </w:r>
      <w:r>
        <w:rPr>
          <w:rFonts w:ascii="仿宋_GB2312" w:hAnsi="仿宋_GB2312" w:eastAsia="仿宋_GB2312"/>
          <w:b w:val="0"/>
          <w:sz w:val="32"/>
        </w:rPr>
        <w:t>年初预算数803.79万元，决算数928.47万元，预决算差异率15.51%，主要原因是：年中追加人员工资、社保、公积金基数调增部分资金，年中追加中央政法转移支付资金（第二批）、为民办实事经费项目，导致预决算存在差异。</w:t>
      </w:r>
    </w:p>
    <w:p w14:paraId="7E13CD4E">
      <w:pPr>
        <w:spacing w:line="640" w:lineRule="exact"/>
        <w:ind w:firstLine="640"/>
        <w:jc w:val="both"/>
        <w:outlineLvl w:val="2"/>
      </w:pPr>
      <w:r>
        <w:rPr>
          <w:rFonts w:ascii="黑体" w:hAnsi="黑体" w:eastAsia="黑体"/>
          <w:sz w:val="32"/>
        </w:rPr>
        <w:t>五、一般公共预算财政拨款支出决算情况说明</w:t>
      </w:r>
    </w:p>
    <w:p w14:paraId="1EB28680">
      <w:pPr>
        <w:spacing w:line="640" w:lineRule="exact"/>
        <w:ind w:firstLine="640"/>
        <w:jc w:val="both"/>
        <w:outlineLvl w:val="3"/>
      </w:pPr>
      <w:r>
        <w:rPr>
          <w:rFonts w:ascii="楷体_GB2312" w:hAnsi="楷体_GB2312" w:eastAsia="楷体_GB2312"/>
          <w:b/>
          <w:sz w:val="32"/>
        </w:rPr>
        <w:t>（一）一般公共预算财政拨款支出决算总体情况</w:t>
      </w:r>
    </w:p>
    <w:p w14:paraId="41EE9477">
      <w:pPr>
        <w:spacing w:line="580" w:lineRule="exact"/>
        <w:ind w:firstLine="640"/>
        <w:jc w:val="both"/>
      </w:pPr>
      <w:r>
        <w:rPr>
          <w:rFonts w:ascii="仿宋_GB2312" w:hAnsi="仿宋_GB2312" w:eastAsia="仿宋_GB2312"/>
          <w:b/>
          <w:sz w:val="32"/>
        </w:rPr>
        <w:t>2024年度一般公共预算财政拨款支出928.47万元，</w:t>
      </w:r>
      <w:r>
        <w:rPr>
          <w:rFonts w:ascii="仿宋_GB2312" w:hAnsi="仿宋_GB2312" w:eastAsia="仿宋_GB2312"/>
          <w:b w:val="0"/>
          <w:sz w:val="32"/>
        </w:rPr>
        <w:t>占本年支出合计的93.93%。</w:t>
      </w:r>
      <w:r>
        <w:rPr>
          <w:rFonts w:ascii="仿宋_GB2312" w:hAnsi="仿宋_GB2312" w:eastAsia="仿宋_GB2312"/>
          <w:b/>
          <w:sz w:val="32"/>
        </w:rPr>
        <w:t>与上年相比，</w:t>
      </w:r>
      <w:r>
        <w:rPr>
          <w:rFonts w:ascii="仿宋_GB2312" w:hAnsi="仿宋_GB2312" w:eastAsia="仿宋_GB2312"/>
          <w:b w:val="0"/>
          <w:sz w:val="32"/>
        </w:rPr>
        <w:t>减少512.26万元，下降35.56%，主要原因是：本年减少化解“两房”债务项目、档案信息化管理服务项目、云桌面建设项目、业务费补助资金项目等。</w:t>
      </w:r>
      <w:r>
        <w:rPr>
          <w:rFonts w:ascii="仿宋_GB2312" w:hAnsi="仿宋_GB2312" w:eastAsia="仿宋_GB2312"/>
          <w:b/>
          <w:sz w:val="32"/>
        </w:rPr>
        <w:t>与年初预算相比,</w:t>
      </w:r>
      <w:r>
        <w:rPr>
          <w:rFonts w:ascii="仿宋_GB2312" w:hAnsi="仿宋_GB2312" w:eastAsia="仿宋_GB2312"/>
          <w:b w:val="0"/>
          <w:sz w:val="32"/>
        </w:rPr>
        <w:t>年初预算数803.79万元，决算数928.47万元，预决算差异率15.51%，主要原因是：年中追加人员工资、社保、公积金基数调增部分资金，年中追加中央政法转移支付资金（第二批）、为民办实事经费项目，导致预决算存在差异。</w:t>
      </w:r>
    </w:p>
    <w:p w14:paraId="6A4C0D15">
      <w:pPr>
        <w:spacing w:line="640" w:lineRule="exact"/>
        <w:ind w:firstLine="640"/>
        <w:jc w:val="both"/>
        <w:outlineLvl w:val="3"/>
      </w:pPr>
      <w:r>
        <w:rPr>
          <w:rFonts w:ascii="楷体_GB2312" w:hAnsi="楷体_GB2312" w:eastAsia="楷体_GB2312"/>
          <w:b/>
          <w:sz w:val="32"/>
        </w:rPr>
        <w:t>（二）一般公共预算财政拨款支出决算结构情况</w:t>
      </w:r>
    </w:p>
    <w:p w14:paraId="3DDED926">
      <w:pPr>
        <w:spacing w:line="580" w:lineRule="exact"/>
        <w:ind w:firstLine="640"/>
        <w:jc w:val="both"/>
      </w:pPr>
      <w:r>
        <w:rPr>
          <w:rFonts w:ascii="仿宋_GB2312" w:hAnsi="仿宋_GB2312" w:eastAsia="仿宋_GB2312"/>
          <w:b w:val="0"/>
          <w:sz w:val="32"/>
        </w:rPr>
        <w:t>1.公共安全支出(类)765.27万元,占82.42%。</w:t>
      </w:r>
    </w:p>
    <w:p w14:paraId="006F260F">
      <w:pPr>
        <w:spacing w:line="580" w:lineRule="exact"/>
        <w:ind w:firstLine="640"/>
        <w:jc w:val="both"/>
      </w:pPr>
      <w:r>
        <w:rPr>
          <w:rFonts w:ascii="仿宋_GB2312" w:hAnsi="仿宋_GB2312" w:eastAsia="仿宋_GB2312"/>
          <w:b w:val="0"/>
          <w:sz w:val="32"/>
        </w:rPr>
        <w:t>2.社会保障和就业支出(类)89.07万元,占9.59%。</w:t>
      </w:r>
    </w:p>
    <w:p w14:paraId="4A57E56A">
      <w:pPr>
        <w:spacing w:line="580" w:lineRule="exact"/>
        <w:ind w:firstLine="640"/>
        <w:jc w:val="both"/>
      </w:pPr>
      <w:r>
        <w:rPr>
          <w:rFonts w:ascii="仿宋_GB2312" w:hAnsi="仿宋_GB2312" w:eastAsia="仿宋_GB2312"/>
          <w:b w:val="0"/>
          <w:sz w:val="32"/>
        </w:rPr>
        <w:t>3.卫生健康支出(类)27.10万元,占2.92%。</w:t>
      </w:r>
    </w:p>
    <w:p w14:paraId="02CB7A77">
      <w:pPr>
        <w:spacing w:line="580" w:lineRule="exact"/>
        <w:ind w:firstLine="640"/>
        <w:jc w:val="both"/>
      </w:pPr>
      <w:r>
        <w:rPr>
          <w:rFonts w:ascii="仿宋_GB2312" w:hAnsi="仿宋_GB2312" w:eastAsia="仿宋_GB2312"/>
          <w:b w:val="0"/>
          <w:sz w:val="32"/>
        </w:rPr>
        <w:t>4.住房保障支出(类)42.02万元,占4.53%。</w:t>
      </w:r>
    </w:p>
    <w:p w14:paraId="60A7EF94">
      <w:pPr>
        <w:spacing w:line="580" w:lineRule="exact"/>
        <w:ind w:firstLine="640"/>
        <w:jc w:val="both"/>
      </w:pPr>
      <w:r>
        <w:rPr>
          <w:rFonts w:ascii="仿宋_GB2312" w:hAnsi="仿宋_GB2312" w:eastAsia="仿宋_GB2312"/>
          <w:b w:val="0"/>
          <w:sz w:val="32"/>
        </w:rPr>
        <w:t>5.其他支出(类)5.00万元,占0.54%。</w:t>
      </w:r>
    </w:p>
    <w:p w14:paraId="5A4B4DED">
      <w:pPr>
        <w:spacing w:line="640" w:lineRule="exact"/>
        <w:ind w:firstLine="640"/>
        <w:jc w:val="both"/>
        <w:outlineLvl w:val="3"/>
      </w:pPr>
      <w:r>
        <w:rPr>
          <w:rFonts w:ascii="楷体_GB2312" w:hAnsi="楷体_GB2312" w:eastAsia="楷体_GB2312"/>
          <w:b/>
          <w:sz w:val="32"/>
        </w:rPr>
        <w:t>（三）一般公共预算财政拨款支出决算具体情况</w:t>
      </w:r>
    </w:p>
    <w:p w14:paraId="7BB3952E">
      <w:pPr>
        <w:spacing w:line="580" w:lineRule="exact"/>
        <w:ind w:firstLine="640"/>
        <w:jc w:val="both"/>
        <w:rPr>
          <w:spacing w:val="-6"/>
          <w:sz w:val="32"/>
        </w:rPr>
      </w:pPr>
      <w:r>
        <w:rPr>
          <w:rFonts w:ascii="仿宋_GB2312" w:hAnsi="仿宋_GB2312" w:eastAsia="仿宋_GB2312"/>
          <w:b w:val="0"/>
          <w:spacing w:val="-6"/>
          <w:sz w:val="32"/>
        </w:rPr>
        <w:t>1.公共安全支出(类)检察(款)行政运行(项):支出决算数为604.27万元，比上年决算增加68.22万元，增长12.73%,主要原因是：本年在职人员工资调增，导致相关人员经费较上年有所增加。</w:t>
      </w:r>
    </w:p>
    <w:p w14:paraId="215AFB7E">
      <w:pPr>
        <w:spacing w:line="580" w:lineRule="exact"/>
        <w:ind w:firstLine="640"/>
        <w:jc w:val="both"/>
      </w:pPr>
      <w:r>
        <w:rPr>
          <w:rFonts w:ascii="仿宋_GB2312" w:hAnsi="仿宋_GB2312" w:eastAsia="仿宋_GB2312"/>
          <w:b w:val="0"/>
          <w:sz w:val="32"/>
        </w:rPr>
        <w:t>2.公共安全支出(类)检察(款)一般行政管理事务(项):支出决算数为0.00万元，比上年决算减少476.43万元，下降100.00%,主要原因是：本年减少化解“两房”债务项目。</w:t>
      </w:r>
    </w:p>
    <w:p w14:paraId="1509CBB3">
      <w:pPr>
        <w:spacing w:line="580" w:lineRule="exact"/>
        <w:ind w:firstLine="640"/>
        <w:jc w:val="both"/>
      </w:pPr>
      <w:r>
        <w:rPr>
          <w:rFonts w:ascii="仿宋_GB2312" w:hAnsi="仿宋_GB2312" w:eastAsia="仿宋_GB2312"/>
          <w:b w:val="0"/>
          <w:sz w:val="32"/>
        </w:rPr>
        <w:t>3.公共安全支出(类)检察(款)其他检察支出(项):支出决算数为161.00万元，比上年决算减少106.80万元，下降39.88%,主要原因是：本年减少档案信息化管理服务项目、云桌面建设项目、业务费补助资金项目等。</w:t>
      </w:r>
    </w:p>
    <w:p w14:paraId="4D8B6DD8">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4.社会保障和就业支出(类)行政事业单位养老支出(款)行政单位离退休(项):支出决算数为12.30万元，比上年决算增加4.45万元，增长56.69%,主要原因是：本年增加退休人员基础绩效奖，退休费支出增加。</w:t>
      </w:r>
    </w:p>
    <w:p w14:paraId="0A2FC0F5">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50.00万元，比上年决算增加3.56万元，增长7.67%,主要原因是：本年在职人员工资基数调增，养老缴费基数上涨，相应支出增加。</w:t>
      </w:r>
    </w:p>
    <w:p w14:paraId="2140BD3D">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6.社会保障和就业支出(类)行政事业单位养老支出(款)机关事业单位职业年金缴费支出(项):支出决算数为26.77万元，比上年决算增加2.86万元，增长11.96%,主要原因是：本年</w:t>
      </w:r>
      <w:r>
        <w:rPr>
          <w:rFonts w:hint="eastAsia" w:ascii="仿宋_GB2312" w:hAnsi="仿宋_GB2312" w:eastAsia="仿宋_GB2312"/>
          <w:b w:val="0"/>
          <w:sz w:val="32"/>
          <w:lang w:val="en-US" w:eastAsia="zh-CN"/>
        </w:rPr>
        <w:t>在职人员工资调增</w:t>
      </w:r>
      <w:r>
        <w:rPr>
          <w:rFonts w:ascii="仿宋_GB2312" w:hAnsi="仿宋_GB2312" w:eastAsia="仿宋_GB2312"/>
          <w:b w:val="0"/>
          <w:sz w:val="32"/>
        </w:rPr>
        <w:t>，职业年金缴费支出增加。</w:t>
      </w:r>
    </w:p>
    <w:p w14:paraId="7C0632C4">
      <w:pPr>
        <w:spacing w:line="580" w:lineRule="exact"/>
        <w:ind w:firstLine="640"/>
        <w:jc w:val="both"/>
      </w:pPr>
      <w:r>
        <w:rPr>
          <w:rFonts w:ascii="仿宋_GB2312" w:hAnsi="仿宋_GB2312" w:eastAsia="仿宋_GB2312"/>
          <w:b w:val="0"/>
          <w:sz w:val="32"/>
        </w:rPr>
        <w:t>7.卫生健康支出(类)行政事业单位医疗(款)行政单位医疗(项):支出决算数为25.45万元，比上年决算增加1.57万元，增长6.57%,主要原因是：本年在职人员工资基数调增，医疗缴费基数上涨，相应支出增加。</w:t>
      </w:r>
    </w:p>
    <w:p w14:paraId="559A2993">
      <w:pPr>
        <w:spacing w:line="580" w:lineRule="exact"/>
        <w:ind w:firstLine="640"/>
        <w:jc w:val="both"/>
      </w:pPr>
      <w:r>
        <w:rPr>
          <w:rFonts w:ascii="仿宋_GB2312" w:hAnsi="仿宋_GB2312" w:eastAsia="仿宋_GB2312"/>
          <w:b w:val="0"/>
          <w:sz w:val="32"/>
        </w:rPr>
        <w:t>8.卫生健康支出(类)行政事业单位医疗(款)公务员医疗补助(项):支出决算数为1.39万元，比上年决算减少0.10万元，下降6.71%,主要原因是：本年在职人员调入调出，人员职级不同，缴费基数不同，导致公务员医疗补助较上年减少。</w:t>
      </w:r>
    </w:p>
    <w:p w14:paraId="41498601">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9.卫生健康支出(类)行政事业单位医疗(款)其他行政事业单位医疗支出(项):支出决算数为0.26万元，比上年决算增加0.01万元，增长4.00%,主要原因是：本年在职人员工资基数调增，医疗缴费基数上涨，相应支出增加。</w:t>
      </w:r>
    </w:p>
    <w:p w14:paraId="06B2BD32">
      <w:pPr>
        <w:spacing w:line="580" w:lineRule="exact"/>
        <w:ind w:firstLine="640"/>
        <w:jc w:val="both"/>
      </w:pPr>
      <w:r>
        <w:rPr>
          <w:rFonts w:ascii="仿宋_GB2312" w:hAnsi="仿宋_GB2312" w:eastAsia="仿宋_GB2312"/>
          <w:b w:val="0"/>
          <w:sz w:val="32"/>
        </w:rPr>
        <w:t>10.住房保障支出(类)住房改革支出(款)住房公积金(项):支出决算数为42.02万元，比上年决算增加1.80万元，增长4.48%,主要原因是：本年在职人员工资基数调增，公积金缴费基数上涨，相应支出增加。</w:t>
      </w:r>
    </w:p>
    <w:p w14:paraId="7CEE136C">
      <w:pPr>
        <w:spacing w:line="580" w:lineRule="exact"/>
        <w:ind w:firstLine="640"/>
        <w:jc w:val="both"/>
      </w:pPr>
      <w:r>
        <w:rPr>
          <w:rFonts w:ascii="仿宋_GB2312" w:hAnsi="仿宋_GB2312" w:eastAsia="仿宋_GB2312"/>
          <w:b w:val="0"/>
          <w:sz w:val="32"/>
        </w:rPr>
        <w:t>11.其他支出(类)其他支出(款)其他支出(项):支出决算数为5.00万元，比上年决算减少11.41万元，下降69.53%,主要原因是：本年</w:t>
      </w:r>
      <w:r>
        <w:rPr>
          <w:rFonts w:hint="eastAsia" w:ascii="仿宋_GB2312" w:hAnsi="仿宋_GB2312" w:eastAsia="仿宋_GB2312"/>
          <w:b w:val="0"/>
          <w:sz w:val="32"/>
          <w:lang w:val="en-US" w:eastAsia="zh-CN"/>
        </w:rPr>
        <w:t>为民办实事</w:t>
      </w:r>
      <w:r>
        <w:rPr>
          <w:rFonts w:ascii="仿宋_GB2312" w:hAnsi="仿宋_GB2312" w:eastAsia="仿宋_GB2312"/>
          <w:b w:val="0"/>
          <w:sz w:val="32"/>
        </w:rPr>
        <w:t>工作队撤回单位，人员补助经费减少。</w:t>
      </w:r>
    </w:p>
    <w:p w14:paraId="3EFF7FD3">
      <w:pPr>
        <w:spacing w:line="640" w:lineRule="exact"/>
        <w:ind w:firstLine="640"/>
        <w:jc w:val="both"/>
        <w:outlineLvl w:val="2"/>
      </w:pPr>
      <w:r>
        <w:rPr>
          <w:rFonts w:ascii="黑体" w:hAnsi="黑体" w:eastAsia="黑体"/>
          <w:sz w:val="32"/>
        </w:rPr>
        <w:t>六、一般公共预算财政拨款基本支出决算情况说明</w:t>
      </w:r>
    </w:p>
    <w:p w14:paraId="135F21A3">
      <w:pPr>
        <w:spacing w:line="580" w:lineRule="exact"/>
        <w:ind w:firstLine="640"/>
        <w:jc w:val="both"/>
      </w:pPr>
      <w:r>
        <w:rPr>
          <w:rFonts w:ascii="仿宋_GB2312" w:hAnsi="仿宋_GB2312" w:eastAsia="仿宋_GB2312"/>
          <w:b w:val="0"/>
          <w:sz w:val="32"/>
        </w:rPr>
        <w:t>2024年度一般公共预算财政拨款基本支出762.47万元，其中：</w:t>
      </w:r>
      <w:r>
        <w:rPr>
          <w:rFonts w:ascii="仿宋_GB2312" w:hAnsi="仿宋_GB2312" w:eastAsia="仿宋_GB2312"/>
          <w:b/>
          <w:sz w:val="32"/>
        </w:rPr>
        <w:t>人员经费687.81万元，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奖励金。</w:t>
      </w:r>
    </w:p>
    <w:p w14:paraId="65B1EF42">
      <w:pPr>
        <w:spacing w:line="580" w:lineRule="exact"/>
        <w:ind w:firstLine="640"/>
        <w:jc w:val="both"/>
      </w:pPr>
      <w:r>
        <w:rPr>
          <w:rFonts w:ascii="仿宋_GB2312" w:hAnsi="仿宋_GB2312" w:eastAsia="仿宋_GB2312"/>
          <w:b/>
          <w:sz w:val="32"/>
        </w:rPr>
        <w:t>公用经费74.66万元，</w:t>
      </w:r>
      <w:r>
        <w:rPr>
          <w:rFonts w:ascii="仿宋_GB2312" w:hAnsi="仿宋_GB2312" w:eastAsia="仿宋_GB2312"/>
          <w:b w:val="0"/>
          <w:sz w:val="32"/>
        </w:rPr>
        <w:t>包括：办公费、水费、电费、取暖费、物业管理费、差旅费、维修（护）费、租赁费、公务接待费、劳务费、工会经费、福利费、公务用车运行维护费、其他商品和服务支出。</w:t>
      </w:r>
    </w:p>
    <w:p w14:paraId="466B2D80">
      <w:pPr>
        <w:spacing w:line="640" w:lineRule="exact"/>
        <w:ind w:firstLine="640"/>
        <w:jc w:val="both"/>
        <w:outlineLvl w:val="2"/>
      </w:pPr>
      <w:r>
        <w:rPr>
          <w:rFonts w:ascii="黑体" w:hAnsi="黑体" w:eastAsia="黑体"/>
          <w:sz w:val="32"/>
        </w:rPr>
        <w:t>七、政府性基金预算财政拨款收入支出决算情况说明</w:t>
      </w:r>
    </w:p>
    <w:p w14:paraId="4DF8D11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AFE0C7C">
      <w:pPr>
        <w:spacing w:line="640" w:lineRule="exact"/>
        <w:ind w:firstLine="640"/>
        <w:jc w:val="both"/>
        <w:outlineLvl w:val="2"/>
      </w:pPr>
      <w:r>
        <w:rPr>
          <w:rFonts w:ascii="黑体" w:hAnsi="黑体" w:eastAsia="黑体"/>
          <w:sz w:val="32"/>
        </w:rPr>
        <w:t>八、国有资本经营预算财政拨款收入支出决算情况说明</w:t>
      </w:r>
    </w:p>
    <w:p w14:paraId="609EFCC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F0EF613">
      <w:pPr>
        <w:spacing w:line="640" w:lineRule="exact"/>
        <w:ind w:firstLine="640"/>
        <w:jc w:val="both"/>
        <w:outlineLvl w:val="2"/>
      </w:pPr>
      <w:r>
        <w:rPr>
          <w:rFonts w:ascii="黑体" w:hAnsi="黑体" w:eastAsia="黑体"/>
          <w:sz w:val="32"/>
        </w:rPr>
        <w:t>九、财政拨款“三公”经费支出决算情况说明</w:t>
      </w:r>
    </w:p>
    <w:p w14:paraId="2E7A65E7">
      <w:pPr>
        <w:spacing w:line="580" w:lineRule="exact"/>
        <w:ind w:firstLine="640"/>
        <w:jc w:val="both"/>
      </w:pPr>
      <w:r>
        <w:rPr>
          <w:rFonts w:ascii="仿宋_GB2312" w:hAnsi="仿宋_GB2312" w:eastAsia="仿宋_GB2312"/>
          <w:b/>
          <w:sz w:val="32"/>
        </w:rPr>
        <w:t>2024年度财政拨款“三公”经费支出21.76万元，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hint="eastAsia" w:ascii="仿宋_GB2312" w:hAnsi="仿宋_GB2312" w:eastAsia="仿宋_GB2312"/>
          <w:b w:val="0"/>
          <w:sz w:val="32"/>
          <w:lang w:val="en-US" w:eastAsia="zh-CN"/>
        </w:rPr>
        <w:t>财政拨款</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20.76万元，占95.40%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公务用车运行维护费与上年一致无变化。公务接待费支出1.00万元，占4.60%，比上年增加0.00万元，增长0.00%，主要原因是：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公务接待费与上年一致无变化。</w:t>
      </w:r>
    </w:p>
    <w:p w14:paraId="557116B6">
      <w:pPr>
        <w:spacing w:line="580" w:lineRule="exact"/>
        <w:ind w:firstLine="640"/>
        <w:jc w:val="both"/>
      </w:pPr>
      <w:r>
        <w:rPr>
          <w:rFonts w:ascii="仿宋_GB2312" w:hAnsi="仿宋_GB2312" w:eastAsia="仿宋_GB2312"/>
          <w:b/>
          <w:sz w:val="32"/>
        </w:rPr>
        <w:t>具体情况如下：</w:t>
      </w:r>
    </w:p>
    <w:p w14:paraId="3645CF05">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E1A6203">
      <w:pPr>
        <w:spacing w:line="580" w:lineRule="exact"/>
        <w:ind w:firstLine="640"/>
        <w:jc w:val="both"/>
      </w:pPr>
      <w:r>
        <w:rPr>
          <w:rFonts w:ascii="仿宋_GB2312" w:hAnsi="仿宋_GB2312" w:eastAsia="仿宋_GB2312"/>
          <w:b w:val="0"/>
          <w:sz w:val="32"/>
        </w:rPr>
        <w:t>公务用车购置及运行维护费20.76万元，其中：公务用车购置费0.00万元，公务用车运行维护费20.76万元。公务用车运行维护费开支内容包括车辆加油费、维修费、保险费、审车费、过路费等。公务用车购置数0辆，公务用车保有量6辆。国有资产占用情况中固定资产车辆6辆，与公务用车保有量差异原因是：本单位固定资产车辆与公务用车保有量一致无差异。</w:t>
      </w:r>
    </w:p>
    <w:p w14:paraId="495DBF08">
      <w:pPr>
        <w:spacing w:line="580" w:lineRule="exact"/>
        <w:ind w:firstLine="640"/>
        <w:jc w:val="both"/>
      </w:pPr>
      <w:r>
        <w:rPr>
          <w:rFonts w:ascii="仿宋_GB2312" w:hAnsi="仿宋_GB2312" w:eastAsia="仿宋_GB2312"/>
          <w:b w:val="0"/>
          <w:sz w:val="32"/>
        </w:rPr>
        <w:t>公务接待费1.00万元，开支内容包括接待福建援疆对口帮扶单位考察学习产生的就餐费。单位全年安排的国内公务接待8批次，112人次。</w:t>
      </w:r>
    </w:p>
    <w:p w14:paraId="7591AA7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21.76万元，决算数21.76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20.76万元，决算数20.76万元，预决算差异率0.00%，主要原因是：严格按照预算执行，预决算无差异。公务接待费全年预算数1.00万元，决算数1.00万元，预决算差异率0.00%，主要原因是：严格按照预算执行，预决算无差异。</w:t>
      </w:r>
    </w:p>
    <w:p w14:paraId="012E24F5">
      <w:pPr>
        <w:spacing w:line="640" w:lineRule="exact"/>
        <w:ind w:firstLine="640"/>
        <w:jc w:val="both"/>
        <w:outlineLvl w:val="2"/>
      </w:pPr>
      <w:r>
        <w:rPr>
          <w:rFonts w:ascii="黑体" w:hAnsi="黑体" w:eastAsia="黑体"/>
          <w:sz w:val="32"/>
        </w:rPr>
        <w:t>十、其他重要事项的情况说明</w:t>
      </w:r>
    </w:p>
    <w:p w14:paraId="6216920B">
      <w:pPr>
        <w:spacing w:line="640" w:lineRule="exact"/>
        <w:ind w:firstLine="640"/>
        <w:jc w:val="both"/>
        <w:outlineLvl w:val="3"/>
      </w:pPr>
      <w:r>
        <w:rPr>
          <w:rFonts w:ascii="楷体_GB2312" w:hAnsi="楷体_GB2312" w:eastAsia="楷体_GB2312"/>
          <w:b/>
          <w:sz w:val="32"/>
        </w:rPr>
        <w:t>（一）机关运行经费及公用经费支出情况</w:t>
      </w:r>
    </w:p>
    <w:p w14:paraId="0290135F">
      <w:pPr>
        <w:spacing w:line="580" w:lineRule="exact"/>
        <w:ind w:firstLine="640"/>
        <w:jc w:val="both"/>
      </w:pPr>
      <w:r>
        <w:rPr>
          <w:rFonts w:ascii="仿宋_GB2312" w:hAnsi="仿宋_GB2312" w:eastAsia="仿宋_GB2312"/>
          <w:b w:val="0"/>
          <w:sz w:val="32"/>
        </w:rPr>
        <w:t>2024年度木垒哈萨克自治县人民检察院（行政单位和参照公务员法管理事业单位）机关运行经费支出74.66万元，比上年增加0.40万元，增长0.54%，主要原因是：本年更新、维护补充办公用品，导致机关运行经费较上年增加。</w:t>
      </w:r>
    </w:p>
    <w:p w14:paraId="52A37B4B">
      <w:pPr>
        <w:spacing w:line="640" w:lineRule="exact"/>
        <w:ind w:firstLine="640"/>
        <w:jc w:val="both"/>
        <w:outlineLvl w:val="3"/>
      </w:pPr>
      <w:r>
        <w:rPr>
          <w:rFonts w:ascii="楷体_GB2312" w:hAnsi="楷体_GB2312" w:eastAsia="楷体_GB2312"/>
          <w:b/>
          <w:sz w:val="32"/>
        </w:rPr>
        <w:t>（二）政府采购情况</w:t>
      </w:r>
    </w:p>
    <w:p w14:paraId="1390A6FD">
      <w:pPr>
        <w:spacing w:line="580" w:lineRule="exact"/>
        <w:ind w:firstLine="640"/>
        <w:jc w:val="both"/>
      </w:pPr>
      <w:r>
        <w:rPr>
          <w:rFonts w:ascii="仿宋_GB2312" w:hAnsi="仿宋_GB2312" w:eastAsia="仿宋_GB2312"/>
          <w:b w:val="0"/>
          <w:sz w:val="32"/>
        </w:rPr>
        <w:t>2024年度政府采购支出总额112.18万元，其中：政府采购货物支出46.41万元、政府采购工程支出0.00万元、政府采购服务支出65.76万元。</w:t>
      </w:r>
    </w:p>
    <w:p w14:paraId="534D7A8A">
      <w:pPr>
        <w:spacing w:line="580" w:lineRule="exact"/>
        <w:ind w:firstLine="640"/>
        <w:jc w:val="both"/>
      </w:pPr>
      <w:r>
        <w:rPr>
          <w:rFonts w:ascii="仿宋_GB2312" w:hAnsi="仿宋_GB2312" w:eastAsia="仿宋_GB2312"/>
          <w:b w:val="0"/>
          <w:sz w:val="32"/>
        </w:rPr>
        <w:t>授予中小企业合同金额95.88万元，占政府采购支出总额的85.47%，其中：授予小微企业合同金额95.88万元，占政府采购支出总额的85.47%。</w:t>
      </w:r>
    </w:p>
    <w:p w14:paraId="2FA08C4B">
      <w:pPr>
        <w:spacing w:line="640" w:lineRule="exact"/>
        <w:ind w:firstLine="640"/>
        <w:jc w:val="both"/>
        <w:outlineLvl w:val="3"/>
      </w:pPr>
      <w:r>
        <w:rPr>
          <w:rFonts w:ascii="楷体_GB2312" w:hAnsi="楷体_GB2312" w:eastAsia="楷体_GB2312"/>
          <w:b/>
          <w:sz w:val="32"/>
        </w:rPr>
        <w:t>（三）国有资产占用情况说明</w:t>
      </w:r>
    </w:p>
    <w:p w14:paraId="2AF4E23D">
      <w:pPr>
        <w:spacing w:line="580" w:lineRule="exact"/>
        <w:ind w:firstLine="640"/>
        <w:jc w:val="both"/>
      </w:pPr>
      <w:r>
        <w:rPr>
          <w:rFonts w:ascii="仿宋_GB2312" w:hAnsi="仿宋_GB2312" w:eastAsia="仿宋_GB2312"/>
          <w:b w:val="0"/>
          <w:sz w:val="32"/>
        </w:rPr>
        <w:t>截至2024年12月31日，房屋4,835.11平方米，价值2,000.26万元。车辆6辆，价值109.24万元，其中：副部（省）级及以上领导用车0辆、主要负责人用车0辆、机要通信用车0辆、应急保障用车0辆、执法执勤用车5辆、特种专业技术用车0辆、离退休干部服务用车0辆、其他用车1辆，其他用车主要是：</w:t>
      </w:r>
      <w:r>
        <w:rPr>
          <w:rFonts w:hint="eastAsia" w:ascii="仿宋_GB2312" w:hAnsi="仿宋_GB2312" w:eastAsia="仿宋_GB2312"/>
          <w:b w:val="0"/>
          <w:sz w:val="32"/>
          <w:lang w:val="en-US" w:eastAsia="zh-CN"/>
        </w:rPr>
        <w:t>一般公务用车</w:t>
      </w:r>
      <w:r>
        <w:rPr>
          <w:rFonts w:ascii="仿宋_GB2312" w:hAnsi="仿宋_GB2312" w:eastAsia="仿宋_GB2312"/>
          <w:b w:val="0"/>
          <w:sz w:val="32"/>
        </w:rPr>
        <w:t>。单价100万元（含）以上设备（不含车辆）0台（套）。</w:t>
      </w:r>
    </w:p>
    <w:p w14:paraId="411CD26F">
      <w:pPr>
        <w:spacing w:line="640" w:lineRule="exact"/>
        <w:ind w:firstLine="640"/>
        <w:jc w:val="both"/>
        <w:outlineLvl w:val="2"/>
      </w:pPr>
      <w:r>
        <w:rPr>
          <w:rFonts w:ascii="黑体" w:hAnsi="黑体" w:eastAsia="黑体"/>
          <w:sz w:val="32"/>
        </w:rPr>
        <w:t>十一、预算绩效的情况说明</w:t>
      </w:r>
    </w:p>
    <w:p w14:paraId="12212DF9">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根据预算绩效管理要求，本单位2024年度预算绩效管理形成整体支出绩效自评表1个，全年预算总额988.47万元，实际执行总额988.47万元；预算绩效评价项目</w:t>
      </w:r>
      <w:r>
        <w:rPr>
          <w:rFonts w:hint="eastAsia" w:ascii="仿宋_GB2312" w:hAnsi="仿宋_GB2312" w:eastAsia="仿宋_GB2312"/>
          <w:b w:val="0"/>
          <w:sz w:val="32"/>
          <w:lang w:val="en-US" w:eastAsia="zh-CN"/>
        </w:rPr>
        <w:t>2</w:t>
      </w:r>
      <w:r>
        <w:rPr>
          <w:rFonts w:ascii="仿宋_GB2312" w:hAnsi="仿宋_GB2312" w:eastAsia="仿宋_GB2312"/>
          <w:b w:val="0"/>
          <w:sz w:val="32"/>
        </w:rPr>
        <w:t>个，全年预算数</w:t>
      </w:r>
      <w:r>
        <w:rPr>
          <w:rFonts w:hint="eastAsia" w:ascii="仿宋_GB2312" w:hAnsi="仿宋_GB2312" w:eastAsia="仿宋_GB2312"/>
          <w:b w:val="0"/>
          <w:sz w:val="32"/>
        </w:rPr>
        <w:t>226</w:t>
      </w:r>
      <w:r>
        <w:rPr>
          <w:rFonts w:hint="eastAsia" w:ascii="仿宋_GB2312" w:hAnsi="仿宋_GB2312" w:eastAsia="仿宋_GB2312"/>
          <w:b w:val="0"/>
          <w:sz w:val="32"/>
          <w:lang w:val="en-US" w:eastAsia="zh-CN"/>
        </w:rPr>
        <w:t>.00</w:t>
      </w:r>
      <w:r>
        <w:rPr>
          <w:rFonts w:ascii="仿宋_GB2312" w:hAnsi="仿宋_GB2312" w:eastAsia="仿宋_GB2312"/>
          <w:b w:val="0"/>
          <w:sz w:val="32"/>
        </w:rPr>
        <w:t>万元，全年执行数</w:t>
      </w:r>
      <w:r>
        <w:rPr>
          <w:rFonts w:hint="eastAsia" w:ascii="仿宋_GB2312" w:hAnsi="仿宋_GB2312" w:eastAsia="仿宋_GB2312"/>
          <w:b w:val="0"/>
          <w:sz w:val="32"/>
        </w:rPr>
        <w:t>226</w:t>
      </w:r>
      <w:r>
        <w:rPr>
          <w:rFonts w:hint="eastAsia" w:ascii="仿宋_GB2312" w:hAnsi="仿宋_GB2312" w:eastAsia="仿宋_GB2312"/>
          <w:b w:val="0"/>
          <w:sz w:val="32"/>
          <w:lang w:val="en-US" w:eastAsia="zh-CN"/>
        </w:rPr>
        <w:t>.00</w:t>
      </w:r>
      <w:r>
        <w:rPr>
          <w:rFonts w:ascii="仿宋_GB2312" w:hAnsi="仿宋_GB2312" w:eastAsia="仿宋_GB2312"/>
          <w:b w:val="0"/>
          <w:sz w:val="32"/>
        </w:rPr>
        <w:t>万元。预算绩效管理取得的成效：一是本单位以绩效目标实现为导向，加强制度建设，提升预算执行质量，预算绩效管理取得一定成效。预算绩效管理</w:t>
      </w:r>
      <w:r>
        <w:rPr>
          <w:rFonts w:hint="eastAsia" w:ascii="仿宋_GB2312" w:hAnsi="仿宋_GB2312" w:eastAsia="仿宋_GB2312"/>
          <w:b w:val="0"/>
          <w:sz w:val="32"/>
          <w:lang w:eastAsia="zh-CN"/>
        </w:rPr>
        <w:t>取得</w:t>
      </w:r>
      <w:r>
        <w:rPr>
          <w:rFonts w:ascii="仿宋_GB2312" w:hAnsi="仿宋_GB2312" w:eastAsia="仿宋_GB2312"/>
          <w:b w:val="0"/>
          <w:sz w:val="32"/>
        </w:rPr>
        <w:t>成效，科学制定目标，促进绩效目标顺利实现。二是自落实预算绩效管理工作以来，本单位在项目资金的使用</w:t>
      </w:r>
      <w:r>
        <w:rPr>
          <w:rFonts w:hint="eastAsia" w:ascii="仿宋_GB2312" w:hAnsi="仿宋_GB2312" w:eastAsia="仿宋_GB2312"/>
          <w:b w:val="0"/>
          <w:sz w:val="32"/>
          <w:lang w:eastAsia="zh-CN"/>
        </w:rPr>
        <w:t>上</w:t>
      </w:r>
      <w:r>
        <w:rPr>
          <w:rFonts w:ascii="仿宋_GB2312" w:hAnsi="仿宋_GB2312" w:eastAsia="仿宋_GB2312"/>
          <w:b w:val="0"/>
          <w:sz w:val="32"/>
        </w:rPr>
        <w:t>有了</w:t>
      </w:r>
      <w:r>
        <w:rPr>
          <w:rFonts w:hint="eastAsia" w:ascii="仿宋_GB2312" w:hAnsi="仿宋_GB2312" w:eastAsia="仿宋_GB2312"/>
          <w:b w:val="0"/>
          <w:sz w:val="32"/>
          <w:lang w:eastAsia="zh-CN"/>
        </w:rPr>
        <w:t>更加</w:t>
      </w:r>
      <w:r>
        <w:rPr>
          <w:rFonts w:ascii="仿宋_GB2312" w:hAnsi="仿宋_GB2312" w:eastAsia="仿宋_GB2312"/>
          <w:b w:val="0"/>
          <w:sz w:val="32"/>
        </w:rPr>
        <w:t>明确、</w:t>
      </w:r>
      <w:r>
        <w:rPr>
          <w:rFonts w:hint="eastAsia" w:ascii="仿宋_GB2312" w:hAnsi="仿宋_GB2312" w:eastAsia="仿宋_GB2312"/>
          <w:b w:val="0"/>
          <w:sz w:val="32"/>
          <w:lang w:eastAsia="zh-CN"/>
        </w:rPr>
        <w:t>更加</w:t>
      </w:r>
      <w:r>
        <w:rPr>
          <w:rFonts w:ascii="仿宋_GB2312" w:hAnsi="仿宋_GB2312" w:eastAsia="仿宋_GB2312"/>
          <w:b w:val="0"/>
          <w:sz w:val="32"/>
        </w:rPr>
        <w:t>清晰</w:t>
      </w:r>
      <w:r>
        <w:rPr>
          <w:rFonts w:hint="eastAsia" w:ascii="仿宋_GB2312" w:hAnsi="仿宋_GB2312" w:eastAsia="仿宋_GB2312"/>
          <w:b w:val="0"/>
          <w:sz w:val="32"/>
          <w:lang w:eastAsia="zh-CN"/>
        </w:rPr>
        <w:t>地</w:t>
      </w:r>
      <w:r>
        <w:rPr>
          <w:rFonts w:ascii="仿宋_GB2312" w:hAnsi="仿宋_GB2312" w:eastAsia="仿宋_GB2312"/>
          <w:b w:val="0"/>
          <w:sz w:val="32"/>
        </w:rPr>
        <w:t>理解和认识。通过实施预算绩效管理，树立了绩效优先的管理理念，也很好</w:t>
      </w:r>
      <w:r>
        <w:rPr>
          <w:rFonts w:hint="eastAsia" w:ascii="仿宋_GB2312" w:hAnsi="仿宋_GB2312" w:eastAsia="仿宋_GB2312"/>
          <w:b w:val="0"/>
          <w:sz w:val="32"/>
          <w:lang w:eastAsia="zh-CN"/>
        </w:rPr>
        <w:t>地</w:t>
      </w:r>
      <w:r>
        <w:rPr>
          <w:rFonts w:ascii="仿宋_GB2312" w:hAnsi="仿宋_GB2312" w:eastAsia="仿宋_GB2312"/>
          <w:b w:val="0"/>
          <w:sz w:val="32"/>
        </w:rPr>
        <w:t>避免了在经费使用上出现违规行为的</w:t>
      </w:r>
      <w:r>
        <w:rPr>
          <w:rFonts w:hint="eastAsia" w:ascii="仿宋_GB2312" w:hAnsi="仿宋_GB2312" w:eastAsia="仿宋_GB2312"/>
          <w:b w:val="0"/>
          <w:sz w:val="32"/>
          <w:lang w:eastAsia="zh-CN"/>
        </w:rPr>
        <w:t>概率</w:t>
      </w:r>
      <w:r>
        <w:rPr>
          <w:rFonts w:ascii="仿宋_GB2312" w:hAnsi="仿宋_GB2312" w:eastAsia="仿宋_GB2312"/>
          <w:b w:val="0"/>
          <w:sz w:val="32"/>
        </w:rPr>
        <w:t>，提升了部门管理水平和资金使用效益，为全面实施绩效管理打下了坚实的基础。发现的问题及原因：1.本单位为全额拨款单位，年初的项目预算没有足额纳入预算，导致项目经费实际执行数大于年初预算数。2.财政年初人员经费预算调整，年中追加人员经费，导致执行数大于年初预算数。3.绩效指标的明确性、可衡量性、相关性还需进一步提升。预算精细化管理还需完善，预算编制管理水平仍有进一步提升的空间。4.业务人员绩效管理意识有待增强，未能全面深入认识理解绩效管理工作的意义。绩效管理经验不足，预算绩效管理工作有待进一步落实。下一步改进措施：1.加强预算绩效目标管理工作。明确预算项目绩效目标编制要求，分类别建立科学合理、细化量化、可比可测预算绩效指标体系，突出结果导向，重点考核实绩。2.强化预算绩效执行工作，指定专人负责预算执行监督管理，进一步推动预算绩效管理工作。3.加强绩效业务学习及培训，提高业务人员绩效管理意识，进一步加强预算绩效管理工作，优化项目支出绩效指标体系，完善预算绩效管理制度，有效推动</w:t>
      </w:r>
      <w:r>
        <w:rPr>
          <w:rFonts w:hint="eastAsia" w:ascii="仿宋_GB2312" w:hAnsi="仿宋_GB2312" w:eastAsia="仿宋_GB2312"/>
          <w:b w:val="0"/>
          <w:sz w:val="32"/>
          <w:lang w:eastAsia="zh-CN"/>
        </w:rPr>
        <w:t>本单位</w:t>
      </w:r>
      <w:r>
        <w:rPr>
          <w:rFonts w:ascii="仿宋_GB2312" w:hAnsi="仿宋_GB2312" w:eastAsia="仿宋_GB2312"/>
          <w:b w:val="0"/>
          <w:sz w:val="32"/>
        </w:rPr>
        <w:t>下一年度预算绩效管理工作常态化、规范化。具体附整体支出绩效自评表，项目支出绩效自评表和评价报告。</w:t>
      </w:r>
    </w:p>
    <w:p w14:paraId="0A0EF43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C811F8D">
        <w:tblPrEx>
          <w:tblCellMar>
            <w:top w:w="0" w:type="dxa"/>
            <w:left w:w="108" w:type="dxa"/>
            <w:bottom w:w="0" w:type="dxa"/>
            <w:right w:w="108" w:type="dxa"/>
          </w:tblCellMar>
        </w:tblPrEx>
        <w:tc>
          <w:tcPr>
            <w:tcW w:w="8847" w:type="dxa"/>
            <w:gridSpan w:val="9"/>
            <w:vAlign w:val="center"/>
          </w:tcPr>
          <w:p w14:paraId="77D3E914">
            <w:pPr>
              <w:jc w:val="center"/>
            </w:pPr>
            <w:r>
              <w:rPr>
                <w:rFonts w:ascii="宋体" w:hAnsi="宋体" w:eastAsia="宋体"/>
                <w:sz w:val="24"/>
              </w:rPr>
              <w:t>单位整体支出绩效自评表</w:t>
            </w:r>
          </w:p>
        </w:tc>
      </w:tr>
      <w:tr w14:paraId="24868929">
        <w:tblPrEx>
          <w:tblCellMar>
            <w:top w:w="0" w:type="dxa"/>
            <w:left w:w="108" w:type="dxa"/>
            <w:bottom w:w="0" w:type="dxa"/>
            <w:right w:w="108" w:type="dxa"/>
          </w:tblCellMar>
        </w:tblPrEx>
        <w:tc>
          <w:tcPr>
            <w:tcW w:w="8847" w:type="dxa"/>
            <w:gridSpan w:val="9"/>
            <w:vAlign w:val="center"/>
          </w:tcPr>
          <w:p w14:paraId="4735F012">
            <w:pPr>
              <w:jc w:val="center"/>
            </w:pPr>
            <w:r>
              <w:rPr>
                <w:rFonts w:ascii="宋体" w:hAnsi="宋体" w:eastAsia="宋体"/>
                <w:sz w:val="24"/>
              </w:rPr>
              <w:t>（2024年度）</w:t>
            </w:r>
          </w:p>
        </w:tc>
      </w:tr>
      <w:tr w14:paraId="0E317AD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827CB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8ED7DF9">
            <w:pPr>
              <w:jc w:val="center"/>
            </w:pPr>
            <w:r>
              <w:rPr>
                <w:rFonts w:ascii="宋体" w:hAnsi="宋体" w:eastAsia="宋体"/>
                <w:sz w:val="16"/>
              </w:rPr>
              <w:t>木垒哈萨克自治县人民检察院</w:t>
            </w:r>
          </w:p>
        </w:tc>
      </w:tr>
      <w:tr w14:paraId="29CD5BB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51F114">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80205">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67EE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1A7C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8596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34F2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01D7E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5C219">
            <w:pPr>
              <w:jc w:val="center"/>
            </w:pPr>
            <w:r>
              <w:rPr>
                <w:rFonts w:ascii="宋体" w:hAnsi="宋体" w:eastAsia="宋体"/>
                <w:sz w:val="16"/>
              </w:rPr>
              <w:t>得分</w:t>
            </w:r>
          </w:p>
        </w:tc>
      </w:tr>
      <w:tr w14:paraId="37EF40F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BB2AC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47E44">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10D96E">
            <w:pPr>
              <w:jc w:val="center"/>
            </w:pPr>
            <w:r>
              <w:rPr>
                <w:rFonts w:ascii="宋体" w:hAnsi="宋体" w:eastAsia="宋体"/>
                <w:sz w:val="16"/>
              </w:rPr>
              <w:t>161.00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779CA2">
            <w:pPr>
              <w:jc w:val="center"/>
            </w:pPr>
            <w:r>
              <w:rPr>
                <w:rFonts w:ascii="宋体" w:hAnsi="宋体" w:eastAsia="宋体"/>
                <w:sz w:val="16"/>
              </w:rPr>
              <w:t>161.00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47D84">
            <w:pPr>
              <w:jc w:val="center"/>
            </w:pPr>
            <w:r>
              <w:rPr>
                <w:rFonts w:ascii="宋体" w:hAnsi="宋体" w:eastAsia="宋体"/>
                <w:sz w:val="16"/>
              </w:rPr>
              <w:t>161.00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F41B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3543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6231F">
            <w:pPr>
              <w:jc w:val="center"/>
            </w:pPr>
            <w:r>
              <w:rPr>
                <w:rFonts w:ascii="宋体" w:hAnsi="宋体" w:eastAsia="宋体"/>
                <w:sz w:val="16"/>
              </w:rPr>
              <w:t>-</w:t>
            </w:r>
          </w:p>
        </w:tc>
      </w:tr>
      <w:tr w14:paraId="772281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6C958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B84B4">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B4A9C3">
            <w:pPr>
              <w:jc w:val="center"/>
            </w:pPr>
            <w:r>
              <w:rPr>
                <w:rFonts w:ascii="宋体" w:hAnsi="宋体" w:eastAsia="宋体"/>
                <w:sz w:val="16"/>
              </w:rPr>
              <w:t>767.47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B40D61">
            <w:pPr>
              <w:jc w:val="center"/>
            </w:pPr>
            <w:r>
              <w:rPr>
                <w:rFonts w:ascii="宋体" w:hAnsi="宋体" w:eastAsia="宋体"/>
                <w:sz w:val="16"/>
              </w:rPr>
              <w:t>767.47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F4EC0">
            <w:pPr>
              <w:jc w:val="center"/>
            </w:pPr>
            <w:r>
              <w:rPr>
                <w:rFonts w:ascii="宋体" w:hAnsi="宋体" w:eastAsia="宋体"/>
                <w:sz w:val="16"/>
              </w:rPr>
              <w:t>767.47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77DE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A3B4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15EC4">
            <w:pPr>
              <w:jc w:val="center"/>
            </w:pPr>
            <w:r>
              <w:rPr>
                <w:rFonts w:ascii="宋体" w:hAnsi="宋体" w:eastAsia="宋体"/>
                <w:sz w:val="16"/>
              </w:rPr>
              <w:t>-</w:t>
            </w:r>
          </w:p>
        </w:tc>
      </w:tr>
      <w:tr w14:paraId="7066F2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0DD8C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B759B">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D9DAD">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1F8CF">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D1587C">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BCA23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A432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A2AF89">
            <w:pPr>
              <w:jc w:val="center"/>
            </w:pPr>
            <w:r>
              <w:rPr>
                <w:rFonts w:ascii="宋体" w:hAnsi="宋体" w:eastAsia="宋体"/>
                <w:sz w:val="16"/>
              </w:rPr>
              <w:t>-</w:t>
            </w:r>
          </w:p>
        </w:tc>
      </w:tr>
      <w:tr w14:paraId="237CFB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55133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E166C">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27A291">
            <w:pPr>
              <w:jc w:val="center"/>
            </w:pPr>
            <w:r>
              <w:rPr>
                <w:rFonts w:ascii="宋体" w:hAnsi="宋体" w:eastAsia="宋体"/>
                <w:sz w:val="16"/>
              </w:rPr>
              <w:t>988.47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69BBA">
            <w:pPr>
              <w:jc w:val="center"/>
            </w:pPr>
            <w:r>
              <w:rPr>
                <w:rFonts w:ascii="宋体" w:hAnsi="宋体" w:eastAsia="宋体"/>
                <w:sz w:val="16"/>
              </w:rPr>
              <w:t>988.47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25B9D">
            <w:pPr>
              <w:jc w:val="center"/>
            </w:pPr>
            <w:r>
              <w:rPr>
                <w:rFonts w:ascii="宋体" w:hAnsi="宋体" w:eastAsia="宋体"/>
                <w:sz w:val="16"/>
              </w:rPr>
              <w:t>988.47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3BD7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E0AFB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0A5AA9">
            <w:pPr>
              <w:jc w:val="center"/>
            </w:pPr>
            <w:r>
              <w:rPr>
                <w:rFonts w:ascii="宋体" w:hAnsi="宋体" w:eastAsia="宋体"/>
                <w:sz w:val="16"/>
              </w:rPr>
              <w:t>10</w:t>
            </w:r>
          </w:p>
        </w:tc>
      </w:tr>
      <w:tr w14:paraId="26B1D77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BF431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1F3F6B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0BAE6C">
            <w:pPr>
              <w:jc w:val="center"/>
            </w:pPr>
            <w:r>
              <w:rPr>
                <w:rFonts w:ascii="宋体" w:hAnsi="宋体" w:eastAsia="宋体"/>
                <w:sz w:val="16"/>
              </w:rPr>
              <w:t>实际完成情况</w:t>
            </w:r>
          </w:p>
        </w:tc>
      </w:tr>
      <w:tr w14:paraId="1BFA03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6B42F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9C4641E">
            <w:pPr>
              <w:jc w:val="both"/>
            </w:pPr>
            <w:r>
              <w:rPr>
                <w:rFonts w:ascii="宋体" w:hAnsi="宋体" w:eastAsia="宋体"/>
                <w:sz w:val="16"/>
              </w:rPr>
              <w:t>坚持以习近平法治思想为指导，深入学习贯彻党的二十大精神，依法能动履职，高质效办好每一个案件，持续开展扫黑除恶斗争，充分发挥批捕、起诉等职能作用，全力维护社会稳定和长治久安。办理公益诉讼案件，维护社会公共利益，做好生态环境与资源保护，食品和药品安全，国有土地出让，国有财产保护工作。   强化信访工作，维护当事人合法权益，维护社会公平正义。开展“法治进校园”活动，提升未成年人自我保护意识和明辨是非的能力。打造“智慧检察院”，助推互联网、大数据、智能化与检察工作深度融合。提高办案效率和办案质量来</w:t>
            </w:r>
            <w:r>
              <w:rPr>
                <w:rFonts w:hint="eastAsia" w:ascii="宋体" w:hAnsi="宋体"/>
                <w:sz w:val="16"/>
                <w:lang w:eastAsia="zh-CN"/>
              </w:rPr>
              <w:t>体现</w:t>
            </w:r>
            <w:r>
              <w:rPr>
                <w:rFonts w:ascii="宋体" w:hAnsi="宋体" w:eastAsia="宋体"/>
                <w:sz w:val="16"/>
              </w:rPr>
              <w:t>法律的公平正义。提高办案的法律效果和社会效果。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D8FD581">
            <w:pPr>
              <w:jc w:val="both"/>
            </w:pPr>
            <w:r>
              <w:rPr>
                <w:rFonts w:ascii="宋体" w:hAnsi="宋体" w:eastAsia="宋体"/>
                <w:sz w:val="16"/>
              </w:rPr>
              <w:t>2024年我院全年预算数为988.47万元，2024年实际支出数为988.47万元，执行率为100%，主要开展以下工作:1、全年办理完成各类案件554件；2、全年办理司法救助案件4件，发放救助资金8万元；3、开展听证33件次；4、全年检察官进校园讲课21人次。通过开展工作，深化了司法体制改革，</w:t>
            </w:r>
            <w:r>
              <w:rPr>
                <w:rFonts w:hint="eastAsia" w:ascii="宋体" w:hAnsi="宋体"/>
                <w:sz w:val="16"/>
                <w:lang w:eastAsia="zh-CN"/>
              </w:rPr>
              <w:t>更好地服务</w:t>
            </w:r>
            <w:r>
              <w:rPr>
                <w:rFonts w:ascii="宋体" w:hAnsi="宋体" w:eastAsia="宋体"/>
                <w:sz w:val="16"/>
              </w:rPr>
              <w:t>经济社会高质量发展、推动检察工作自身高质量发展，为全面建设社会主义现代化国家提供有力司法保障。</w:t>
            </w:r>
          </w:p>
        </w:tc>
      </w:tr>
      <w:tr w14:paraId="59965D4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3F84C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F3BA0">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88F9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2E8309">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D381F">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D976B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D14CC">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3BDD7">
            <w:pPr>
              <w:jc w:val="center"/>
            </w:pPr>
            <w:r>
              <w:rPr>
                <w:rFonts w:ascii="宋体" w:hAnsi="宋体" w:eastAsia="宋体"/>
                <w:sz w:val="16"/>
              </w:rPr>
              <w:t>得分</w:t>
            </w:r>
          </w:p>
        </w:tc>
      </w:tr>
      <w:tr w14:paraId="04A4E9B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76893F">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A6411C">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A91E8">
            <w:pPr>
              <w:jc w:val="center"/>
            </w:pPr>
            <w:r>
              <w:rPr>
                <w:rFonts w:ascii="宋体" w:hAnsi="宋体" w:eastAsia="宋体"/>
                <w:sz w:val="16"/>
              </w:rPr>
              <w:t>司法</w:t>
            </w:r>
            <w:r>
              <w:rPr>
                <w:rFonts w:hint="eastAsia" w:ascii="宋体" w:hAnsi="宋体"/>
                <w:sz w:val="16"/>
                <w:lang w:eastAsia="zh-CN"/>
              </w:rPr>
              <w:t>救助</w:t>
            </w:r>
            <w:r>
              <w:rPr>
                <w:rFonts w:ascii="宋体" w:hAnsi="宋体" w:eastAsia="宋体"/>
                <w:sz w:val="16"/>
              </w:rPr>
              <w:t>案件数量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C3222D">
            <w:pPr>
              <w:jc w:val="center"/>
            </w:pPr>
            <w:r>
              <w:rPr>
                <w:rFonts w:ascii="宋体" w:hAnsi="宋体" w:eastAsia="宋体"/>
                <w:sz w:val="16"/>
              </w:rPr>
              <w:t>&gt;=4件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18396">
            <w:pPr>
              <w:jc w:val="center"/>
            </w:pPr>
            <w:r>
              <w:rPr>
                <w:rFonts w:ascii="宋体" w:hAnsi="宋体" w:eastAsia="宋体"/>
                <w:sz w:val="16"/>
              </w:rPr>
              <w:t>2023年控告申诉检察工作业务考核指标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9372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41AC5">
            <w:pPr>
              <w:jc w:val="center"/>
            </w:pPr>
            <w:r>
              <w:rPr>
                <w:rFonts w:ascii="宋体" w:hAnsi="宋体" w:eastAsia="宋体"/>
                <w:sz w:val="16"/>
              </w:rPr>
              <w:t>4件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B26DC">
            <w:pPr>
              <w:jc w:val="center"/>
            </w:pPr>
            <w:r>
              <w:rPr>
                <w:rFonts w:ascii="宋体" w:hAnsi="宋体" w:eastAsia="宋体"/>
                <w:sz w:val="16"/>
              </w:rPr>
              <w:t>10</w:t>
            </w:r>
          </w:p>
        </w:tc>
      </w:tr>
      <w:tr w14:paraId="7E6466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4CF44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78300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9EE2A">
            <w:pPr>
              <w:jc w:val="center"/>
            </w:pPr>
            <w:r>
              <w:rPr>
                <w:rFonts w:ascii="宋体" w:hAnsi="宋体" w:eastAsia="宋体"/>
                <w:sz w:val="16"/>
              </w:rPr>
              <w:t>法治副校长（检察官）进校园授课次数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654AE">
            <w:pPr>
              <w:jc w:val="center"/>
            </w:pPr>
            <w:r>
              <w:rPr>
                <w:rFonts w:ascii="宋体" w:hAnsi="宋体" w:eastAsia="宋体"/>
                <w:sz w:val="16"/>
              </w:rPr>
              <w:t>&gt;=15次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D4A8A4">
            <w:pPr>
              <w:jc w:val="center"/>
            </w:pPr>
            <w:r>
              <w:rPr>
                <w:rFonts w:ascii="宋体" w:hAnsi="宋体" w:eastAsia="宋体"/>
                <w:sz w:val="16"/>
              </w:rPr>
              <w:t>2023年县市检察院未成年人检察工作护蕾行动考核指标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88EEE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1E49B">
            <w:pPr>
              <w:jc w:val="center"/>
            </w:pPr>
            <w:r>
              <w:rPr>
                <w:rFonts w:ascii="宋体" w:hAnsi="宋体" w:eastAsia="宋体"/>
                <w:sz w:val="16"/>
              </w:rPr>
              <w:t>21次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11718">
            <w:pPr>
              <w:jc w:val="center"/>
            </w:pPr>
            <w:r>
              <w:rPr>
                <w:rFonts w:ascii="宋体" w:hAnsi="宋体" w:eastAsia="宋体"/>
                <w:sz w:val="16"/>
              </w:rPr>
              <w:t>15</w:t>
            </w:r>
          </w:p>
        </w:tc>
      </w:tr>
      <w:tr w14:paraId="4D6A7B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2B1D1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F8493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DB90E">
            <w:pPr>
              <w:jc w:val="center"/>
            </w:pPr>
            <w:r>
              <w:rPr>
                <w:rFonts w:ascii="宋体" w:hAnsi="宋体" w:eastAsia="宋体"/>
                <w:sz w:val="16"/>
              </w:rPr>
              <w:t>支持检察机关办案数量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84401F">
            <w:pPr>
              <w:jc w:val="center"/>
            </w:pPr>
            <w:r>
              <w:rPr>
                <w:rFonts w:ascii="宋体" w:hAnsi="宋体" w:eastAsia="宋体"/>
                <w:sz w:val="16"/>
              </w:rPr>
              <w:t>&gt;=550件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29F3E">
            <w:pPr>
              <w:jc w:val="center"/>
            </w:pPr>
            <w:r>
              <w:rPr>
                <w:rFonts w:ascii="宋体" w:hAnsi="宋体" w:eastAsia="宋体"/>
                <w:sz w:val="16"/>
              </w:rPr>
              <w:t>2023年业务考核指标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BB6D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E8A5E5">
            <w:pPr>
              <w:jc w:val="center"/>
            </w:pPr>
            <w:r>
              <w:rPr>
                <w:rFonts w:ascii="宋体" w:hAnsi="宋体" w:eastAsia="宋体"/>
                <w:sz w:val="16"/>
              </w:rPr>
              <w:t>554件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11C553">
            <w:pPr>
              <w:jc w:val="center"/>
            </w:pPr>
            <w:r>
              <w:rPr>
                <w:rFonts w:ascii="宋体" w:hAnsi="宋体" w:eastAsia="宋体"/>
                <w:sz w:val="16"/>
              </w:rPr>
              <w:t>15</w:t>
            </w:r>
          </w:p>
        </w:tc>
      </w:tr>
      <w:tr w14:paraId="2467383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22755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490A6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D12EF">
            <w:pPr>
              <w:jc w:val="center"/>
            </w:pPr>
            <w:r>
              <w:rPr>
                <w:rFonts w:ascii="宋体" w:hAnsi="宋体" w:eastAsia="宋体"/>
                <w:sz w:val="16"/>
              </w:rPr>
              <w:t>检察公开听证案件数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65221">
            <w:pPr>
              <w:jc w:val="center"/>
            </w:pPr>
            <w:r>
              <w:rPr>
                <w:rFonts w:ascii="宋体" w:hAnsi="宋体" w:eastAsia="宋体"/>
                <w:sz w:val="16"/>
              </w:rPr>
              <w:t>&gt;=30件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0BA87">
            <w:pPr>
              <w:jc w:val="center"/>
            </w:pPr>
            <w:r>
              <w:rPr>
                <w:rFonts w:ascii="宋体" w:hAnsi="宋体" w:eastAsia="宋体"/>
                <w:sz w:val="16"/>
              </w:rPr>
              <w:t>2023年县市检察院听证工作考核指标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48DC3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B7995">
            <w:pPr>
              <w:jc w:val="center"/>
            </w:pPr>
            <w:r>
              <w:rPr>
                <w:rFonts w:ascii="宋体" w:hAnsi="宋体" w:eastAsia="宋体"/>
                <w:sz w:val="16"/>
              </w:rPr>
              <w:t>33件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CADAE">
            <w:pPr>
              <w:jc w:val="center"/>
            </w:pPr>
            <w:r>
              <w:rPr>
                <w:rFonts w:ascii="宋体" w:hAnsi="宋体" w:eastAsia="宋体"/>
                <w:sz w:val="16"/>
              </w:rPr>
              <w:t>15</w:t>
            </w:r>
          </w:p>
        </w:tc>
      </w:tr>
      <w:tr w14:paraId="068D337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A8AF0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85AAF">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FDB70">
            <w:pPr>
              <w:jc w:val="center"/>
            </w:pPr>
            <w:r>
              <w:rPr>
                <w:rFonts w:ascii="宋体" w:hAnsi="宋体" w:eastAsia="宋体"/>
                <w:sz w:val="16"/>
              </w:rPr>
              <w:t>司法救助案件结案率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A70AE">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A9BE2">
            <w:pPr>
              <w:jc w:val="center"/>
            </w:pPr>
            <w:r>
              <w:rPr>
                <w:rFonts w:ascii="宋体" w:hAnsi="宋体" w:eastAsia="宋体"/>
                <w:sz w:val="16"/>
              </w:rPr>
              <w:t>2023年控告申诉检察工作业务考核指标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EB1F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E5E4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356AB8">
            <w:pPr>
              <w:jc w:val="center"/>
            </w:pPr>
            <w:r>
              <w:rPr>
                <w:rFonts w:ascii="宋体" w:hAnsi="宋体" w:eastAsia="宋体"/>
                <w:sz w:val="16"/>
              </w:rPr>
              <w:t>10</w:t>
            </w:r>
          </w:p>
        </w:tc>
      </w:tr>
      <w:tr w14:paraId="0E8161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A4A0B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1A94B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9FC0B">
            <w:pPr>
              <w:jc w:val="center"/>
            </w:pPr>
            <w:r>
              <w:rPr>
                <w:rFonts w:ascii="宋体" w:hAnsi="宋体" w:eastAsia="宋体"/>
                <w:sz w:val="16"/>
              </w:rPr>
              <w:t>刑事案件审结率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7E69F">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834253">
            <w:pPr>
              <w:jc w:val="center"/>
            </w:pPr>
            <w:r>
              <w:rPr>
                <w:rFonts w:ascii="宋体" w:hAnsi="宋体" w:eastAsia="宋体"/>
                <w:sz w:val="16"/>
              </w:rPr>
              <w:t>2023年县市检察院刑事检察业务考核指标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C5A59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F0CBD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E1DCFA">
            <w:pPr>
              <w:jc w:val="center"/>
            </w:pPr>
            <w:r>
              <w:rPr>
                <w:rFonts w:ascii="宋体" w:hAnsi="宋体" w:eastAsia="宋体"/>
                <w:sz w:val="16"/>
              </w:rPr>
              <w:t>15</w:t>
            </w:r>
          </w:p>
        </w:tc>
      </w:tr>
      <w:tr w14:paraId="01F4972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8F608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8FA19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5B6BB">
            <w:pPr>
              <w:jc w:val="center"/>
            </w:pPr>
            <w:r>
              <w:rPr>
                <w:rFonts w:ascii="宋体" w:hAnsi="宋体" w:eastAsia="宋体"/>
                <w:sz w:val="16"/>
              </w:rPr>
              <w:t>处理信访案件及时率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B0BC98">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24A344">
            <w:pPr>
              <w:jc w:val="center"/>
            </w:pPr>
            <w:r>
              <w:rPr>
                <w:rFonts w:ascii="宋体" w:hAnsi="宋体" w:eastAsia="宋体"/>
                <w:sz w:val="16"/>
              </w:rPr>
              <w:t>2023年控告申诉检察工作业务考核指标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93F6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75C3C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6639B">
            <w:pPr>
              <w:jc w:val="center"/>
            </w:pPr>
            <w:r>
              <w:rPr>
                <w:rFonts w:ascii="宋体" w:hAnsi="宋体" w:eastAsia="宋体"/>
                <w:sz w:val="16"/>
              </w:rPr>
              <w:t>10</w:t>
            </w:r>
          </w:p>
        </w:tc>
      </w:tr>
    </w:tbl>
    <w:p w14:paraId="748FB7B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3FA484D2">
        <w:tblPrEx>
          <w:tblCellMar>
            <w:top w:w="0" w:type="dxa"/>
            <w:left w:w="108" w:type="dxa"/>
            <w:bottom w:w="0" w:type="dxa"/>
            <w:right w:w="108" w:type="dxa"/>
          </w:tblCellMar>
        </w:tblPrEx>
        <w:tc>
          <w:tcPr>
            <w:tcW w:w="8848" w:type="dxa"/>
            <w:gridSpan w:val="14"/>
            <w:vAlign w:val="center"/>
          </w:tcPr>
          <w:p w14:paraId="2F3E5F06">
            <w:pPr>
              <w:jc w:val="center"/>
            </w:pPr>
            <w:r>
              <w:rPr>
                <w:rFonts w:ascii="宋体" w:hAnsi="宋体" w:eastAsia="宋体"/>
                <w:sz w:val="24"/>
              </w:rPr>
              <w:t>项目支出绩效自评表</w:t>
            </w:r>
          </w:p>
        </w:tc>
      </w:tr>
      <w:tr w14:paraId="4801828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5A93FC3">
            <w:pPr>
              <w:jc w:val="center"/>
            </w:pPr>
            <w:r>
              <w:rPr>
                <w:rFonts w:ascii="宋体" w:hAnsi="宋体" w:eastAsia="宋体"/>
                <w:sz w:val="24"/>
              </w:rPr>
              <w:t>(2024年度)</w:t>
            </w:r>
          </w:p>
        </w:tc>
      </w:tr>
      <w:tr w14:paraId="14511C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DA91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FA32C12">
            <w:pPr>
              <w:jc w:val="center"/>
            </w:pPr>
            <w:r>
              <w:rPr>
                <w:rFonts w:ascii="宋体" w:hAnsi="宋体" w:eastAsia="宋体"/>
                <w:sz w:val="16"/>
              </w:rPr>
              <w:t>机关运行补助(自有资金)</w:t>
            </w:r>
          </w:p>
        </w:tc>
      </w:tr>
      <w:tr w14:paraId="5EC6AD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60F0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C505A2">
            <w:pPr>
              <w:jc w:val="center"/>
            </w:pPr>
            <w:r>
              <w:rPr>
                <w:rFonts w:hint="eastAsia" w:ascii="宋体" w:hAnsi="宋体"/>
                <w:sz w:val="16"/>
                <w:lang w:eastAsia="zh-CN"/>
              </w:rPr>
              <w:t>木垒哈萨克自治县</w:t>
            </w:r>
            <w:r>
              <w:rPr>
                <w:rFonts w:ascii="宋体" w:hAnsi="宋体" w:eastAsia="宋体"/>
                <w:sz w:val="16"/>
              </w:rPr>
              <w:t>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7085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85F511">
            <w:pPr>
              <w:jc w:val="center"/>
            </w:pPr>
            <w:r>
              <w:rPr>
                <w:rFonts w:hint="eastAsia" w:ascii="宋体" w:hAnsi="宋体"/>
                <w:sz w:val="16"/>
                <w:lang w:eastAsia="zh-CN"/>
              </w:rPr>
              <w:t>木垒哈萨克自治县</w:t>
            </w:r>
            <w:r>
              <w:rPr>
                <w:rFonts w:ascii="宋体" w:hAnsi="宋体" w:eastAsia="宋体"/>
                <w:sz w:val="16"/>
              </w:rPr>
              <w:t>人民检察院</w:t>
            </w:r>
          </w:p>
        </w:tc>
      </w:tr>
      <w:tr w14:paraId="606CD1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14C2D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513A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59CE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B5F0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F257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7C43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7689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AD78E">
            <w:pPr>
              <w:jc w:val="center"/>
            </w:pPr>
            <w:r>
              <w:rPr>
                <w:rFonts w:ascii="宋体" w:hAnsi="宋体" w:eastAsia="宋体"/>
                <w:sz w:val="16"/>
              </w:rPr>
              <w:t>得分</w:t>
            </w:r>
          </w:p>
        </w:tc>
      </w:tr>
      <w:tr w14:paraId="28EE9D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AE369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85E0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064F0">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1622D">
            <w:pPr>
              <w:jc w:val="center"/>
            </w:pPr>
            <w:r>
              <w:rPr>
                <w:rFonts w:ascii="宋体" w:hAnsi="宋体" w:eastAsia="宋体"/>
                <w:sz w:val="16"/>
              </w:rPr>
              <w:t>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F6E5E">
            <w:pPr>
              <w:jc w:val="center"/>
            </w:pPr>
            <w:r>
              <w:rPr>
                <w:rFonts w:ascii="宋体" w:hAnsi="宋体" w:eastAsia="宋体"/>
                <w:sz w:val="16"/>
              </w:rPr>
              <w:t>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D44E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153A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3D301">
            <w:pPr>
              <w:jc w:val="center"/>
            </w:pPr>
            <w:r>
              <w:rPr>
                <w:rFonts w:ascii="宋体" w:hAnsi="宋体" w:eastAsia="宋体"/>
                <w:sz w:val="16"/>
              </w:rPr>
              <w:t>10.00</w:t>
            </w:r>
          </w:p>
        </w:tc>
      </w:tr>
      <w:tr w14:paraId="1B5B8B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4D5E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E1A9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692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779E3">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986AE">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280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392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6FFC4">
            <w:pPr>
              <w:jc w:val="center"/>
            </w:pPr>
            <w:r>
              <w:rPr>
                <w:rFonts w:ascii="宋体" w:hAnsi="宋体" w:eastAsia="宋体"/>
                <w:sz w:val="16"/>
              </w:rPr>
              <w:t>—</w:t>
            </w:r>
          </w:p>
        </w:tc>
      </w:tr>
      <w:tr w14:paraId="2B53C1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D6C3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F00A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AC8F7">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497BB">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1171C">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90B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954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5B2D7">
            <w:pPr>
              <w:jc w:val="center"/>
            </w:pPr>
            <w:r>
              <w:rPr>
                <w:rFonts w:ascii="宋体" w:hAnsi="宋体" w:eastAsia="宋体"/>
                <w:sz w:val="16"/>
              </w:rPr>
              <w:t>—</w:t>
            </w:r>
          </w:p>
        </w:tc>
      </w:tr>
      <w:tr w14:paraId="4C1FCD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F18BA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0C054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9674E8">
            <w:pPr>
              <w:jc w:val="center"/>
            </w:pPr>
            <w:r>
              <w:rPr>
                <w:rFonts w:ascii="宋体" w:hAnsi="宋体" w:eastAsia="宋体"/>
                <w:sz w:val="16"/>
              </w:rPr>
              <w:t>实际完成情况</w:t>
            </w:r>
          </w:p>
        </w:tc>
      </w:tr>
      <w:tr w14:paraId="1CA3C1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6607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4805F6">
            <w:pPr>
              <w:jc w:val="both"/>
            </w:pPr>
            <w:r>
              <w:rPr>
                <w:rFonts w:ascii="宋体" w:hAnsi="宋体" w:eastAsia="宋体"/>
                <w:sz w:val="16"/>
              </w:rPr>
              <w:t>日常办公用品及耗材的采购，办公设备购置费用的支出；单位大楼的维护维修、办公设备的维修等办公费用；两房及附属设施建设债务化解。</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18CF81">
            <w:pPr>
              <w:jc w:val="both"/>
            </w:pPr>
            <w:r>
              <w:rPr>
                <w:rFonts w:ascii="宋体" w:hAnsi="宋体" w:eastAsia="宋体"/>
                <w:sz w:val="16"/>
              </w:rPr>
              <w:t>截至2024年12月20日，该项目实施完成 2024年机关运行补助65万元,按计划完成办公大楼、卫生保洁设备修缮维护4次，保障后勤人员9人劳务费及时发放，办公用品采购率达到100%，公用经费支付及时率达到100%，办公费用10万元，维修维护费不超过10万元，劳务费不超过10万元，两房及附属设施建设债务化解30万元，为民办实事好事费用5万元。通过该项目的实施保障了木垒检察院的基本运行、提升了工作效率、促进了检察监督、逮捕、公益诉讼等职能履行，推动社会和谐发展。</w:t>
            </w:r>
          </w:p>
        </w:tc>
      </w:tr>
      <w:tr w14:paraId="660210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BDE8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83BC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8314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7198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B3B6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BE92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DCC1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0210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3790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6C37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566C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A3BB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9273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6F582">
            <w:pPr>
              <w:jc w:val="center"/>
            </w:pPr>
            <w:r>
              <w:rPr>
                <w:rFonts w:ascii="宋体" w:hAnsi="宋体" w:eastAsia="宋体"/>
                <w:sz w:val="16"/>
              </w:rPr>
              <w:t>偏差原因分析及改进措施</w:t>
            </w:r>
          </w:p>
        </w:tc>
      </w:tr>
      <w:tr w14:paraId="30E929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9364E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8AB1C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B4F12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4A09C">
            <w:pPr>
              <w:jc w:val="center"/>
            </w:pPr>
            <w:r>
              <w:rPr>
                <w:rFonts w:ascii="宋体" w:hAnsi="宋体" w:eastAsia="宋体"/>
                <w:sz w:val="16"/>
              </w:rPr>
              <w:t>保障劳务派遣人数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D3C0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9A368">
            <w:pPr>
              <w:jc w:val="center"/>
            </w:pPr>
            <w:r>
              <w:rPr>
                <w:rFonts w:ascii="宋体" w:hAnsi="宋体" w:eastAsia="宋体"/>
                <w:sz w:val="16"/>
              </w:rPr>
              <w:t>&gt;=7人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00CDE">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92D0C">
            <w:pPr>
              <w:jc w:val="center"/>
            </w:pPr>
            <w:r>
              <w:rPr>
                <w:rFonts w:ascii="宋体" w:hAnsi="宋体" w:eastAsia="宋体"/>
                <w:sz w:val="16"/>
              </w:rPr>
              <w:t>128.57%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BD153">
            <w:pPr>
              <w:jc w:val="center"/>
            </w:pPr>
            <w:r>
              <w:rPr>
                <w:rFonts w:ascii="宋体" w:hAnsi="宋体" w:eastAsia="宋体"/>
                <w:sz w:val="16"/>
              </w:rPr>
              <w:t>14.29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EA5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974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2C3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5DA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95B53">
            <w:pPr>
              <w:jc w:val="center"/>
            </w:pPr>
            <w:r>
              <w:rPr>
                <w:rFonts w:ascii="宋体" w:hAnsi="宋体" w:eastAsia="宋体"/>
                <w:sz w:val="16"/>
              </w:rPr>
              <w:t>2023年年末劳务派遣实有人员7人，指标依据上年末实有人数设置，本年末实有人数9人。</w:t>
            </w:r>
          </w:p>
        </w:tc>
      </w:tr>
      <w:tr w14:paraId="7ABA75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4681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CAF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C9DF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06F7F">
            <w:pPr>
              <w:jc w:val="center"/>
            </w:pPr>
            <w:r>
              <w:rPr>
                <w:rFonts w:ascii="宋体" w:hAnsi="宋体" w:eastAsia="宋体"/>
                <w:sz w:val="16"/>
              </w:rPr>
              <w:t>办公楼、卫生保洁设备修缮维护次数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653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8F76D">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9E2E0">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195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22E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40B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0BE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8EF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FC4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CCF97">
            <w:pPr>
              <w:jc w:val="center"/>
            </w:pPr>
          </w:p>
        </w:tc>
      </w:tr>
      <w:tr w14:paraId="19FD59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FA1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44E4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2D0C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E6545">
            <w:pPr>
              <w:jc w:val="center"/>
            </w:pPr>
            <w:r>
              <w:rPr>
                <w:rFonts w:ascii="宋体" w:hAnsi="宋体" w:eastAsia="宋体"/>
                <w:sz w:val="16"/>
              </w:rPr>
              <w:t>维修修缮验收合格率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3BE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DEA41">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8D1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F6EDE">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865F7">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34C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D87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132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72C3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28323">
            <w:pPr>
              <w:jc w:val="center"/>
            </w:pPr>
            <w:r>
              <w:rPr>
                <w:rFonts w:ascii="宋体" w:hAnsi="宋体" w:eastAsia="宋体"/>
                <w:sz w:val="16"/>
              </w:rPr>
              <w:t>年初绩效目标设置不合理，实际工作中，维修修缮必须验收合格，项目方可完工。</w:t>
            </w:r>
          </w:p>
        </w:tc>
      </w:tr>
      <w:tr w14:paraId="467C56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5FEA5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217A9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470B6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A4C38">
            <w:pPr>
              <w:jc w:val="center"/>
            </w:pPr>
            <w:r>
              <w:rPr>
                <w:rFonts w:ascii="宋体" w:hAnsi="宋体" w:eastAsia="宋体"/>
                <w:sz w:val="16"/>
              </w:rPr>
              <w:t>办公费成本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9E49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36B5C">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10793">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3F7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3AFF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73DB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054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F1F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82C3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5C360">
            <w:pPr>
              <w:jc w:val="center"/>
            </w:pPr>
          </w:p>
        </w:tc>
      </w:tr>
      <w:tr w14:paraId="558AF6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4A85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4A9F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2B37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D1C87">
            <w:pPr>
              <w:jc w:val="center"/>
            </w:pPr>
            <w:r>
              <w:rPr>
                <w:rFonts w:ascii="宋体" w:hAnsi="宋体" w:eastAsia="宋体"/>
                <w:sz w:val="16"/>
              </w:rPr>
              <w:t>办公设备维修成本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365B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B1B12">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4CE81">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659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5AAA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8DB7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FA5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8FD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3E9C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971BC">
            <w:pPr>
              <w:jc w:val="center"/>
            </w:pPr>
          </w:p>
        </w:tc>
      </w:tr>
      <w:tr w14:paraId="7F292B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3C7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7C2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7E1C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A6E16">
            <w:pPr>
              <w:jc w:val="center"/>
            </w:pPr>
            <w:r>
              <w:rPr>
                <w:rFonts w:ascii="宋体" w:hAnsi="宋体" w:eastAsia="宋体"/>
                <w:sz w:val="16"/>
              </w:rPr>
              <w:t>劳务派遣成本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D2AA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AAD69">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18186">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F51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C53B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1247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178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AE3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88E2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E5885">
            <w:pPr>
              <w:jc w:val="center"/>
            </w:pPr>
          </w:p>
        </w:tc>
      </w:tr>
      <w:tr w14:paraId="60AB57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E0F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8375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629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8B9F9">
            <w:pPr>
              <w:jc w:val="center"/>
            </w:pPr>
            <w:r>
              <w:rPr>
                <w:rFonts w:ascii="宋体" w:hAnsi="宋体" w:eastAsia="宋体"/>
                <w:sz w:val="16"/>
              </w:rPr>
              <w:t>为民办实事经费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A727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F096D">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1D88C">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497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A8FD2">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E47A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166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7CE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539A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DD7F6">
            <w:pPr>
              <w:jc w:val="center"/>
            </w:pPr>
          </w:p>
        </w:tc>
      </w:tr>
      <w:tr w14:paraId="314587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A8F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3B78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9C34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6221A">
            <w:pPr>
              <w:jc w:val="center"/>
            </w:pPr>
            <w:r>
              <w:rPr>
                <w:rFonts w:ascii="宋体" w:hAnsi="宋体" w:eastAsia="宋体"/>
                <w:sz w:val="16"/>
              </w:rPr>
              <w:t>两房及附属设施建设成本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6FE54">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A6F65">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CC604">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7EB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F6176">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194E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248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F15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9A24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7D8FD">
            <w:pPr>
              <w:jc w:val="center"/>
            </w:pPr>
          </w:p>
        </w:tc>
      </w:tr>
      <w:tr w14:paraId="648AA2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0B5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1E3B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60FF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F4245">
            <w:pPr>
              <w:jc w:val="center"/>
            </w:pPr>
            <w:r>
              <w:rPr>
                <w:rFonts w:ascii="宋体" w:hAnsi="宋体" w:eastAsia="宋体"/>
                <w:sz w:val="16"/>
              </w:rPr>
              <w:t>隐患消除情况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ADEB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EE72F">
            <w:pPr>
              <w:jc w:val="center"/>
            </w:pPr>
            <w:r>
              <w:rPr>
                <w:rFonts w:ascii="宋体" w:hAnsi="宋体" w:eastAsia="宋体"/>
                <w:sz w:val="16"/>
              </w:rPr>
              <w:t>&gt;=2种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86A12">
            <w:pPr>
              <w:jc w:val="center"/>
            </w:pPr>
            <w:r>
              <w:rPr>
                <w:rFonts w:ascii="宋体" w:hAnsi="宋体" w:eastAsia="宋体"/>
                <w:sz w:val="16"/>
              </w:rPr>
              <w:t>=2种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B55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D9CD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040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FB8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13F6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C4D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09BBA">
            <w:pPr>
              <w:jc w:val="center"/>
            </w:pPr>
          </w:p>
        </w:tc>
      </w:tr>
      <w:tr w14:paraId="090CAB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5B88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DA0F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E30E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98877">
            <w:pPr>
              <w:jc w:val="center"/>
            </w:pPr>
            <w:r>
              <w:rPr>
                <w:rFonts w:ascii="宋体" w:hAnsi="宋体" w:eastAsia="宋体"/>
                <w:sz w:val="16"/>
              </w:rPr>
              <w:t>受益企业满意度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22B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8B0D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F13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2E65D">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120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188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E73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C0EA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B78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D504D">
            <w:pPr>
              <w:jc w:val="center"/>
            </w:pPr>
            <w:r>
              <w:rPr>
                <w:rFonts w:ascii="宋体" w:hAnsi="宋体" w:eastAsia="宋体"/>
                <w:sz w:val="16"/>
              </w:rPr>
              <w:t>抽取</w:t>
            </w:r>
            <w:r>
              <w:rPr>
                <w:rFonts w:hint="eastAsia" w:ascii="宋体" w:hAnsi="宋体"/>
                <w:sz w:val="16"/>
                <w:lang w:eastAsia="zh-CN"/>
              </w:rPr>
              <w:t>与</w:t>
            </w:r>
            <w:r>
              <w:rPr>
                <w:rFonts w:ascii="宋体" w:hAnsi="宋体" w:eastAsia="宋体"/>
                <w:sz w:val="16"/>
              </w:rPr>
              <w:t>本次项目有关的十家企业，发放满意度测评表，抽查企业打分均满意。</w:t>
            </w:r>
          </w:p>
        </w:tc>
      </w:tr>
      <w:tr w14:paraId="123CF47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2E39DF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CDA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BE50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9909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76B1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3F772">
            <w:pPr>
              <w:jc w:val="center"/>
            </w:pPr>
            <w:r>
              <w:rPr>
                <w:rFonts w:ascii="宋体" w:hAnsi="宋体" w:eastAsia="宋体"/>
                <w:sz w:val="16"/>
              </w:rPr>
              <w:t>94.09分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4853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B214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7AB8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C2D1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F2E8D4"/>
        </w:tc>
      </w:tr>
    </w:tbl>
    <w:p w14:paraId="09FAC5E4">
      <w:r>
        <w:br w:type="page"/>
      </w:r>
    </w:p>
    <w:p w14:paraId="1852CE4C">
      <w:pPr>
        <w:spacing w:line="640" w:lineRule="exact"/>
        <w:ind w:firstLine="640"/>
        <w:jc w:val="both"/>
        <w:outlineLvl w:val="2"/>
      </w:pPr>
      <w:r>
        <w:rPr>
          <w:rFonts w:ascii="黑体" w:hAnsi="黑体" w:eastAsia="黑体"/>
          <w:sz w:val="32"/>
        </w:rPr>
        <w:t>十二、其他需说明的事项</w:t>
      </w:r>
    </w:p>
    <w:p w14:paraId="69B514B2">
      <w:pPr>
        <w:spacing w:line="580" w:lineRule="exact"/>
        <w:ind w:firstLine="640"/>
        <w:jc w:val="both"/>
      </w:pPr>
      <w:r>
        <w:rPr>
          <w:rFonts w:ascii="仿宋_GB2312" w:hAnsi="仿宋_GB2312" w:eastAsia="仿宋_GB2312"/>
          <w:b w:val="0"/>
          <w:sz w:val="32"/>
        </w:rPr>
        <w:t>本年本单位SM项目1个，全年预算数</w:t>
      </w:r>
      <w:bookmarkStart w:id="0" w:name="_GoBack"/>
      <w:r>
        <w:rPr>
          <w:rFonts w:ascii="仿宋_GB2312" w:hAnsi="仿宋_GB2312" w:eastAsia="仿宋_GB2312"/>
          <w:b w:val="0"/>
          <w:sz w:val="32"/>
        </w:rPr>
        <w:t>161.0</w:t>
      </w:r>
      <w:bookmarkEnd w:id="0"/>
      <w:r>
        <w:rPr>
          <w:rFonts w:ascii="仿宋_GB2312" w:hAnsi="仿宋_GB2312" w:eastAsia="仿宋_GB2312"/>
          <w:b w:val="0"/>
          <w:sz w:val="32"/>
        </w:rPr>
        <w:t>0万元，全年执行数161.00万元。</w:t>
      </w:r>
    </w:p>
    <w:p w14:paraId="1386A33A">
      <w:r>
        <w:br w:type="page"/>
      </w:r>
    </w:p>
    <w:p w14:paraId="165DB85F">
      <w:pPr>
        <w:spacing w:line="240" w:lineRule="auto"/>
        <w:jc w:val="center"/>
        <w:outlineLvl w:val="1"/>
      </w:pPr>
      <w:r>
        <w:rPr>
          <w:rFonts w:ascii="黑体" w:hAnsi="黑体" w:eastAsia="黑体"/>
          <w:sz w:val="32"/>
        </w:rPr>
        <w:t>第三部分 专业名词解释</w:t>
      </w:r>
    </w:p>
    <w:p w14:paraId="0077D7C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397C96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EBBDA2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59BB67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D885AB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7BA83A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9C9094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3D048F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94506A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0D2FD8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194058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12DD6D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A17B34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3D6DB6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685928E">
      <w:r>
        <w:br w:type="page"/>
      </w:r>
    </w:p>
    <w:p w14:paraId="06281969">
      <w:pPr>
        <w:spacing w:line="240" w:lineRule="auto"/>
        <w:jc w:val="center"/>
        <w:outlineLvl w:val="1"/>
      </w:pPr>
      <w:r>
        <w:rPr>
          <w:rFonts w:ascii="黑体" w:hAnsi="黑体" w:eastAsia="黑体"/>
          <w:sz w:val="32"/>
        </w:rPr>
        <w:t>第四部分 部门决算报表（见附表）</w:t>
      </w:r>
    </w:p>
    <w:p w14:paraId="79614113">
      <w:pPr>
        <w:spacing w:line="240" w:lineRule="auto"/>
        <w:ind w:firstLine="640"/>
        <w:jc w:val="both"/>
      </w:pPr>
      <w:r>
        <w:rPr>
          <w:rFonts w:ascii="仿宋_GB2312" w:hAnsi="仿宋_GB2312" w:eastAsia="仿宋_GB2312"/>
          <w:b w:val="0"/>
          <w:sz w:val="32"/>
        </w:rPr>
        <w:t>一、《收入支出决算总表》</w:t>
      </w:r>
    </w:p>
    <w:p w14:paraId="3CF80160">
      <w:pPr>
        <w:spacing w:line="240" w:lineRule="auto"/>
        <w:ind w:firstLine="640"/>
        <w:jc w:val="both"/>
      </w:pPr>
      <w:r>
        <w:rPr>
          <w:rFonts w:ascii="仿宋_GB2312" w:hAnsi="仿宋_GB2312" w:eastAsia="仿宋_GB2312"/>
          <w:b w:val="0"/>
          <w:sz w:val="32"/>
        </w:rPr>
        <w:t>二、《收入决算表》</w:t>
      </w:r>
    </w:p>
    <w:p w14:paraId="6434A7FE">
      <w:pPr>
        <w:spacing w:line="240" w:lineRule="auto"/>
        <w:ind w:firstLine="640"/>
        <w:jc w:val="both"/>
      </w:pPr>
      <w:r>
        <w:rPr>
          <w:rFonts w:ascii="仿宋_GB2312" w:hAnsi="仿宋_GB2312" w:eastAsia="仿宋_GB2312"/>
          <w:b w:val="0"/>
          <w:sz w:val="32"/>
        </w:rPr>
        <w:t>三、《支出决算表》</w:t>
      </w:r>
    </w:p>
    <w:p w14:paraId="0B91DC2C">
      <w:pPr>
        <w:spacing w:line="240" w:lineRule="auto"/>
        <w:ind w:firstLine="640"/>
        <w:jc w:val="both"/>
      </w:pPr>
      <w:r>
        <w:rPr>
          <w:rFonts w:ascii="仿宋_GB2312" w:hAnsi="仿宋_GB2312" w:eastAsia="仿宋_GB2312"/>
          <w:b w:val="0"/>
          <w:sz w:val="32"/>
        </w:rPr>
        <w:t>四、《财政拨款收入支出决算总表》</w:t>
      </w:r>
    </w:p>
    <w:p w14:paraId="5B59355D">
      <w:pPr>
        <w:spacing w:line="240" w:lineRule="auto"/>
        <w:ind w:firstLine="640"/>
        <w:jc w:val="both"/>
      </w:pPr>
      <w:r>
        <w:rPr>
          <w:rFonts w:ascii="仿宋_GB2312" w:hAnsi="仿宋_GB2312" w:eastAsia="仿宋_GB2312"/>
          <w:b w:val="0"/>
          <w:sz w:val="32"/>
        </w:rPr>
        <w:t>五、《一般公共预算财政拨款支出决算表》</w:t>
      </w:r>
    </w:p>
    <w:p w14:paraId="557A477F">
      <w:pPr>
        <w:spacing w:line="240" w:lineRule="auto"/>
        <w:ind w:firstLine="640"/>
        <w:jc w:val="both"/>
      </w:pPr>
      <w:r>
        <w:rPr>
          <w:rFonts w:ascii="仿宋_GB2312" w:hAnsi="仿宋_GB2312" w:eastAsia="仿宋_GB2312"/>
          <w:b w:val="0"/>
          <w:sz w:val="32"/>
        </w:rPr>
        <w:t>六、《一般公共预算财政拨款基本支出决算表》</w:t>
      </w:r>
    </w:p>
    <w:p w14:paraId="45DDA5FA">
      <w:pPr>
        <w:spacing w:line="240" w:lineRule="auto"/>
        <w:ind w:firstLine="640"/>
        <w:jc w:val="both"/>
      </w:pPr>
      <w:r>
        <w:rPr>
          <w:rFonts w:ascii="仿宋_GB2312" w:hAnsi="仿宋_GB2312" w:eastAsia="仿宋_GB2312"/>
          <w:b w:val="0"/>
          <w:sz w:val="32"/>
        </w:rPr>
        <w:t>七、《政府性基金预算财政拨款收入支出决算表》</w:t>
      </w:r>
    </w:p>
    <w:p w14:paraId="59427820">
      <w:pPr>
        <w:spacing w:line="240" w:lineRule="auto"/>
        <w:ind w:firstLine="640"/>
        <w:jc w:val="both"/>
      </w:pPr>
      <w:r>
        <w:rPr>
          <w:rFonts w:ascii="仿宋_GB2312" w:hAnsi="仿宋_GB2312" w:eastAsia="仿宋_GB2312"/>
          <w:b w:val="0"/>
          <w:sz w:val="32"/>
        </w:rPr>
        <w:t>八、《国有资本经营预算财政拨款收入支出决算表》</w:t>
      </w:r>
    </w:p>
    <w:p w14:paraId="45E2937B">
      <w:pPr>
        <w:spacing w:line="240" w:lineRule="auto"/>
        <w:ind w:firstLine="640"/>
        <w:jc w:val="both"/>
      </w:pPr>
      <w:r>
        <w:rPr>
          <w:rFonts w:ascii="仿宋_GB2312" w:hAnsi="仿宋_GB2312" w:eastAsia="仿宋_GB2312"/>
          <w:b w:val="0"/>
          <w:sz w:val="32"/>
        </w:rPr>
        <w:t>九、《财政拨款“三公”经费支出决算表》</w:t>
      </w:r>
    </w:p>
    <w:p w14:paraId="54E54B51">
      <w:pPr>
        <w:spacing w:line="240" w:lineRule="auto"/>
        <w:ind w:firstLine="640"/>
        <w:jc w:val="both"/>
      </w:pPr>
    </w:p>
    <w:p w14:paraId="388F11E9">
      <w:pPr>
        <w:spacing w:line="240" w:lineRule="auto"/>
        <w:ind w:firstLine="640"/>
        <w:jc w:val="both"/>
      </w:pPr>
    </w:p>
    <w:p w14:paraId="0735AD86">
      <w:pPr>
        <w:spacing w:line="240" w:lineRule="auto"/>
        <w:ind w:firstLine="640"/>
        <w:jc w:val="both"/>
      </w:pPr>
    </w:p>
    <w:p w14:paraId="6B699B9F">
      <w:pPr>
        <w:spacing w:line="240" w:lineRule="auto"/>
        <w:ind w:firstLine="640"/>
        <w:jc w:val="both"/>
      </w:pPr>
    </w:p>
    <w:p w14:paraId="3992796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4C8AFF-6536-4272-A2D8-E88712FB32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B8EB756C-D43F-49ED-A949-7E76274D0924}"/>
  </w:font>
  <w:font w:name="仿宋_GB2312">
    <w:panose1 w:val="02010609030101010101"/>
    <w:charset w:val="86"/>
    <w:family w:val="modern"/>
    <w:pitch w:val="default"/>
    <w:sig w:usb0="00000001" w:usb1="080E0000" w:usb2="00000000" w:usb3="00000000" w:csb0="00040000" w:csb1="00000000"/>
    <w:embedRegular r:id="rId3" w:fontKey="{8C016F21-F530-40DD-B41E-B2957A14F7BD}"/>
  </w:font>
  <w:font w:name="楷体_GB2312">
    <w:panose1 w:val="02010609030101010101"/>
    <w:charset w:val="86"/>
    <w:family w:val="auto"/>
    <w:pitch w:val="default"/>
    <w:sig w:usb0="00000001" w:usb1="080E0000" w:usb2="00000000" w:usb3="00000000" w:csb0="00040000" w:csb1="00000000"/>
    <w:embedRegular r:id="rId4" w:fontKey="{D0B0C65D-BE34-4B90-9979-678A226FE71E}"/>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8C92A29"/>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781453"/>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52C3488"/>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5649</Words>
  <Characters>6377</Characters>
  <Lines>0</Lines>
  <Paragraphs>0</Paragraphs>
  <TotalTime>11</TotalTime>
  <ScaleCrop>false</ScaleCrop>
  <LinksUpToDate>false</LinksUpToDate>
  <CharactersWithSpaces>6385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2025-12-24T07:37:53Z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