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昌吉回族自治州红十字会社会救助培训中心2024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7DBEDDC8">
      <w:r>
        <w:br w:type="page"/>
      </w:r>
    </w:p>
    <w:p w14:paraId="5538E965">
      <w:pPr>
        <w:spacing w:line="640" w:lineRule="exact"/>
        <w:jc w:val="center"/>
        <w:outlineLvl w:val="1"/>
      </w:pPr>
      <w:r>
        <w:rPr>
          <w:rFonts w:ascii="黑体" w:hAnsi="黑体" w:eastAsia="黑体"/>
          <w:sz w:val="32"/>
        </w:rPr>
        <w:t>第一部分 单位概况</w:t>
      </w:r>
    </w:p>
    <w:p w14:paraId="43AB6882">
      <w:pPr>
        <w:spacing w:line="640" w:lineRule="exact"/>
        <w:ind w:firstLine="640"/>
        <w:jc w:val="both"/>
        <w:outlineLvl w:val="2"/>
      </w:pPr>
      <w:r>
        <w:rPr>
          <w:rFonts w:ascii="黑体" w:hAnsi="黑体" w:eastAsia="黑体"/>
          <w:sz w:val="32"/>
        </w:rPr>
        <w:t>一、主要职能</w:t>
      </w:r>
    </w:p>
    <w:p w14:paraId="19DF22B2">
      <w:pPr>
        <w:spacing w:line="580" w:lineRule="exact"/>
        <w:ind w:firstLine="640"/>
        <w:jc w:val="both"/>
      </w:pPr>
      <w:r>
        <w:rPr>
          <w:rFonts w:ascii="仿宋_GB2312" w:hAnsi="仿宋_GB2312" w:eastAsia="仿宋_GB2312"/>
          <w:sz w:val="32"/>
        </w:rPr>
        <w:t>⑴依照《中华人民共和国红十字会法》开展群众性应急救护知识技能的普及工作。</w:t>
      </w:r>
    </w:p>
    <w:p w14:paraId="3B1ADBE4">
      <w:pPr>
        <w:spacing w:line="580" w:lineRule="exact"/>
        <w:ind w:firstLine="640"/>
        <w:jc w:val="both"/>
      </w:pPr>
      <w:r>
        <w:rPr>
          <w:rFonts w:ascii="仿宋_GB2312" w:hAnsi="仿宋_GB2312" w:eastAsia="仿宋_GB2312"/>
          <w:sz w:val="32"/>
        </w:rPr>
        <w:t>⑵宣传普及红十字会“三救三献”核心业务。</w:t>
      </w:r>
    </w:p>
    <w:p w14:paraId="639D5E59">
      <w:pPr>
        <w:spacing w:line="580" w:lineRule="exact"/>
        <w:ind w:firstLine="640"/>
        <w:jc w:val="both"/>
      </w:pPr>
      <w:r>
        <w:rPr>
          <w:rFonts w:ascii="仿宋_GB2312" w:hAnsi="仿宋_GB2312" w:eastAsia="仿宋_GB2312"/>
          <w:sz w:val="32"/>
        </w:rPr>
        <w:t>⑶在自然灾害和突发事件现场，对伤病人员和其他受害者进行救助和现场救护工作。</w:t>
      </w:r>
    </w:p>
    <w:p w14:paraId="49E7B3D8">
      <w:pPr>
        <w:spacing w:line="640" w:lineRule="exact"/>
        <w:ind w:firstLine="640"/>
        <w:jc w:val="both"/>
        <w:outlineLvl w:val="2"/>
      </w:pPr>
      <w:r>
        <w:rPr>
          <w:rFonts w:ascii="黑体" w:hAnsi="黑体" w:eastAsia="黑体"/>
          <w:sz w:val="32"/>
        </w:rPr>
        <w:t>二、机构设置及人员情况</w:t>
      </w:r>
    </w:p>
    <w:p w14:paraId="7B84AAAC">
      <w:pPr>
        <w:spacing w:line="580" w:lineRule="exact"/>
        <w:ind w:firstLine="640"/>
        <w:jc w:val="both"/>
      </w:pPr>
      <w:r>
        <w:rPr>
          <w:rFonts w:ascii="仿宋_GB2312" w:hAnsi="仿宋_GB2312" w:eastAsia="仿宋_GB2312"/>
          <w:sz w:val="32"/>
        </w:rPr>
        <w:t>昌吉回族自治州红十字会社会救助培训中心2024年度，实有人数5人，其中：在职人员4人，增加0人；离休人员0人，增加0人；退休人员1人,增加0人。</w:t>
      </w:r>
    </w:p>
    <w:p w14:paraId="5ACDBE16">
      <w:pPr>
        <w:spacing w:line="580" w:lineRule="exact"/>
        <w:ind w:firstLine="640"/>
        <w:jc w:val="both"/>
      </w:pPr>
      <w:r>
        <w:rPr>
          <w:rFonts w:ascii="仿宋_GB2312" w:hAnsi="仿宋_GB2312" w:eastAsia="仿宋_GB2312"/>
          <w:sz w:val="32"/>
        </w:rPr>
        <w:t>昌吉回族自治州红十字会社会救助培训中心无下属预算单位，下设</w:t>
      </w:r>
      <w:r>
        <w:rPr>
          <w:rFonts w:hint="eastAsia" w:ascii="仿宋_GB2312" w:hAnsi="仿宋_GB2312" w:eastAsia="仿宋_GB2312"/>
          <w:sz w:val="32"/>
          <w:lang w:val="en-US" w:eastAsia="zh-CN"/>
        </w:rPr>
        <w:t>1</w:t>
      </w:r>
      <w:r>
        <w:rPr>
          <w:rFonts w:ascii="仿宋_GB2312" w:hAnsi="仿宋_GB2312" w:eastAsia="仿宋_GB2312"/>
          <w:sz w:val="32"/>
        </w:rPr>
        <w:t>个科室，分别是：</w:t>
      </w:r>
      <w:r>
        <w:rPr>
          <w:rFonts w:hint="eastAsia" w:ascii="仿宋_GB2312" w:hAnsi="仿宋_GB2312" w:eastAsia="仿宋_GB2312"/>
          <w:sz w:val="32"/>
          <w:lang w:val="en-US" w:eastAsia="zh-CN"/>
        </w:rPr>
        <w:t>社会救助培训中心</w:t>
      </w:r>
      <w:bookmarkStart w:id="0" w:name="_GoBack"/>
      <w:bookmarkEnd w:id="0"/>
      <w:r>
        <w:rPr>
          <w:rFonts w:ascii="仿宋_GB2312" w:hAnsi="仿宋_GB2312" w:eastAsia="仿宋_GB2312"/>
          <w:sz w:val="32"/>
        </w:rPr>
        <w:t>。</w:t>
      </w:r>
    </w:p>
    <w:p w14:paraId="2866336A">
      <w:r>
        <w:br w:type="page"/>
      </w:r>
    </w:p>
    <w:p w14:paraId="7483FFA4">
      <w:pPr>
        <w:spacing w:line="240" w:lineRule="auto"/>
        <w:jc w:val="center"/>
        <w:outlineLvl w:val="1"/>
      </w:pPr>
      <w:r>
        <w:rPr>
          <w:rFonts w:ascii="黑体" w:hAnsi="黑体" w:eastAsia="黑体"/>
          <w:sz w:val="32"/>
        </w:rPr>
        <w:t>第二部分 部门决算情况说明</w:t>
      </w:r>
    </w:p>
    <w:p w14:paraId="28ED8222">
      <w:pPr>
        <w:spacing w:line="640" w:lineRule="exact"/>
        <w:ind w:firstLine="640"/>
        <w:jc w:val="both"/>
        <w:outlineLvl w:val="2"/>
      </w:pPr>
      <w:r>
        <w:rPr>
          <w:rFonts w:ascii="黑体" w:hAnsi="黑体" w:eastAsia="黑体"/>
          <w:sz w:val="32"/>
        </w:rPr>
        <w:t>一、收入支出决算总体情况说明</w:t>
      </w:r>
    </w:p>
    <w:p w14:paraId="1800A121">
      <w:pPr>
        <w:spacing w:line="580" w:lineRule="exact"/>
        <w:ind w:firstLine="640"/>
        <w:jc w:val="both"/>
      </w:pPr>
      <w:r>
        <w:rPr>
          <w:rFonts w:ascii="仿宋_GB2312" w:hAnsi="仿宋_GB2312" w:eastAsia="仿宋_GB2312"/>
          <w:b/>
          <w:sz w:val="32"/>
        </w:rPr>
        <w:t>2024年度收入总计84.16万元，</w:t>
      </w:r>
      <w:r>
        <w:rPr>
          <w:rFonts w:ascii="仿宋_GB2312" w:hAnsi="仿宋_GB2312" w:eastAsia="仿宋_GB2312"/>
          <w:b w:val="0"/>
          <w:sz w:val="32"/>
        </w:rPr>
        <w:t>其中：本年收入合计77.91万元，使用非财政拨款结余（含专用结余）0.00万元，年初结转和结余6.25万元。</w:t>
      </w:r>
    </w:p>
    <w:p w14:paraId="1D361A25">
      <w:pPr>
        <w:spacing w:line="580" w:lineRule="exact"/>
        <w:ind w:firstLine="640"/>
        <w:jc w:val="both"/>
      </w:pPr>
      <w:r>
        <w:rPr>
          <w:rFonts w:ascii="仿宋_GB2312" w:hAnsi="仿宋_GB2312" w:eastAsia="仿宋_GB2312"/>
          <w:b/>
          <w:sz w:val="32"/>
        </w:rPr>
        <w:t>2024年度支出总计84.16万元，</w:t>
      </w:r>
      <w:r>
        <w:rPr>
          <w:rFonts w:ascii="仿宋_GB2312" w:hAnsi="仿宋_GB2312" w:eastAsia="仿宋_GB2312"/>
          <w:b w:val="0"/>
          <w:sz w:val="32"/>
        </w:rPr>
        <w:t>其中：本年支出合计77.91万元，结余分配0.00万元，年末结转和结余6.25万元。</w:t>
      </w:r>
    </w:p>
    <w:p w14:paraId="33BBF49E">
      <w:pPr>
        <w:spacing w:line="580" w:lineRule="exact"/>
        <w:ind w:firstLine="640"/>
        <w:jc w:val="both"/>
      </w:pPr>
      <w:r>
        <w:rPr>
          <w:rFonts w:ascii="仿宋_GB2312" w:hAnsi="仿宋_GB2312" w:eastAsia="仿宋_GB2312"/>
          <w:b w:val="0"/>
          <w:sz w:val="32"/>
        </w:rPr>
        <w:t>收入支出总体与上年相比，增加6.55万元，增长8.44%，主要原因是：本年在职人员工资调增，社保、公积金基数调增，人员经费增加。</w:t>
      </w:r>
    </w:p>
    <w:p w14:paraId="380F6F29">
      <w:pPr>
        <w:spacing w:line="640" w:lineRule="exact"/>
        <w:ind w:firstLine="640"/>
        <w:jc w:val="both"/>
        <w:outlineLvl w:val="2"/>
      </w:pPr>
      <w:r>
        <w:rPr>
          <w:rFonts w:ascii="黑体" w:hAnsi="黑体" w:eastAsia="黑体"/>
          <w:sz w:val="32"/>
        </w:rPr>
        <w:t>二、收入决算情况说明</w:t>
      </w:r>
    </w:p>
    <w:p w14:paraId="5327EB0F">
      <w:pPr>
        <w:spacing w:line="580" w:lineRule="exact"/>
        <w:ind w:firstLine="640"/>
        <w:jc w:val="both"/>
      </w:pPr>
      <w:r>
        <w:rPr>
          <w:rFonts w:ascii="仿宋_GB2312" w:hAnsi="仿宋_GB2312" w:eastAsia="仿宋_GB2312"/>
          <w:b/>
          <w:sz w:val="32"/>
        </w:rPr>
        <w:t>本年收入77.91万元，</w:t>
      </w:r>
      <w:r>
        <w:rPr>
          <w:rFonts w:ascii="仿宋_GB2312" w:hAnsi="仿宋_GB2312" w:eastAsia="仿宋_GB2312"/>
          <w:b w:val="0"/>
          <w:sz w:val="32"/>
        </w:rPr>
        <w:t>其中：财政拨款收入77.91万元，占100.00%；上级补助收入0.00万元，占0.00%；事业收入0.00万元，占0.00%；经营收入0.00万元，占0.00%；附属单位上缴收入0.00万元，占0.00%；其他收入0.00万元，占0.00%。</w:t>
      </w:r>
    </w:p>
    <w:p w14:paraId="5CD1E8DA">
      <w:pPr>
        <w:spacing w:line="640" w:lineRule="exact"/>
        <w:ind w:firstLine="640"/>
        <w:jc w:val="both"/>
        <w:outlineLvl w:val="2"/>
      </w:pPr>
      <w:r>
        <w:rPr>
          <w:rFonts w:ascii="黑体" w:hAnsi="黑体" w:eastAsia="黑体"/>
          <w:sz w:val="32"/>
        </w:rPr>
        <w:t>三、支出决算情况说明</w:t>
      </w:r>
    </w:p>
    <w:p w14:paraId="6C32B7F6">
      <w:pPr>
        <w:spacing w:line="580" w:lineRule="exact"/>
        <w:ind w:firstLine="640"/>
        <w:jc w:val="both"/>
      </w:pPr>
      <w:r>
        <w:rPr>
          <w:rFonts w:ascii="仿宋_GB2312" w:hAnsi="仿宋_GB2312" w:eastAsia="仿宋_GB2312"/>
          <w:b/>
          <w:sz w:val="32"/>
        </w:rPr>
        <w:t>本年支出77.91万元，</w:t>
      </w:r>
      <w:r>
        <w:rPr>
          <w:rFonts w:ascii="仿宋_GB2312" w:hAnsi="仿宋_GB2312" w:eastAsia="仿宋_GB2312"/>
          <w:b w:val="0"/>
          <w:sz w:val="32"/>
        </w:rPr>
        <w:t>其中：基本支出77.91万元，占100.00%；项目支出0.00万元，占0.00%；上缴上级支出0.00万元，占0.00%；经营支出0.00万元，占0.00%；对附属单位补助支出0.00万元，占0.00%。</w:t>
      </w:r>
    </w:p>
    <w:p w14:paraId="0AD4DD32">
      <w:pPr>
        <w:spacing w:line="640" w:lineRule="exact"/>
        <w:ind w:firstLine="640"/>
        <w:jc w:val="both"/>
        <w:outlineLvl w:val="2"/>
      </w:pPr>
      <w:r>
        <w:rPr>
          <w:rFonts w:ascii="黑体" w:hAnsi="黑体" w:eastAsia="黑体"/>
          <w:sz w:val="32"/>
        </w:rPr>
        <w:t>四、财政拨款收入支出决算总体情况说明</w:t>
      </w:r>
    </w:p>
    <w:p w14:paraId="4BDECDDE">
      <w:pPr>
        <w:spacing w:line="580" w:lineRule="exact"/>
        <w:ind w:firstLine="640"/>
        <w:jc w:val="both"/>
      </w:pPr>
      <w:r>
        <w:rPr>
          <w:rFonts w:ascii="仿宋_GB2312" w:hAnsi="仿宋_GB2312" w:eastAsia="仿宋_GB2312"/>
          <w:b/>
          <w:sz w:val="32"/>
        </w:rPr>
        <w:t>2024年度财政拨款收入总计77.91万元，</w:t>
      </w:r>
      <w:r>
        <w:rPr>
          <w:rFonts w:ascii="仿宋_GB2312" w:hAnsi="仿宋_GB2312" w:eastAsia="仿宋_GB2312"/>
          <w:b w:val="0"/>
          <w:sz w:val="32"/>
        </w:rPr>
        <w:t>其中：年初财政拨款结转和结余0.00万元，本年财政拨款收入77.91万元。</w:t>
      </w:r>
      <w:r>
        <w:rPr>
          <w:rFonts w:ascii="仿宋_GB2312" w:hAnsi="仿宋_GB2312" w:eastAsia="仿宋_GB2312"/>
          <w:b/>
          <w:sz w:val="32"/>
        </w:rPr>
        <w:t>财政拨款支出总计77.91万元，</w:t>
      </w:r>
      <w:r>
        <w:rPr>
          <w:rFonts w:ascii="仿宋_GB2312" w:hAnsi="仿宋_GB2312" w:eastAsia="仿宋_GB2312"/>
          <w:b w:val="0"/>
          <w:sz w:val="32"/>
        </w:rPr>
        <w:t>其中：年末财政拨款结转和结余0.00万元，本年财政拨款支出77.91万元。</w:t>
      </w:r>
    </w:p>
    <w:p w14:paraId="702D2A63">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增加6.55万元，增长9.18%，主要原因是：本年在职人员工资调增，社保、公积金基数调增，人员经费增加。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年初预算数73.03万元，决算数77.91万元，预决算差异率6.68%，主要原因是：年中追加人员工资、社保、公积金基数调增部分资金及人员绩效，导致预决算存在差异。</w:t>
      </w:r>
    </w:p>
    <w:p w14:paraId="5D722718">
      <w:pPr>
        <w:spacing w:line="640" w:lineRule="exact"/>
        <w:ind w:firstLine="640"/>
        <w:jc w:val="both"/>
        <w:outlineLvl w:val="2"/>
      </w:pPr>
      <w:r>
        <w:rPr>
          <w:rFonts w:ascii="黑体" w:hAnsi="黑体" w:eastAsia="黑体"/>
          <w:sz w:val="32"/>
        </w:rPr>
        <w:t>五、一般公共预算财政拨款支出决算情况说明</w:t>
      </w:r>
    </w:p>
    <w:p w14:paraId="17B4667C">
      <w:pPr>
        <w:spacing w:line="640" w:lineRule="exact"/>
        <w:ind w:firstLine="640"/>
        <w:jc w:val="both"/>
        <w:outlineLvl w:val="3"/>
      </w:pPr>
      <w:r>
        <w:rPr>
          <w:rFonts w:ascii="楷体_GB2312" w:hAnsi="楷体_GB2312" w:eastAsia="楷体_GB2312"/>
          <w:b/>
          <w:sz w:val="32"/>
        </w:rPr>
        <w:t>（一）一般公共预算财政拨款支出决算总体情况</w:t>
      </w:r>
    </w:p>
    <w:p w14:paraId="41EDDBF1">
      <w:pPr>
        <w:spacing w:line="580" w:lineRule="exact"/>
        <w:ind w:firstLine="640"/>
        <w:jc w:val="both"/>
      </w:pPr>
      <w:r>
        <w:rPr>
          <w:rFonts w:ascii="仿宋_GB2312" w:hAnsi="仿宋_GB2312" w:eastAsia="仿宋_GB2312"/>
          <w:b/>
          <w:sz w:val="32"/>
        </w:rPr>
        <w:t>2024年度一般公共预算财政拨款支出77.91万元，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增加6.55万元，增长9.18%，主要原因是：本年在职人员工资调增，社保、公积金基数调增，人员经费增加。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年初预算数73.03万元，决算数77.91万元，预决算差异率6.68%，主要原因是：年中追加人员工资、社保、公积金基数调增部分资金及人员绩效，导致预决算存在差异。</w:t>
      </w:r>
    </w:p>
    <w:p w14:paraId="1642AFE7">
      <w:pPr>
        <w:spacing w:line="640" w:lineRule="exact"/>
        <w:ind w:firstLine="640"/>
        <w:jc w:val="both"/>
        <w:outlineLvl w:val="3"/>
      </w:pPr>
      <w:r>
        <w:rPr>
          <w:rFonts w:ascii="楷体_GB2312" w:hAnsi="楷体_GB2312" w:eastAsia="楷体_GB2312"/>
          <w:b/>
          <w:sz w:val="32"/>
        </w:rPr>
        <w:t>（二）一般公共预算财政拨款支出决算结构情况</w:t>
      </w:r>
    </w:p>
    <w:p w14:paraId="38997369">
      <w:pPr>
        <w:spacing w:line="580" w:lineRule="exact"/>
        <w:ind w:firstLine="640"/>
        <w:jc w:val="both"/>
      </w:pPr>
      <w:r>
        <w:rPr>
          <w:rFonts w:ascii="仿宋_GB2312" w:hAnsi="仿宋_GB2312" w:eastAsia="仿宋_GB2312"/>
          <w:b w:val="0"/>
          <w:sz w:val="32"/>
        </w:rPr>
        <w:t>1.社会保障和就业支出(类)68.60万元,占88.05%。</w:t>
      </w:r>
    </w:p>
    <w:p w14:paraId="6A8785BF">
      <w:pPr>
        <w:spacing w:line="580" w:lineRule="exact"/>
        <w:ind w:firstLine="640"/>
        <w:jc w:val="both"/>
      </w:pPr>
      <w:r>
        <w:rPr>
          <w:rFonts w:ascii="仿宋_GB2312" w:hAnsi="仿宋_GB2312" w:eastAsia="仿宋_GB2312"/>
          <w:b w:val="0"/>
          <w:sz w:val="32"/>
        </w:rPr>
        <w:t>2.卫生健康支出(类)3.85万元,占4.94%。</w:t>
      </w:r>
    </w:p>
    <w:p w14:paraId="719C5FDD">
      <w:pPr>
        <w:spacing w:line="580" w:lineRule="exact"/>
        <w:ind w:firstLine="640"/>
        <w:jc w:val="both"/>
      </w:pPr>
      <w:r>
        <w:rPr>
          <w:rFonts w:ascii="仿宋_GB2312" w:hAnsi="仿宋_GB2312" w:eastAsia="仿宋_GB2312"/>
          <w:b w:val="0"/>
          <w:sz w:val="32"/>
        </w:rPr>
        <w:t>3.住房保障支出(类)5.46万元,占7.01%。</w:t>
      </w:r>
    </w:p>
    <w:p w14:paraId="63166E83">
      <w:pPr>
        <w:spacing w:line="640" w:lineRule="exact"/>
        <w:ind w:firstLine="640"/>
        <w:jc w:val="both"/>
        <w:outlineLvl w:val="3"/>
      </w:pPr>
      <w:r>
        <w:rPr>
          <w:rFonts w:ascii="楷体_GB2312" w:hAnsi="楷体_GB2312" w:eastAsia="楷体_GB2312"/>
          <w:b/>
          <w:sz w:val="32"/>
        </w:rPr>
        <w:t>（三）一般公共预算财政拨款支出决算具体情况</w:t>
      </w:r>
    </w:p>
    <w:p w14:paraId="756C90F3">
      <w:pPr>
        <w:spacing w:line="580" w:lineRule="exact"/>
        <w:ind w:firstLine="640"/>
        <w:jc w:val="both"/>
      </w:pPr>
      <w:r>
        <w:rPr>
          <w:rFonts w:ascii="仿宋_GB2312" w:hAnsi="仿宋_GB2312" w:eastAsia="仿宋_GB2312"/>
          <w:b w:val="0"/>
          <w:sz w:val="32"/>
        </w:rPr>
        <w:t>1.社会保障和就业支出(类)行政事业单位养老支出(款)事业单位离退休(项):支出决算数为0.73万元，比上年决算增加0.26万元，增长55.32%,主要原因是：本年增加退休人员基础绩效奖，退休费支出增加。</w:t>
      </w:r>
    </w:p>
    <w:p w14:paraId="19CF333D">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7.28万元，比上年决算增加0.89万元，增长13.93%,主要原因是：本年在职人员工资基数调增，养老缴费基数上涨，相应支出增加。</w:t>
      </w:r>
    </w:p>
    <w:p w14:paraId="55D614AD">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3.45万元，比上年决算增加0.20万元，增长6.15%,主要原因是：本年在职人员工资基数调增，职业年金缴费基数上涨，相应支出增加。</w:t>
      </w:r>
    </w:p>
    <w:p w14:paraId="545D464D">
      <w:pPr>
        <w:spacing w:line="580" w:lineRule="exact"/>
        <w:ind w:firstLine="640"/>
        <w:jc w:val="both"/>
      </w:pPr>
      <w:r>
        <w:rPr>
          <w:rFonts w:ascii="仿宋_GB2312" w:hAnsi="仿宋_GB2312" w:eastAsia="仿宋_GB2312"/>
          <w:b w:val="0"/>
          <w:sz w:val="32"/>
        </w:rPr>
        <w:t>4.社会保障和就业支出(类)红十字事业(款)其他红十字事业支出(项):支出决算数为57.14万元，比上年决算增加2.66万元，增长4.88%,主要原因是：本年在职人员工资基数调增，人员经费增加。</w:t>
      </w:r>
    </w:p>
    <w:p w14:paraId="7DB0D00A">
      <w:pPr>
        <w:spacing w:line="580" w:lineRule="exact"/>
        <w:ind w:firstLine="640"/>
        <w:jc w:val="both"/>
      </w:pPr>
      <w:r>
        <w:rPr>
          <w:rFonts w:ascii="仿宋_GB2312" w:hAnsi="仿宋_GB2312" w:eastAsia="仿宋_GB2312"/>
          <w:b w:val="0"/>
          <w:sz w:val="32"/>
        </w:rPr>
        <w:t>5.卫生健康支出(类)行政事业单位医疗(款)行政单位医疗(项):支出决算数为0.05万元，比上年决算增加0.05万元，增长100.00%,主要原因是：本年功能科目调整，行政单位医疗支出上年度在主科目列支，本年单独列支，导致经费较上年增加。</w:t>
      </w:r>
    </w:p>
    <w:p w14:paraId="7FC08165">
      <w:pPr>
        <w:spacing w:line="580" w:lineRule="exact"/>
        <w:ind w:firstLine="640"/>
        <w:jc w:val="both"/>
      </w:pPr>
      <w:r>
        <w:rPr>
          <w:rFonts w:ascii="仿宋_GB2312" w:hAnsi="仿宋_GB2312" w:eastAsia="仿宋_GB2312"/>
          <w:b w:val="0"/>
          <w:sz w:val="32"/>
        </w:rPr>
        <w:t>6.卫生健康支出(类)行政事业单位医疗(款)事业单位医疗(项):支出决算数为3.55万元，比上年决算增加1.45万元，增长69.05%,主要原因是：本年在职人员工资基数调增，事业单位医疗缴费基数上涨，相应支出增加。</w:t>
      </w:r>
    </w:p>
    <w:p w14:paraId="1612FD64">
      <w:pPr>
        <w:spacing w:line="580" w:lineRule="exact"/>
        <w:ind w:firstLine="640"/>
        <w:jc w:val="both"/>
      </w:pPr>
      <w:r>
        <w:rPr>
          <w:rFonts w:ascii="仿宋_GB2312" w:hAnsi="仿宋_GB2312" w:eastAsia="仿宋_GB2312"/>
          <w:b w:val="0"/>
          <w:sz w:val="32"/>
        </w:rPr>
        <w:t>7.卫生健康支出(类)行政事业单位医疗(款)公务员医疗补助(项):支出决算数为0.23万元，比上年决算增加0.05万元，增长27.78%,主要原因是：本年在职人员工资基数调增，公务员医疗补助缴费基数上涨，相应支出增加。</w:t>
      </w:r>
    </w:p>
    <w:p w14:paraId="52F839D9">
      <w:pPr>
        <w:spacing w:line="580" w:lineRule="exact"/>
        <w:ind w:firstLine="640"/>
        <w:jc w:val="both"/>
      </w:pPr>
      <w:r>
        <w:rPr>
          <w:rFonts w:ascii="仿宋_GB2312" w:hAnsi="仿宋_GB2312" w:eastAsia="仿宋_GB2312"/>
          <w:b w:val="0"/>
          <w:sz w:val="32"/>
        </w:rPr>
        <w:t>8.卫生健康支出(类)行政事业单位医疗(款)其他行政事业单位医疗支出(项):支出决算数为0.03万元，比上年决算增加0.00万元，增长0.00%,主要原因是：本年在职人员大病医疗补助缴费与上年持平，无变化。</w:t>
      </w:r>
    </w:p>
    <w:p w14:paraId="5BC6141F">
      <w:pPr>
        <w:spacing w:line="580" w:lineRule="exact"/>
        <w:ind w:firstLine="640"/>
        <w:jc w:val="both"/>
      </w:pPr>
      <w:r>
        <w:rPr>
          <w:rFonts w:ascii="仿宋_GB2312" w:hAnsi="仿宋_GB2312" w:eastAsia="仿宋_GB2312"/>
          <w:b w:val="0"/>
          <w:sz w:val="32"/>
        </w:rPr>
        <w:t>9.住房保障支出(类)住房改革支出(款)住房公积金(项):支出决算数为5.46万元，比上年决算增加1.00万元，增长22.42%,主要原因是：本年在职人员工资基数调增，公积金缴费基数上涨，相应支出增加。</w:t>
      </w:r>
    </w:p>
    <w:p w14:paraId="0AD613A8">
      <w:pPr>
        <w:spacing w:line="640" w:lineRule="exact"/>
        <w:ind w:firstLine="640"/>
        <w:jc w:val="both"/>
        <w:outlineLvl w:val="2"/>
      </w:pPr>
      <w:r>
        <w:rPr>
          <w:rFonts w:ascii="黑体" w:hAnsi="黑体" w:eastAsia="黑体"/>
          <w:sz w:val="32"/>
        </w:rPr>
        <w:t>六、一般公共预算财政拨款基本支出决算情况说明</w:t>
      </w:r>
    </w:p>
    <w:p w14:paraId="4B03A29C">
      <w:pPr>
        <w:spacing w:line="580" w:lineRule="exact"/>
        <w:ind w:firstLine="640"/>
        <w:jc w:val="both"/>
      </w:pPr>
      <w:r>
        <w:rPr>
          <w:rFonts w:ascii="仿宋_GB2312" w:hAnsi="仿宋_GB2312" w:eastAsia="仿宋_GB2312"/>
          <w:b w:val="0"/>
          <w:sz w:val="32"/>
        </w:rPr>
        <w:t>2024年度一般公共预算财政拨款基本支出77.91万元，其中：</w:t>
      </w:r>
      <w:r>
        <w:rPr>
          <w:rFonts w:ascii="仿宋_GB2312" w:hAnsi="仿宋_GB2312" w:eastAsia="仿宋_GB2312"/>
          <w:b/>
          <w:sz w:val="32"/>
        </w:rPr>
        <w:t>人员经费72.37万元，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包括：基本工资、津贴补贴、奖金、绩效工资、机关事业单位基本养老保险缴费、职业年金缴费、职工基本医疗保险缴费、公务员医疗补助缴费、其他社会保障缴费、住房公积金、退休费、奖励金。</w:t>
      </w:r>
    </w:p>
    <w:p w14:paraId="6D30ECA9">
      <w:pPr>
        <w:spacing w:line="580" w:lineRule="exact"/>
        <w:ind w:firstLine="640"/>
        <w:jc w:val="both"/>
      </w:pPr>
      <w:r>
        <w:rPr>
          <w:rFonts w:ascii="仿宋_GB2312" w:hAnsi="仿宋_GB2312" w:eastAsia="仿宋_GB2312"/>
          <w:b/>
          <w:sz w:val="32"/>
        </w:rPr>
        <w:t>公用经费5.54万元，</w:t>
      </w:r>
      <w:r>
        <w:rPr>
          <w:rFonts w:ascii="仿宋_GB2312" w:hAnsi="仿宋_GB2312" w:eastAsia="仿宋_GB2312"/>
          <w:b w:val="0"/>
          <w:sz w:val="32"/>
        </w:rPr>
        <w:t>包括：办公费、邮电费、差旅费、劳务费、工会经费、福利费、公务用车运行维护费、其他交通费用、其他商品和服务支出。</w:t>
      </w:r>
    </w:p>
    <w:p w14:paraId="0B30034C">
      <w:pPr>
        <w:spacing w:line="640" w:lineRule="exact"/>
        <w:ind w:firstLine="640"/>
        <w:jc w:val="both"/>
        <w:outlineLvl w:val="2"/>
      </w:pPr>
      <w:r>
        <w:rPr>
          <w:rFonts w:ascii="黑体" w:hAnsi="黑体" w:eastAsia="黑体"/>
          <w:sz w:val="32"/>
        </w:rPr>
        <w:t>七、政府性基金预算财政拨款收入支出决算情况说明</w:t>
      </w:r>
    </w:p>
    <w:p w14:paraId="0D34F760">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5023004">
      <w:pPr>
        <w:spacing w:line="640" w:lineRule="exact"/>
        <w:ind w:firstLine="640"/>
        <w:jc w:val="both"/>
        <w:outlineLvl w:val="2"/>
      </w:pPr>
      <w:r>
        <w:rPr>
          <w:rFonts w:ascii="黑体" w:hAnsi="黑体" w:eastAsia="黑体"/>
          <w:sz w:val="32"/>
        </w:rPr>
        <w:t>八、国有资本经营预算财政拨款收入支出决算情况说明</w:t>
      </w:r>
    </w:p>
    <w:p w14:paraId="3ADA1CCD">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3459F13">
      <w:pPr>
        <w:spacing w:line="640" w:lineRule="exact"/>
        <w:ind w:firstLine="640"/>
        <w:jc w:val="both"/>
        <w:outlineLvl w:val="2"/>
      </w:pPr>
      <w:r>
        <w:rPr>
          <w:rFonts w:ascii="黑体" w:hAnsi="黑体" w:eastAsia="黑体"/>
          <w:sz w:val="32"/>
        </w:rPr>
        <w:t>九、财政拨款“三公”经费支出决算情况说明</w:t>
      </w:r>
    </w:p>
    <w:p w14:paraId="3C67E644">
      <w:pPr>
        <w:spacing w:line="580" w:lineRule="exact"/>
        <w:ind w:firstLine="640"/>
        <w:jc w:val="both"/>
      </w:pPr>
      <w:r>
        <w:rPr>
          <w:rFonts w:ascii="仿宋_GB2312" w:hAnsi="仿宋_GB2312" w:eastAsia="仿宋_GB2312"/>
          <w:b/>
          <w:sz w:val="32"/>
        </w:rPr>
        <w:t>2024年度财政拨款“三公”经费支出1.50万元，</w:t>
      </w:r>
      <w:r>
        <w:rPr>
          <w:rFonts w:ascii="仿宋_GB2312" w:hAnsi="仿宋_GB2312" w:eastAsia="仿宋_GB2312"/>
          <w:b w:val="0"/>
          <w:sz w:val="32"/>
        </w:rPr>
        <w:t>比上年减少0.10万元，下降6.25%，主要原因是：严格落实中央八项规定精神，厉行节约，减少公务用车运行维护费。其中：因公出国（境）费支出0.00万元，占0.00%，比上年增加0.00万元，增长0.00%，主要原因是：2023年与2024年均未安排因公出国（境）费支出。公务用车购置及运行维护费支出1.50万元，占100.00%，比上年减少0.10万元，下降6.25%，主要原因是：严格落实中央八项规定精神，厉行节约，减少公务用车运行维护费。公务接待费支出0.00万元，占0.00%，比上年增加0.00万元，增长0.00%，主要原因是：2023年与2024年均未安排公务接待费支出。</w:t>
      </w:r>
    </w:p>
    <w:p w14:paraId="72D26B39">
      <w:pPr>
        <w:spacing w:line="580" w:lineRule="exact"/>
        <w:ind w:firstLine="640"/>
        <w:jc w:val="both"/>
      </w:pPr>
      <w:r>
        <w:rPr>
          <w:rFonts w:ascii="仿宋_GB2312" w:hAnsi="仿宋_GB2312" w:eastAsia="仿宋_GB2312"/>
          <w:b/>
          <w:sz w:val="32"/>
        </w:rPr>
        <w:t>具体情况如下：</w:t>
      </w:r>
    </w:p>
    <w:p w14:paraId="4BC16423">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0A3145E5">
      <w:pPr>
        <w:spacing w:line="580" w:lineRule="exact"/>
        <w:ind w:firstLine="640"/>
        <w:jc w:val="both"/>
      </w:pPr>
      <w:r>
        <w:rPr>
          <w:rFonts w:ascii="仿宋_GB2312" w:hAnsi="仿宋_GB2312" w:eastAsia="仿宋_GB2312"/>
          <w:b w:val="0"/>
          <w:sz w:val="32"/>
        </w:rPr>
        <w:t>公务用车购置及运行维护费1.50万元，其中：公务用车购置费0.00万元，公务用车运行维护费1.50万元。公务用车运行维护费开支内容包括车辆加油费、维修费、保险费、审车费、过路费等。公务用车购置数0辆，公务用车保有量1辆。国有资产占用情况中固定资产车辆1辆，与公务用车保有量差异原因是：本单位固定资产车辆与公务用车保有量一致无差异。</w:t>
      </w:r>
    </w:p>
    <w:p w14:paraId="3FA96234">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20E728EE">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1.50万元，决算数1.50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1.50万元，决算数1.50万元，预决算差异率0.00%，主要原因是：严格按照预算执行，预决算无差异。公务接待费全年预算数0.00万元，决算数0.00万元，预决算差异率0.00%，主要原因是：本单位无公务接待费。</w:t>
      </w:r>
    </w:p>
    <w:p w14:paraId="441D5DFE">
      <w:pPr>
        <w:spacing w:line="640" w:lineRule="exact"/>
        <w:ind w:firstLine="640"/>
        <w:jc w:val="both"/>
        <w:outlineLvl w:val="2"/>
      </w:pPr>
      <w:r>
        <w:rPr>
          <w:rFonts w:ascii="黑体" w:hAnsi="黑体" w:eastAsia="黑体"/>
          <w:sz w:val="32"/>
        </w:rPr>
        <w:t>十、其他重要事项的情况说明</w:t>
      </w:r>
    </w:p>
    <w:p w14:paraId="561A27D9">
      <w:pPr>
        <w:spacing w:line="640" w:lineRule="exact"/>
        <w:ind w:firstLine="640"/>
        <w:jc w:val="both"/>
        <w:outlineLvl w:val="3"/>
      </w:pPr>
      <w:r>
        <w:rPr>
          <w:rFonts w:ascii="楷体_GB2312" w:hAnsi="楷体_GB2312" w:eastAsia="楷体_GB2312"/>
          <w:b/>
          <w:sz w:val="32"/>
        </w:rPr>
        <w:t>（一）机关运行经费及公用经费支出情况</w:t>
      </w:r>
    </w:p>
    <w:p w14:paraId="26FE5700">
      <w:pPr>
        <w:spacing w:line="580" w:lineRule="exact"/>
        <w:ind w:firstLine="640"/>
        <w:jc w:val="both"/>
      </w:pPr>
      <w:r>
        <w:rPr>
          <w:rFonts w:ascii="仿宋_GB2312" w:hAnsi="仿宋_GB2312" w:eastAsia="仿宋_GB2312"/>
          <w:b w:val="0"/>
          <w:sz w:val="32"/>
        </w:rPr>
        <w:t>2024年度昌吉回族自治州红十字会社会救助培训中心（事业单位）公用经费支出5.54万元，比上年减少0.12万元，下降2.12%，主要原因是：严格控制公用经费，合理节约办公用品，减少不必要开支。</w:t>
      </w:r>
    </w:p>
    <w:p w14:paraId="16906487">
      <w:pPr>
        <w:spacing w:line="640" w:lineRule="exact"/>
        <w:ind w:firstLine="640"/>
        <w:jc w:val="both"/>
        <w:outlineLvl w:val="3"/>
      </w:pPr>
      <w:r>
        <w:rPr>
          <w:rFonts w:ascii="楷体_GB2312" w:hAnsi="楷体_GB2312" w:eastAsia="楷体_GB2312"/>
          <w:b/>
          <w:sz w:val="32"/>
        </w:rPr>
        <w:t>（二）政府采购情况</w:t>
      </w:r>
    </w:p>
    <w:p w14:paraId="00D3DE42">
      <w:pPr>
        <w:spacing w:line="580" w:lineRule="exact"/>
        <w:ind w:firstLine="640"/>
        <w:jc w:val="both"/>
      </w:pPr>
      <w:r>
        <w:rPr>
          <w:rFonts w:ascii="仿宋_GB2312" w:hAnsi="仿宋_GB2312" w:eastAsia="仿宋_GB2312"/>
          <w:b w:val="0"/>
          <w:sz w:val="32"/>
        </w:rPr>
        <w:t>2024年度政府采购支出总额0.45万元，其中：政府采购货物支出0.21万元、政府采购工程支出0.00万元、政府采购服务支出0.23万元。</w:t>
      </w:r>
    </w:p>
    <w:p w14:paraId="1DC34FAB">
      <w:pPr>
        <w:spacing w:line="580" w:lineRule="exact"/>
        <w:ind w:firstLine="640"/>
        <w:jc w:val="both"/>
      </w:pPr>
      <w:r>
        <w:rPr>
          <w:rFonts w:ascii="仿宋_GB2312" w:hAnsi="仿宋_GB2312" w:eastAsia="仿宋_GB2312"/>
          <w:b w:val="0"/>
          <w:sz w:val="32"/>
        </w:rPr>
        <w:t>授予中小企业合同金额0.45万元，占政府采购支出总额的100.00%，其中：授予小微企业合同金额0.45万元，占政府采购支出总额的100.00%。</w:t>
      </w:r>
    </w:p>
    <w:p w14:paraId="4A7C783A">
      <w:pPr>
        <w:spacing w:line="640" w:lineRule="exact"/>
        <w:ind w:firstLine="640"/>
        <w:jc w:val="both"/>
        <w:outlineLvl w:val="3"/>
      </w:pPr>
      <w:r>
        <w:rPr>
          <w:rFonts w:ascii="楷体_GB2312" w:hAnsi="楷体_GB2312" w:eastAsia="楷体_GB2312"/>
          <w:b/>
          <w:sz w:val="32"/>
        </w:rPr>
        <w:t>（三）国有资产占用情况说明</w:t>
      </w:r>
    </w:p>
    <w:p w14:paraId="579E6543">
      <w:pPr>
        <w:spacing w:line="580" w:lineRule="exact"/>
        <w:ind w:firstLine="640"/>
        <w:jc w:val="both"/>
      </w:pPr>
      <w:r>
        <w:rPr>
          <w:rFonts w:ascii="仿宋_GB2312" w:hAnsi="仿宋_GB2312" w:eastAsia="仿宋_GB2312"/>
          <w:b w:val="0"/>
          <w:sz w:val="32"/>
        </w:rPr>
        <w:t>截至2024年12月31日，房屋0.00平方米，价值0.00万元。车辆1辆，价值18.29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14:paraId="79D0AD8A">
      <w:pPr>
        <w:spacing w:line="640" w:lineRule="exact"/>
        <w:ind w:firstLine="640"/>
        <w:jc w:val="both"/>
        <w:outlineLvl w:val="2"/>
      </w:pPr>
      <w:r>
        <w:rPr>
          <w:rFonts w:ascii="黑体" w:hAnsi="黑体" w:eastAsia="黑体"/>
          <w:sz w:val="32"/>
        </w:rPr>
        <w:t>十一、预算绩效的情况说明</w:t>
      </w:r>
    </w:p>
    <w:p w14:paraId="2879886D">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84.16万元，实际执行总额77.91万元；预算绩效评价项目0个，全年预算数0.00万元，全年执行数0.00万元。预算绩效管理取得的成效：本</w:t>
      </w:r>
      <w:r>
        <w:rPr>
          <w:rFonts w:hint="eastAsia" w:ascii="仿宋_GB2312" w:hAnsi="仿宋_GB2312" w:eastAsia="仿宋_GB2312"/>
          <w:b w:val="0"/>
          <w:sz w:val="32"/>
          <w:lang w:eastAsia="zh-CN"/>
        </w:rPr>
        <w:t>年度</w:t>
      </w:r>
      <w:r>
        <w:rPr>
          <w:rFonts w:ascii="仿宋_GB2312" w:hAnsi="仿宋_GB2312" w:eastAsia="仿宋_GB2312"/>
          <w:b w:val="0"/>
          <w:sz w:val="32"/>
        </w:rPr>
        <w:t>无项目绩效自评表。发现的问题及原因：本年无项目绩效自评表。下一步改进措施：本</w:t>
      </w:r>
      <w:r>
        <w:rPr>
          <w:rFonts w:hint="eastAsia" w:ascii="仿宋_GB2312" w:hAnsi="仿宋_GB2312" w:eastAsia="仿宋_GB2312"/>
          <w:b w:val="0"/>
          <w:sz w:val="32"/>
          <w:lang w:eastAsia="zh-CN"/>
        </w:rPr>
        <w:t>年度</w:t>
      </w:r>
      <w:r>
        <w:rPr>
          <w:rFonts w:ascii="仿宋_GB2312" w:hAnsi="仿宋_GB2312" w:eastAsia="仿宋_GB2312"/>
          <w:b w:val="0"/>
          <w:sz w:val="32"/>
        </w:rPr>
        <w:t>无项目绩效自评表。具体附整体支出绩效自评表。</w:t>
      </w:r>
    </w:p>
    <w:p w14:paraId="4687CF6B">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F0EAC66">
        <w:tblPrEx>
          <w:tblCellMar>
            <w:top w:w="0" w:type="dxa"/>
            <w:left w:w="108" w:type="dxa"/>
            <w:bottom w:w="0" w:type="dxa"/>
            <w:right w:w="108" w:type="dxa"/>
          </w:tblCellMar>
        </w:tblPrEx>
        <w:tc>
          <w:tcPr>
            <w:tcW w:w="8847" w:type="dxa"/>
            <w:gridSpan w:val="9"/>
            <w:vAlign w:val="center"/>
          </w:tcPr>
          <w:p w14:paraId="110DE0D7">
            <w:pPr>
              <w:jc w:val="center"/>
            </w:pPr>
            <w:r>
              <w:rPr>
                <w:rFonts w:ascii="宋体" w:hAnsi="宋体" w:eastAsia="宋体"/>
                <w:sz w:val="24"/>
              </w:rPr>
              <w:t>单位整体支出绩效自评表</w:t>
            </w:r>
          </w:p>
        </w:tc>
      </w:tr>
      <w:tr w14:paraId="3B80178B">
        <w:tblPrEx>
          <w:tblCellMar>
            <w:top w:w="0" w:type="dxa"/>
            <w:left w:w="108" w:type="dxa"/>
            <w:bottom w:w="0" w:type="dxa"/>
            <w:right w:w="108" w:type="dxa"/>
          </w:tblCellMar>
        </w:tblPrEx>
        <w:tc>
          <w:tcPr>
            <w:tcW w:w="8847" w:type="dxa"/>
            <w:gridSpan w:val="9"/>
            <w:vAlign w:val="center"/>
          </w:tcPr>
          <w:p w14:paraId="08210FDA">
            <w:pPr>
              <w:jc w:val="center"/>
            </w:pPr>
            <w:r>
              <w:rPr>
                <w:rFonts w:ascii="宋体" w:hAnsi="宋体" w:eastAsia="宋体"/>
                <w:sz w:val="24"/>
              </w:rPr>
              <w:t>（2024年度）</w:t>
            </w:r>
          </w:p>
        </w:tc>
      </w:tr>
      <w:tr w14:paraId="4C5137E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23FF6B">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6B8A49A">
            <w:pPr>
              <w:jc w:val="center"/>
            </w:pPr>
            <w:r>
              <w:rPr>
                <w:rFonts w:ascii="宋体" w:hAnsi="宋体" w:eastAsia="宋体"/>
                <w:sz w:val="16"/>
              </w:rPr>
              <w:t>昌吉回族自治州红十字会社会救助培训中心</w:t>
            </w:r>
          </w:p>
        </w:tc>
      </w:tr>
      <w:tr w14:paraId="4CB3A75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23719C">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ED892E">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284EFA">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6BBE15">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258F3F">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5F2156">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EC5125">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DD9744">
            <w:pPr>
              <w:jc w:val="center"/>
            </w:pPr>
            <w:r>
              <w:rPr>
                <w:rFonts w:ascii="宋体" w:hAnsi="宋体" w:eastAsia="宋体"/>
                <w:sz w:val="16"/>
              </w:rPr>
              <w:t>得分</w:t>
            </w:r>
          </w:p>
        </w:tc>
      </w:tr>
      <w:tr w14:paraId="2413D1A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A898C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9BC796">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1B8D5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C97DA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2A95D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CE744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7833B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B6F67E">
            <w:pPr>
              <w:jc w:val="center"/>
            </w:pPr>
            <w:r>
              <w:rPr>
                <w:rFonts w:ascii="宋体" w:hAnsi="宋体" w:eastAsia="宋体"/>
                <w:sz w:val="16"/>
              </w:rPr>
              <w:t>-</w:t>
            </w:r>
          </w:p>
        </w:tc>
      </w:tr>
      <w:tr w14:paraId="1B81423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0C861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69DE03">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FB3301">
            <w:pPr>
              <w:jc w:val="center"/>
            </w:pPr>
            <w:r>
              <w:rPr>
                <w:rFonts w:ascii="宋体" w:hAnsi="宋体" w:eastAsia="宋体"/>
                <w:sz w:val="16"/>
              </w:rPr>
              <w:t>73.03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C2A246">
            <w:pPr>
              <w:jc w:val="center"/>
            </w:pPr>
            <w:r>
              <w:rPr>
                <w:rFonts w:ascii="宋体" w:hAnsi="宋体" w:eastAsia="宋体"/>
                <w:sz w:val="16"/>
              </w:rPr>
              <w:t>84.16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464C44">
            <w:pPr>
              <w:jc w:val="center"/>
            </w:pPr>
            <w:r>
              <w:rPr>
                <w:rFonts w:ascii="宋体" w:hAnsi="宋体" w:eastAsia="宋体"/>
                <w:sz w:val="16"/>
              </w:rPr>
              <w:t>77.91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5F30A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0FC94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1DC9A5">
            <w:pPr>
              <w:jc w:val="center"/>
            </w:pPr>
            <w:r>
              <w:rPr>
                <w:rFonts w:ascii="宋体" w:hAnsi="宋体" w:eastAsia="宋体"/>
                <w:sz w:val="16"/>
              </w:rPr>
              <w:t>-</w:t>
            </w:r>
          </w:p>
        </w:tc>
      </w:tr>
      <w:tr w14:paraId="6D40D10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3F61B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2618F1">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36C94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237E3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3ABD0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0DBE1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411BB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C11424">
            <w:pPr>
              <w:jc w:val="center"/>
            </w:pPr>
            <w:r>
              <w:rPr>
                <w:rFonts w:ascii="宋体" w:hAnsi="宋体" w:eastAsia="宋体"/>
                <w:sz w:val="16"/>
              </w:rPr>
              <w:t>-</w:t>
            </w:r>
          </w:p>
        </w:tc>
      </w:tr>
      <w:tr w14:paraId="2BEBF3E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A1A58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B22F43">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E0EA93">
            <w:pPr>
              <w:jc w:val="center"/>
            </w:pPr>
            <w:r>
              <w:rPr>
                <w:rFonts w:ascii="宋体" w:hAnsi="宋体" w:eastAsia="宋体"/>
                <w:sz w:val="16"/>
              </w:rPr>
              <w:t>73.03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C87CF5">
            <w:pPr>
              <w:jc w:val="center"/>
            </w:pPr>
            <w:r>
              <w:rPr>
                <w:rFonts w:ascii="宋体" w:hAnsi="宋体" w:eastAsia="宋体"/>
                <w:sz w:val="16"/>
              </w:rPr>
              <w:t>84.16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AA2360">
            <w:pPr>
              <w:jc w:val="center"/>
            </w:pPr>
            <w:r>
              <w:rPr>
                <w:rFonts w:ascii="宋体" w:hAnsi="宋体" w:eastAsia="宋体"/>
                <w:sz w:val="16"/>
              </w:rPr>
              <w:t>77.91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94173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C267C4">
            <w:pPr>
              <w:jc w:val="center"/>
            </w:pPr>
            <w:r>
              <w:rPr>
                <w:rFonts w:ascii="宋体" w:hAnsi="宋体" w:eastAsia="宋体"/>
                <w:sz w:val="16"/>
              </w:rPr>
              <w:t>92.57%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29408C">
            <w:pPr>
              <w:jc w:val="center"/>
            </w:pPr>
            <w:r>
              <w:rPr>
                <w:rFonts w:ascii="宋体" w:hAnsi="宋体" w:eastAsia="宋体"/>
                <w:sz w:val="16"/>
              </w:rPr>
              <w:t>9.3</w:t>
            </w:r>
          </w:p>
        </w:tc>
      </w:tr>
      <w:tr w14:paraId="5713DBF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4D4882">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06E932D">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0009ECA">
            <w:pPr>
              <w:jc w:val="center"/>
            </w:pPr>
            <w:r>
              <w:rPr>
                <w:rFonts w:ascii="宋体" w:hAnsi="宋体" w:eastAsia="宋体"/>
                <w:sz w:val="16"/>
              </w:rPr>
              <w:t>实际完成情况</w:t>
            </w:r>
          </w:p>
        </w:tc>
      </w:tr>
      <w:tr w14:paraId="09D3E7E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744754"/>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96BB25D">
            <w:pPr>
              <w:jc w:val="both"/>
            </w:pPr>
            <w:r>
              <w:rPr>
                <w:rFonts w:ascii="宋体" w:hAnsi="宋体" w:eastAsia="宋体"/>
                <w:sz w:val="16"/>
              </w:rPr>
              <w:t>2024年，昌吉州红十字会社会救助培训中心坚持以习近平新时代中国特色社会主义思想为指导，深入贯彻落实习近平总书记视察新疆重要讲话重要指示精神，完整准确全面贯彻新发展理念，</w:t>
            </w:r>
            <w:r>
              <w:rPr>
                <w:rFonts w:hint="eastAsia" w:ascii="宋体" w:hAnsi="宋体"/>
                <w:sz w:val="16"/>
                <w:lang w:eastAsia="zh-CN"/>
              </w:rPr>
              <w:t>坚持以人民为中心的发展思想</w:t>
            </w:r>
            <w:r>
              <w:rPr>
                <w:rFonts w:ascii="宋体" w:hAnsi="宋体" w:eastAsia="宋体"/>
                <w:sz w:val="16"/>
              </w:rPr>
              <w:t>，围绕州红十字会中心工作，大力开展应急救护培训五进工作，为各族群众义务培训应急救援、心肺复苏、紧急救护知识等知识技能培训，在高危行业开展急救员培训，不断提高昌吉州各族群众应急救护知识技能水平。</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B8FF13C">
            <w:pPr>
              <w:jc w:val="both"/>
            </w:pPr>
            <w:r>
              <w:rPr>
                <w:rFonts w:ascii="宋体" w:hAnsi="宋体" w:eastAsia="宋体"/>
                <w:sz w:val="16"/>
              </w:rPr>
              <w:t>2024 年</w:t>
            </w:r>
            <w:r>
              <w:rPr>
                <w:rFonts w:hint="eastAsia" w:ascii="宋体" w:hAnsi="宋体"/>
                <w:sz w:val="16"/>
                <w:lang w:eastAsia="zh-CN"/>
              </w:rPr>
              <w:t>本单位</w:t>
            </w:r>
            <w:r>
              <w:rPr>
                <w:rFonts w:ascii="宋体" w:hAnsi="宋体" w:eastAsia="宋体"/>
                <w:sz w:val="16"/>
              </w:rPr>
              <w:t>全年预算数为84.16万元，全年执行数为77.91万元，总预算执行率为92.57。2024 年</w:t>
            </w:r>
            <w:r>
              <w:rPr>
                <w:rFonts w:hint="eastAsia" w:ascii="宋体" w:hAnsi="宋体"/>
                <w:sz w:val="16"/>
                <w:lang w:eastAsia="zh-CN"/>
              </w:rPr>
              <w:t>本单位</w:t>
            </w:r>
            <w:r>
              <w:rPr>
                <w:rFonts w:ascii="宋体" w:hAnsi="宋体" w:eastAsia="宋体"/>
                <w:sz w:val="16"/>
              </w:rPr>
              <w:t>完成以下工作内容：完成进机关、企业、学校、社区开展应急救护普及1000人次；完成高危行业开展应急救护普及504人次；完成科技之冬普及应急救护人数11555人次；完成5·8博爱周心肺复苏技能演示活动1次；完成</w:t>
            </w:r>
            <w:r>
              <w:rPr>
                <w:rFonts w:hint="eastAsia" w:ascii="宋体" w:hAnsi="宋体"/>
                <w:sz w:val="16"/>
                <w:lang w:eastAsia="zh-CN"/>
              </w:rPr>
              <w:t>全国防灾减灾日</w:t>
            </w:r>
            <w:r>
              <w:rPr>
                <w:rFonts w:ascii="宋体" w:hAnsi="宋体" w:eastAsia="宋体"/>
                <w:sz w:val="16"/>
              </w:rPr>
              <w:t>开展心肺复苏技能演示活动1次；完成应急救护宣传活动1次；完成应急救护演练活动1次，通过开展单位工作，不断提高昌吉州各族群众应急救护知识技能水平。</w:t>
            </w:r>
          </w:p>
        </w:tc>
      </w:tr>
      <w:tr w14:paraId="2EB3ECA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D9F11B">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AFE39E">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DD2C19">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C27DCD">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1FDDEE">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3258A0">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4A7E52">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880443">
            <w:pPr>
              <w:jc w:val="center"/>
            </w:pPr>
            <w:r>
              <w:rPr>
                <w:rFonts w:ascii="宋体" w:hAnsi="宋体" w:eastAsia="宋体"/>
                <w:sz w:val="16"/>
              </w:rPr>
              <w:t>得分</w:t>
            </w:r>
          </w:p>
        </w:tc>
      </w:tr>
      <w:tr w14:paraId="50E5CF3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45749C">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972B01">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E35F13">
            <w:pPr>
              <w:jc w:val="center"/>
            </w:pPr>
            <w:r>
              <w:rPr>
                <w:rFonts w:ascii="宋体" w:hAnsi="宋体" w:eastAsia="宋体"/>
                <w:sz w:val="16"/>
              </w:rPr>
              <w:t>在机关、企业、学校、乡镇、社区开展应急救护普及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90CD5A">
            <w:pPr>
              <w:jc w:val="center"/>
            </w:pPr>
            <w:r>
              <w:rPr>
                <w:rFonts w:ascii="宋体" w:hAnsi="宋体" w:eastAsia="宋体"/>
                <w:sz w:val="16"/>
              </w:rPr>
              <w:t>=1000人次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2B5B23">
            <w:pPr>
              <w:jc w:val="center"/>
            </w:pPr>
            <w:r>
              <w:rPr>
                <w:rFonts w:ascii="宋体" w:hAnsi="宋体" w:eastAsia="宋体"/>
                <w:sz w:val="16"/>
              </w:rPr>
              <w:t>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E4C2BF">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D7DD26">
            <w:pPr>
              <w:jc w:val="center"/>
            </w:pPr>
            <w:r>
              <w:rPr>
                <w:rFonts w:ascii="宋体" w:hAnsi="宋体" w:eastAsia="宋体"/>
                <w:sz w:val="16"/>
              </w:rPr>
              <w:t>=1000人次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12FC20">
            <w:pPr>
              <w:jc w:val="center"/>
            </w:pPr>
            <w:r>
              <w:rPr>
                <w:rFonts w:ascii="宋体" w:hAnsi="宋体" w:eastAsia="宋体"/>
                <w:sz w:val="16"/>
              </w:rPr>
              <w:t>15</w:t>
            </w:r>
          </w:p>
        </w:tc>
      </w:tr>
      <w:tr w14:paraId="1BAE6AF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934D1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C0A3C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BB4577">
            <w:pPr>
              <w:jc w:val="center"/>
            </w:pPr>
            <w:r>
              <w:rPr>
                <w:rFonts w:ascii="宋体" w:hAnsi="宋体" w:eastAsia="宋体"/>
                <w:sz w:val="16"/>
              </w:rPr>
              <w:t>在高危行业开展应急救护培训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1981F7">
            <w:pPr>
              <w:jc w:val="center"/>
            </w:pPr>
            <w:r>
              <w:rPr>
                <w:rFonts w:ascii="宋体" w:hAnsi="宋体" w:eastAsia="宋体"/>
                <w:sz w:val="16"/>
              </w:rPr>
              <w:t>&gt;=500人次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438583">
            <w:pPr>
              <w:jc w:val="center"/>
            </w:pPr>
            <w:r>
              <w:rPr>
                <w:rFonts w:ascii="宋体" w:hAnsi="宋体" w:eastAsia="宋体"/>
                <w:sz w:val="16"/>
              </w:rPr>
              <w:t>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3B9199">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731611">
            <w:pPr>
              <w:jc w:val="center"/>
            </w:pPr>
            <w:r>
              <w:rPr>
                <w:rFonts w:ascii="宋体" w:hAnsi="宋体" w:eastAsia="宋体"/>
                <w:sz w:val="16"/>
              </w:rPr>
              <w:t>=504人次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2C787A">
            <w:pPr>
              <w:jc w:val="center"/>
            </w:pPr>
            <w:r>
              <w:rPr>
                <w:rFonts w:ascii="宋体" w:hAnsi="宋体" w:eastAsia="宋体"/>
                <w:sz w:val="16"/>
              </w:rPr>
              <w:t>15</w:t>
            </w:r>
          </w:p>
        </w:tc>
      </w:tr>
      <w:tr w14:paraId="2137EC5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12747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F9D67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F3C670">
            <w:pPr>
              <w:jc w:val="center"/>
            </w:pPr>
            <w:r>
              <w:rPr>
                <w:rFonts w:ascii="宋体" w:hAnsi="宋体" w:eastAsia="宋体"/>
                <w:sz w:val="16"/>
              </w:rPr>
              <w:t>科技之冬开展应急救护知识培训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EE062F">
            <w:pPr>
              <w:jc w:val="center"/>
            </w:pPr>
            <w:r>
              <w:rPr>
                <w:rFonts w:ascii="宋体" w:hAnsi="宋体" w:eastAsia="宋体"/>
                <w:sz w:val="16"/>
              </w:rPr>
              <w:t>&gt;=6000人次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8C8451">
            <w:pPr>
              <w:jc w:val="center"/>
            </w:pPr>
            <w:r>
              <w:rPr>
                <w:rFonts w:ascii="宋体" w:hAnsi="宋体" w:eastAsia="宋体"/>
                <w:sz w:val="16"/>
              </w:rPr>
              <w:t>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A319DC">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17C4A8">
            <w:pPr>
              <w:jc w:val="center"/>
            </w:pPr>
            <w:r>
              <w:rPr>
                <w:rFonts w:ascii="宋体" w:hAnsi="宋体" w:eastAsia="宋体"/>
                <w:sz w:val="16"/>
              </w:rPr>
              <w:t>=11555人次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2430CB">
            <w:pPr>
              <w:jc w:val="center"/>
            </w:pPr>
            <w:r>
              <w:rPr>
                <w:rFonts w:ascii="宋体" w:hAnsi="宋体" w:eastAsia="宋体"/>
                <w:sz w:val="16"/>
              </w:rPr>
              <w:t>15</w:t>
            </w:r>
          </w:p>
        </w:tc>
      </w:tr>
      <w:tr w14:paraId="34D2359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3E7B8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3848A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3DDEBD">
            <w:pPr>
              <w:jc w:val="center"/>
            </w:pPr>
            <w:r>
              <w:rPr>
                <w:rFonts w:ascii="宋体" w:hAnsi="宋体" w:eastAsia="宋体"/>
                <w:sz w:val="16"/>
              </w:rPr>
              <w:t>“5·8”博爱周开展心肺复苏技能演示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322BAB">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F5591C">
            <w:pPr>
              <w:jc w:val="center"/>
            </w:pPr>
            <w:r>
              <w:rPr>
                <w:rFonts w:ascii="宋体" w:hAnsi="宋体" w:eastAsia="宋体"/>
                <w:sz w:val="16"/>
              </w:rPr>
              <w:t>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B92A2F">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46ECDE">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A0F38A">
            <w:pPr>
              <w:jc w:val="center"/>
            </w:pPr>
            <w:r>
              <w:rPr>
                <w:rFonts w:ascii="宋体" w:hAnsi="宋体" w:eastAsia="宋体"/>
                <w:sz w:val="16"/>
              </w:rPr>
              <w:t>15</w:t>
            </w:r>
          </w:p>
        </w:tc>
      </w:tr>
      <w:tr w14:paraId="262675A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50B69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0052B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D11AA0">
            <w:pPr>
              <w:jc w:val="center"/>
            </w:pPr>
            <w:r>
              <w:rPr>
                <w:rFonts w:hint="eastAsia" w:ascii="宋体" w:hAnsi="宋体"/>
                <w:sz w:val="16"/>
                <w:lang w:eastAsia="zh-CN"/>
              </w:rPr>
              <w:t>全国防灾减灾日</w:t>
            </w:r>
            <w:r>
              <w:rPr>
                <w:rFonts w:ascii="宋体" w:hAnsi="宋体" w:eastAsia="宋体"/>
                <w:sz w:val="16"/>
              </w:rPr>
              <w:t>开展心肺复苏技能演示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5FF1DC">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BBAFB9">
            <w:pPr>
              <w:jc w:val="center"/>
            </w:pPr>
            <w:r>
              <w:rPr>
                <w:rFonts w:ascii="宋体" w:hAnsi="宋体" w:eastAsia="宋体"/>
                <w:sz w:val="16"/>
              </w:rPr>
              <w:t>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B7C10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93F038">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978421">
            <w:pPr>
              <w:jc w:val="center"/>
            </w:pPr>
            <w:r>
              <w:rPr>
                <w:rFonts w:ascii="宋体" w:hAnsi="宋体" w:eastAsia="宋体"/>
                <w:sz w:val="16"/>
              </w:rPr>
              <w:t>10</w:t>
            </w:r>
          </w:p>
        </w:tc>
      </w:tr>
      <w:tr w14:paraId="149802C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C7821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714E0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75588D">
            <w:pPr>
              <w:jc w:val="center"/>
            </w:pPr>
            <w:r>
              <w:rPr>
                <w:rFonts w:ascii="宋体" w:hAnsi="宋体" w:eastAsia="宋体"/>
                <w:sz w:val="16"/>
              </w:rPr>
              <w:t>开展应急救护知识宣传活动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D6EF3F">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1448DA">
            <w:pPr>
              <w:jc w:val="center"/>
            </w:pPr>
            <w:r>
              <w:rPr>
                <w:rFonts w:ascii="宋体" w:hAnsi="宋体" w:eastAsia="宋体"/>
                <w:sz w:val="16"/>
              </w:rPr>
              <w:t>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2B21C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8C1BAF">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1F22EB">
            <w:pPr>
              <w:jc w:val="center"/>
            </w:pPr>
            <w:r>
              <w:rPr>
                <w:rFonts w:ascii="宋体" w:hAnsi="宋体" w:eastAsia="宋体"/>
                <w:sz w:val="16"/>
              </w:rPr>
              <w:t>10</w:t>
            </w:r>
          </w:p>
        </w:tc>
      </w:tr>
      <w:tr w14:paraId="17B693E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6E0D34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29E4F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80262A">
            <w:pPr>
              <w:jc w:val="center"/>
            </w:pPr>
            <w:r>
              <w:rPr>
                <w:rFonts w:ascii="宋体" w:hAnsi="宋体" w:eastAsia="宋体"/>
                <w:sz w:val="16"/>
              </w:rPr>
              <w:t>开展应急演练活动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03EF65">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E59052">
            <w:pPr>
              <w:jc w:val="center"/>
            </w:pPr>
            <w:r>
              <w:rPr>
                <w:rFonts w:ascii="宋体" w:hAnsi="宋体" w:eastAsia="宋体"/>
                <w:sz w:val="16"/>
              </w:rPr>
              <w:t>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FAE9C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D124A7">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7E92F4">
            <w:pPr>
              <w:jc w:val="center"/>
            </w:pPr>
            <w:r>
              <w:rPr>
                <w:rFonts w:ascii="宋体" w:hAnsi="宋体" w:eastAsia="宋体"/>
                <w:sz w:val="16"/>
              </w:rPr>
              <w:t>10</w:t>
            </w:r>
          </w:p>
        </w:tc>
      </w:tr>
    </w:tbl>
    <w:p w14:paraId="5507E65E">
      <w:r>
        <w:br w:type="page"/>
      </w:r>
    </w:p>
    <w:p w14:paraId="32451F7B">
      <w:pPr>
        <w:spacing w:line="640" w:lineRule="exact"/>
        <w:ind w:firstLine="640"/>
        <w:jc w:val="both"/>
        <w:outlineLvl w:val="2"/>
      </w:pPr>
      <w:r>
        <w:rPr>
          <w:rFonts w:ascii="黑体" w:hAnsi="黑体" w:eastAsia="黑体"/>
          <w:sz w:val="32"/>
        </w:rPr>
        <w:t>十二、其他需说明的事项</w:t>
      </w:r>
    </w:p>
    <w:p w14:paraId="235CE66E">
      <w:pPr>
        <w:spacing w:line="580" w:lineRule="exact"/>
        <w:ind w:firstLine="640"/>
        <w:jc w:val="both"/>
      </w:pPr>
      <w:r>
        <w:rPr>
          <w:rFonts w:ascii="仿宋_GB2312" w:hAnsi="仿宋_GB2312" w:eastAsia="仿宋_GB2312"/>
          <w:b w:val="0"/>
          <w:sz w:val="32"/>
        </w:rPr>
        <w:t>本单位无其他需说明的事项。</w:t>
      </w:r>
    </w:p>
    <w:p w14:paraId="6344CE39">
      <w:r>
        <w:br w:type="page"/>
      </w:r>
    </w:p>
    <w:p w14:paraId="17F3AC25">
      <w:pPr>
        <w:spacing w:line="240" w:lineRule="auto"/>
        <w:jc w:val="center"/>
        <w:outlineLvl w:val="1"/>
      </w:pPr>
      <w:r>
        <w:rPr>
          <w:rFonts w:ascii="黑体" w:hAnsi="黑体" w:eastAsia="黑体"/>
          <w:sz w:val="32"/>
        </w:rPr>
        <w:t>第三部分 专业名词解释</w:t>
      </w:r>
    </w:p>
    <w:p w14:paraId="034ABDED">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A05CE2B">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D6B6A79">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EFB879D">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9DB8E4A">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C58D9A8">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06A0861">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399E0C5">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050C7C0">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27D5ADE">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568A627">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A1DA9D2">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A3EC546">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CCC2779">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51694980">
      <w:r>
        <w:br w:type="page"/>
      </w:r>
    </w:p>
    <w:p w14:paraId="50308E5E">
      <w:pPr>
        <w:spacing w:line="240" w:lineRule="auto"/>
        <w:jc w:val="center"/>
        <w:outlineLvl w:val="1"/>
      </w:pPr>
      <w:r>
        <w:rPr>
          <w:rFonts w:ascii="黑体" w:hAnsi="黑体" w:eastAsia="黑体"/>
          <w:sz w:val="32"/>
        </w:rPr>
        <w:t>第四部分 部门决算报表（见附表）</w:t>
      </w:r>
    </w:p>
    <w:p w14:paraId="211C82E8">
      <w:pPr>
        <w:spacing w:line="240" w:lineRule="auto"/>
        <w:ind w:firstLine="640"/>
        <w:jc w:val="both"/>
      </w:pPr>
      <w:r>
        <w:rPr>
          <w:rFonts w:ascii="仿宋_GB2312" w:hAnsi="仿宋_GB2312" w:eastAsia="仿宋_GB2312"/>
          <w:b w:val="0"/>
          <w:sz w:val="32"/>
        </w:rPr>
        <w:t>一、《收入支出决算总表》</w:t>
      </w:r>
    </w:p>
    <w:p w14:paraId="45AFF243">
      <w:pPr>
        <w:spacing w:line="240" w:lineRule="auto"/>
        <w:ind w:firstLine="640"/>
        <w:jc w:val="both"/>
      </w:pPr>
      <w:r>
        <w:rPr>
          <w:rFonts w:ascii="仿宋_GB2312" w:hAnsi="仿宋_GB2312" w:eastAsia="仿宋_GB2312"/>
          <w:b w:val="0"/>
          <w:sz w:val="32"/>
        </w:rPr>
        <w:t>二、《收入决算表》</w:t>
      </w:r>
    </w:p>
    <w:p w14:paraId="73DA5979">
      <w:pPr>
        <w:spacing w:line="240" w:lineRule="auto"/>
        <w:ind w:firstLine="640"/>
        <w:jc w:val="both"/>
      </w:pPr>
      <w:r>
        <w:rPr>
          <w:rFonts w:ascii="仿宋_GB2312" w:hAnsi="仿宋_GB2312" w:eastAsia="仿宋_GB2312"/>
          <w:b w:val="0"/>
          <w:sz w:val="32"/>
        </w:rPr>
        <w:t>三、《支出决算表》</w:t>
      </w:r>
    </w:p>
    <w:p w14:paraId="6DB803A2">
      <w:pPr>
        <w:spacing w:line="240" w:lineRule="auto"/>
        <w:ind w:firstLine="640"/>
        <w:jc w:val="both"/>
      </w:pPr>
      <w:r>
        <w:rPr>
          <w:rFonts w:ascii="仿宋_GB2312" w:hAnsi="仿宋_GB2312" w:eastAsia="仿宋_GB2312"/>
          <w:b w:val="0"/>
          <w:sz w:val="32"/>
        </w:rPr>
        <w:t>四、《财政拨款收入支出决算总表》</w:t>
      </w:r>
    </w:p>
    <w:p w14:paraId="357FC2E2">
      <w:pPr>
        <w:spacing w:line="240" w:lineRule="auto"/>
        <w:ind w:firstLine="640"/>
        <w:jc w:val="both"/>
      </w:pPr>
      <w:r>
        <w:rPr>
          <w:rFonts w:ascii="仿宋_GB2312" w:hAnsi="仿宋_GB2312" w:eastAsia="仿宋_GB2312"/>
          <w:b w:val="0"/>
          <w:sz w:val="32"/>
        </w:rPr>
        <w:t>五、《一般公共预算财政拨款支出决算表》</w:t>
      </w:r>
    </w:p>
    <w:p w14:paraId="102BA7B5">
      <w:pPr>
        <w:spacing w:line="240" w:lineRule="auto"/>
        <w:ind w:firstLine="640"/>
        <w:jc w:val="both"/>
      </w:pPr>
      <w:r>
        <w:rPr>
          <w:rFonts w:ascii="仿宋_GB2312" w:hAnsi="仿宋_GB2312" w:eastAsia="仿宋_GB2312"/>
          <w:b w:val="0"/>
          <w:sz w:val="32"/>
        </w:rPr>
        <w:t>六、《一般公共预算财政拨款基本支出决算表》</w:t>
      </w:r>
    </w:p>
    <w:p w14:paraId="4563E1AC">
      <w:pPr>
        <w:spacing w:line="240" w:lineRule="auto"/>
        <w:ind w:firstLine="640"/>
        <w:jc w:val="both"/>
      </w:pPr>
      <w:r>
        <w:rPr>
          <w:rFonts w:ascii="仿宋_GB2312" w:hAnsi="仿宋_GB2312" w:eastAsia="仿宋_GB2312"/>
          <w:b w:val="0"/>
          <w:sz w:val="32"/>
        </w:rPr>
        <w:t>七、《政府性基金预算财政拨款收入支出决算表》</w:t>
      </w:r>
    </w:p>
    <w:p w14:paraId="40E4A4C5">
      <w:pPr>
        <w:spacing w:line="240" w:lineRule="auto"/>
        <w:ind w:firstLine="640"/>
        <w:jc w:val="both"/>
      </w:pPr>
      <w:r>
        <w:rPr>
          <w:rFonts w:ascii="仿宋_GB2312" w:hAnsi="仿宋_GB2312" w:eastAsia="仿宋_GB2312"/>
          <w:b w:val="0"/>
          <w:sz w:val="32"/>
        </w:rPr>
        <w:t>八、《国有资本经营预算财政拨款收入支出决算表》</w:t>
      </w:r>
    </w:p>
    <w:p w14:paraId="2A496B01">
      <w:pPr>
        <w:spacing w:line="240" w:lineRule="auto"/>
        <w:ind w:firstLine="640"/>
        <w:jc w:val="both"/>
      </w:pPr>
      <w:r>
        <w:rPr>
          <w:rFonts w:ascii="仿宋_GB2312" w:hAnsi="仿宋_GB2312" w:eastAsia="仿宋_GB2312"/>
          <w:b w:val="0"/>
          <w:sz w:val="32"/>
        </w:rPr>
        <w:t>九、《财政拨款“三公”经费支出决算表》</w:t>
      </w:r>
    </w:p>
    <w:p w14:paraId="2C0292B3">
      <w:pPr>
        <w:spacing w:line="240" w:lineRule="auto"/>
        <w:ind w:firstLine="640"/>
        <w:jc w:val="both"/>
      </w:pPr>
    </w:p>
    <w:p w14:paraId="658210AC">
      <w:pPr>
        <w:spacing w:line="240" w:lineRule="auto"/>
        <w:ind w:firstLine="640"/>
        <w:jc w:val="both"/>
      </w:pPr>
    </w:p>
    <w:p w14:paraId="58E258F2">
      <w:pPr>
        <w:spacing w:line="240" w:lineRule="auto"/>
        <w:ind w:firstLine="640"/>
        <w:jc w:val="both"/>
      </w:pPr>
    </w:p>
    <w:p w14:paraId="43195851">
      <w:pPr>
        <w:spacing w:line="240" w:lineRule="auto"/>
        <w:ind w:firstLine="640"/>
        <w:jc w:val="both"/>
      </w:pPr>
    </w:p>
    <w:p w14:paraId="1B2675DA">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25AE589-3ECF-4E6C-B076-A7362DF0F5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F1807922-DE46-4603-974B-19CAB8F8B7BC}"/>
  </w:font>
  <w:font w:name="仿宋_GB2312">
    <w:altName w:val="仿宋"/>
    <w:panose1 w:val="02010609030101010101"/>
    <w:charset w:val="86"/>
    <w:family w:val="modern"/>
    <w:pitch w:val="default"/>
    <w:sig w:usb0="00000000" w:usb1="00000000" w:usb2="00000000" w:usb3="00000000" w:csb0="00040000" w:csb1="00000000"/>
    <w:embedRegular r:id="rId3" w:fontKey="{465BE971-C149-4B17-8806-6F00234C81EB}"/>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7AA76674-9EB6-4988-94DB-E5BB8F0823F3}"/>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BC669EB"/>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CC0258E"/>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1241</Words>
  <Characters>1404</Characters>
  <Lines>0</Lines>
  <Paragraphs>0</Paragraphs>
  <TotalTime>3</TotalTime>
  <ScaleCrop>false</ScaleCrop>
  <LinksUpToDate>false</LinksUpToDate>
  <CharactersWithSpaces>1412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2025-12-25T02:17:04Z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