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9F21D1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昌吉回族自治州国土资源规划研究院</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C5D3E15">
      <w:r>
        <w:br w:type="page"/>
      </w:r>
    </w:p>
    <w:p w14:paraId="47A85E17">
      <w:pPr>
        <w:spacing w:line="640" w:lineRule="exact"/>
        <w:jc w:val="center"/>
        <w:outlineLvl w:val="1"/>
      </w:pPr>
      <w:r>
        <w:rPr>
          <w:rFonts w:ascii="黑体" w:hAnsi="黑体" w:eastAsia="黑体"/>
          <w:sz w:val="32"/>
        </w:rPr>
        <w:t>第一部分 单位概况</w:t>
      </w:r>
    </w:p>
    <w:p w14:paraId="1C9A0601">
      <w:pPr>
        <w:spacing w:line="640" w:lineRule="exact"/>
        <w:ind w:firstLine="640"/>
        <w:jc w:val="both"/>
        <w:outlineLvl w:val="2"/>
      </w:pPr>
      <w:r>
        <w:rPr>
          <w:rFonts w:ascii="黑体" w:hAnsi="黑体" w:eastAsia="黑体"/>
          <w:sz w:val="32"/>
        </w:rPr>
        <w:t>一、主要职能</w:t>
      </w:r>
    </w:p>
    <w:p w14:paraId="3701BBB8">
      <w:pPr>
        <w:spacing w:line="580" w:lineRule="exact"/>
        <w:ind w:firstLine="640"/>
        <w:jc w:val="both"/>
      </w:pPr>
      <w:r>
        <w:rPr>
          <w:rFonts w:ascii="仿宋_GB2312" w:hAnsi="仿宋_GB2312" w:eastAsia="仿宋_GB2312"/>
          <w:sz w:val="32"/>
        </w:rPr>
        <w:t>昌吉回族自治州国土资源规划研究院受自治州人民政府的委托，承担土地利用，矿产资源总体规划和专项规划编制设计的研究工作；承担有关国土资源评价和调查工作；承担国家、自治区、自治州批准建设用地项目的土地权属勘界工作；承担矿产资源地质勘查项目的设计审核、质量监理等工作。承办自治州人民政府和自治州自然资源局交办的其他事项。</w:t>
      </w:r>
    </w:p>
    <w:p w14:paraId="55F1CA2D">
      <w:pPr>
        <w:spacing w:line="640" w:lineRule="exact"/>
        <w:ind w:firstLine="640"/>
        <w:jc w:val="both"/>
        <w:outlineLvl w:val="2"/>
      </w:pPr>
      <w:r>
        <w:rPr>
          <w:rFonts w:ascii="黑体" w:hAnsi="黑体" w:eastAsia="黑体"/>
          <w:sz w:val="32"/>
        </w:rPr>
        <w:t>二、机构设置及人员情况</w:t>
      </w:r>
    </w:p>
    <w:p w14:paraId="5F7B642F">
      <w:pPr>
        <w:spacing w:line="580" w:lineRule="exact"/>
        <w:ind w:firstLine="640"/>
        <w:jc w:val="both"/>
      </w:pPr>
      <w:r>
        <w:rPr>
          <w:rFonts w:ascii="仿宋_GB2312" w:hAnsi="仿宋_GB2312" w:eastAsia="仿宋_GB2312"/>
          <w:sz w:val="32"/>
        </w:rPr>
        <w:t>昌吉回族自治州国土资源规划研究院2024年度，实有人数46人，其中：在职人员28人，增加1人；离休人员0人，增加0人；退休人员18人,增加1人。</w:t>
      </w:r>
    </w:p>
    <w:p w14:paraId="01D5018F">
      <w:pPr>
        <w:spacing w:line="580" w:lineRule="exact"/>
        <w:ind w:firstLine="640"/>
        <w:jc w:val="both"/>
      </w:pPr>
      <w:r>
        <w:rPr>
          <w:rFonts w:ascii="仿宋_GB2312" w:hAnsi="仿宋_GB2312" w:eastAsia="仿宋_GB2312"/>
          <w:sz w:val="32"/>
        </w:rPr>
        <w:t>昌吉回族自治州国土资源规划研究院无下属预算单位，下设7个科室，分别是：总工办、行政办公室、财务室、规划室、勘测一室、勘测二室、勘测三室。</w:t>
      </w:r>
    </w:p>
    <w:p w14:paraId="07EB5578">
      <w:r>
        <w:br w:type="page"/>
      </w:r>
    </w:p>
    <w:p w14:paraId="47E2FA1A">
      <w:pPr>
        <w:spacing w:line="240" w:lineRule="auto"/>
        <w:jc w:val="center"/>
        <w:outlineLvl w:val="1"/>
      </w:pPr>
      <w:r>
        <w:rPr>
          <w:rFonts w:ascii="黑体" w:hAnsi="黑体" w:eastAsia="黑体"/>
          <w:sz w:val="32"/>
        </w:rPr>
        <w:t>第二部分 部门决算情况说明</w:t>
      </w:r>
    </w:p>
    <w:p w14:paraId="1BD3F63A">
      <w:pPr>
        <w:spacing w:line="640" w:lineRule="exact"/>
        <w:ind w:firstLine="640"/>
        <w:jc w:val="both"/>
        <w:outlineLvl w:val="2"/>
      </w:pPr>
      <w:r>
        <w:rPr>
          <w:rFonts w:ascii="黑体" w:hAnsi="黑体" w:eastAsia="黑体"/>
          <w:sz w:val="32"/>
        </w:rPr>
        <w:t>一、收入支出决算总体情况说明</w:t>
      </w:r>
    </w:p>
    <w:p w14:paraId="02CDBE20">
      <w:pPr>
        <w:spacing w:line="580" w:lineRule="exact"/>
        <w:ind w:firstLine="640"/>
        <w:jc w:val="both"/>
      </w:pPr>
      <w:r>
        <w:rPr>
          <w:rFonts w:ascii="仿宋_GB2312" w:hAnsi="仿宋_GB2312" w:eastAsia="仿宋_GB2312"/>
          <w:b/>
          <w:sz w:val="32"/>
        </w:rPr>
        <w:t>2024年度收入总计2,831.99万元，</w:t>
      </w:r>
      <w:r>
        <w:rPr>
          <w:rFonts w:ascii="仿宋_GB2312" w:hAnsi="仿宋_GB2312" w:eastAsia="仿宋_GB2312"/>
          <w:b w:val="0"/>
          <w:sz w:val="32"/>
        </w:rPr>
        <w:t>其中：本年收入合计2,831.99万元，使用非财政拨款结余（含专用结余）0.00万元，年初结转和结余0.00万元。</w:t>
      </w:r>
    </w:p>
    <w:p w14:paraId="5902C409">
      <w:pPr>
        <w:spacing w:line="580" w:lineRule="exact"/>
        <w:ind w:firstLine="640"/>
        <w:jc w:val="both"/>
      </w:pPr>
      <w:r>
        <w:rPr>
          <w:rFonts w:ascii="仿宋_GB2312" w:hAnsi="仿宋_GB2312" w:eastAsia="仿宋_GB2312"/>
          <w:b/>
          <w:sz w:val="32"/>
        </w:rPr>
        <w:t>2024年度支出总计2,831.99万元，</w:t>
      </w:r>
      <w:r>
        <w:rPr>
          <w:rFonts w:ascii="仿宋_GB2312" w:hAnsi="仿宋_GB2312" w:eastAsia="仿宋_GB2312"/>
          <w:b w:val="0"/>
          <w:sz w:val="32"/>
        </w:rPr>
        <w:t>其中：本年支出合计2,447.36万元，结余分配384.63万元，年末结转和结余0.00万元。</w:t>
      </w:r>
    </w:p>
    <w:p w14:paraId="24215F20">
      <w:pPr>
        <w:spacing w:line="580" w:lineRule="exact"/>
        <w:ind w:firstLine="640"/>
        <w:jc w:val="both"/>
      </w:pPr>
      <w:r>
        <w:rPr>
          <w:rFonts w:ascii="仿宋_GB2312" w:hAnsi="仿宋_GB2312" w:eastAsia="仿宋_GB2312"/>
          <w:b w:val="0"/>
          <w:sz w:val="32"/>
        </w:rPr>
        <w:t>收入支出总体与上年相比，减少667.24万元，下降19.07%，主要原因是：本年测绘业务量减少，事业收入较上年减少。</w:t>
      </w:r>
    </w:p>
    <w:p w14:paraId="119CD2B7">
      <w:pPr>
        <w:spacing w:line="640" w:lineRule="exact"/>
        <w:ind w:firstLine="640"/>
        <w:jc w:val="both"/>
        <w:outlineLvl w:val="2"/>
      </w:pPr>
      <w:r>
        <w:rPr>
          <w:rFonts w:ascii="黑体" w:hAnsi="黑体" w:eastAsia="黑体"/>
          <w:sz w:val="32"/>
        </w:rPr>
        <w:t>二、收入决算情况说明</w:t>
      </w:r>
    </w:p>
    <w:p w14:paraId="271D4BF5">
      <w:pPr>
        <w:spacing w:line="580" w:lineRule="exact"/>
        <w:ind w:firstLine="640"/>
        <w:jc w:val="both"/>
      </w:pPr>
      <w:r>
        <w:rPr>
          <w:rFonts w:ascii="仿宋_GB2312" w:hAnsi="仿宋_GB2312" w:eastAsia="仿宋_GB2312"/>
          <w:b/>
          <w:sz w:val="32"/>
        </w:rPr>
        <w:t>本年收入2,831.99万元，</w:t>
      </w:r>
      <w:r>
        <w:rPr>
          <w:rFonts w:ascii="仿宋_GB2312" w:hAnsi="仿宋_GB2312" w:eastAsia="仿宋_GB2312"/>
          <w:b w:val="0"/>
          <w:sz w:val="32"/>
        </w:rPr>
        <w:t>其中：财政拨款收入466.03万元，占16.46%；上级补助收入0.00万元，占0.00%；事业收入2,338.95万元，占82.59%；经营收入0.00万元，占0.00%；附属单位上缴收入0.00万元，占0.00%；其他收入27.02万元，占0.95%。</w:t>
      </w:r>
    </w:p>
    <w:p w14:paraId="07494E2E">
      <w:pPr>
        <w:spacing w:line="640" w:lineRule="exact"/>
        <w:ind w:firstLine="640"/>
        <w:jc w:val="both"/>
        <w:outlineLvl w:val="2"/>
      </w:pPr>
      <w:r>
        <w:rPr>
          <w:rFonts w:ascii="黑体" w:hAnsi="黑体" w:eastAsia="黑体"/>
          <w:sz w:val="32"/>
        </w:rPr>
        <w:t>三、支出决算情况说明</w:t>
      </w:r>
    </w:p>
    <w:p w14:paraId="2709C5E3">
      <w:pPr>
        <w:spacing w:line="580" w:lineRule="exact"/>
        <w:ind w:firstLine="640"/>
        <w:jc w:val="both"/>
      </w:pPr>
      <w:r>
        <w:rPr>
          <w:rFonts w:ascii="仿宋_GB2312" w:hAnsi="仿宋_GB2312" w:eastAsia="仿宋_GB2312"/>
          <w:b/>
          <w:sz w:val="32"/>
        </w:rPr>
        <w:t>本年支出2,447.36万元，</w:t>
      </w:r>
      <w:r>
        <w:rPr>
          <w:rFonts w:ascii="仿宋_GB2312" w:hAnsi="仿宋_GB2312" w:eastAsia="仿宋_GB2312"/>
          <w:b w:val="0"/>
          <w:sz w:val="32"/>
        </w:rPr>
        <w:t>其中：基本支出1,618.82万元，占66.15%；项目支出828.54万元，占33.85%；上缴上级支出0.00万元，占0.00%；经营支出0.00万元，占0.00%；对附属单位补助支出0.00万元，占0.00%。</w:t>
      </w:r>
    </w:p>
    <w:p w14:paraId="5495F7D4">
      <w:pPr>
        <w:spacing w:line="640" w:lineRule="exact"/>
        <w:ind w:firstLine="640"/>
        <w:jc w:val="both"/>
        <w:outlineLvl w:val="2"/>
      </w:pPr>
      <w:r>
        <w:rPr>
          <w:rFonts w:ascii="黑体" w:hAnsi="黑体" w:eastAsia="黑体"/>
          <w:sz w:val="32"/>
        </w:rPr>
        <w:t>四、财政拨款收入支出决算总体情况说明</w:t>
      </w:r>
    </w:p>
    <w:p w14:paraId="23B5684E">
      <w:pPr>
        <w:spacing w:line="580" w:lineRule="exact"/>
        <w:ind w:firstLine="640"/>
        <w:jc w:val="both"/>
      </w:pPr>
      <w:r>
        <w:rPr>
          <w:rFonts w:ascii="仿宋_GB2312" w:hAnsi="仿宋_GB2312" w:eastAsia="仿宋_GB2312"/>
          <w:b/>
          <w:sz w:val="32"/>
        </w:rPr>
        <w:t>2024年度财政拨款收入总计466.03万元，</w:t>
      </w:r>
      <w:r>
        <w:rPr>
          <w:rFonts w:ascii="仿宋_GB2312" w:hAnsi="仿宋_GB2312" w:eastAsia="仿宋_GB2312"/>
          <w:b w:val="0"/>
          <w:sz w:val="32"/>
        </w:rPr>
        <w:t>其中：年初财政拨款结转和结余0.00万元，本年财政拨款收入466.03万元。</w:t>
      </w:r>
      <w:r>
        <w:rPr>
          <w:rFonts w:ascii="仿宋_GB2312" w:hAnsi="仿宋_GB2312" w:eastAsia="仿宋_GB2312"/>
          <w:b/>
          <w:sz w:val="32"/>
        </w:rPr>
        <w:t>财政拨款支出总计466.03万元，</w:t>
      </w:r>
      <w:r>
        <w:rPr>
          <w:rFonts w:ascii="仿宋_GB2312" w:hAnsi="仿宋_GB2312" w:eastAsia="仿宋_GB2312"/>
          <w:b w:val="0"/>
          <w:sz w:val="32"/>
        </w:rPr>
        <w:t>其中：年末财政拨款结转和结余0.00万元，本年财政拨款支出466.03万元。</w:t>
      </w:r>
    </w:p>
    <w:p w14:paraId="32058FBD">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增加17.06万元，增长3.80%，主要原因是：本年在职人员增加，在职人员工资调增、社保、公积金基数调增，人员经费增加。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年初预算数423.55万元，决算数466.03万元，预决算差异率10.03%，主要原因是：年中追加人员工资、社保、公积金基数调增部分资金，导致预决算存在差异。</w:t>
      </w:r>
    </w:p>
    <w:p w14:paraId="4B36A8EE">
      <w:pPr>
        <w:spacing w:line="640" w:lineRule="exact"/>
        <w:ind w:firstLine="640"/>
        <w:jc w:val="both"/>
        <w:outlineLvl w:val="2"/>
      </w:pPr>
      <w:r>
        <w:rPr>
          <w:rFonts w:ascii="黑体" w:hAnsi="黑体" w:eastAsia="黑体"/>
          <w:sz w:val="32"/>
        </w:rPr>
        <w:t>五、一般公共预算财政拨款支出决算情况说明</w:t>
      </w:r>
    </w:p>
    <w:p w14:paraId="6CE466B3">
      <w:pPr>
        <w:spacing w:line="640" w:lineRule="exact"/>
        <w:ind w:firstLine="640"/>
        <w:jc w:val="both"/>
        <w:outlineLvl w:val="3"/>
      </w:pPr>
      <w:r>
        <w:rPr>
          <w:rFonts w:ascii="楷体_GB2312" w:hAnsi="楷体_GB2312" w:eastAsia="楷体_GB2312"/>
          <w:b/>
          <w:sz w:val="32"/>
        </w:rPr>
        <w:t>（一）一般公共预算财政拨款支出决算总体情况</w:t>
      </w:r>
    </w:p>
    <w:p w14:paraId="509EDBAF">
      <w:pPr>
        <w:spacing w:line="580" w:lineRule="exact"/>
        <w:ind w:firstLine="640"/>
        <w:jc w:val="both"/>
      </w:pPr>
      <w:r>
        <w:rPr>
          <w:rFonts w:ascii="仿宋_GB2312" w:hAnsi="仿宋_GB2312" w:eastAsia="仿宋_GB2312"/>
          <w:b/>
          <w:sz w:val="32"/>
        </w:rPr>
        <w:t>2024年度一般公共预算财政拨款支出466.03万元，</w:t>
      </w:r>
      <w:r>
        <w:rPr>
          <w:rFonts w:ascii="仿宋_GB2312" w:hAnsi="仿宋_GB2312" w:eastAsia="仿宋_GB2312"/>
          <w:b w:val="0"/>
          <w:sz w:val="32"/>
        </w:rPr>
        <w:t>占本年支出合计的19.04%。</w:t>
      </w:r>
      <w:r>
        <w:rPr>
          <w:rFonts w:ascii="仿宋_GB2312" w:hAnsi="仿宋_GB2312" w:eastAsia="仿宋_GB2312"/>
          <w:b/>
          <w:sz w:val="32"/>
        </w:rPr>
        <w:t>与上年相比，</w:t>
      </w:r>
      <w:r>
        <w:rPr>
          <w:rFonts w:ascii="仿宋_GB2312" w:hAnsi="仿宋_GB2312" w:eastAsia="仿宋_GB2312"/>
          <w:b w:val="0"/>
          <w:sz w:val="32"/>
        </w:rPr>
        <w:t>增加17.06万元，增长3.80%，主要原因是：本年在职人员增加，在职人员工资调增、社保、公积金基数调增，人员经费增加。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年初预算数423.55万元，决算数466.03万元，预决算差异率10.03%，主要原因是：年中追加人员工资、社保、公积金基数调增部分资金，导致预决算存在差异。</w:t>
      </w:r>
    </w:p>
    <w:p w14:paraId="0698F79E">
      <w:pPr>
        <w:spacing w:line="640" w:lineRule="exact"/>
        <w:ind w:firstLine="640"/>
        <w:jc w:val="both"/>
        <w:outlineLvl w:val="3"/>
      </w:pPr>
      <w:r>
        <w:rPr>
          <w:rFonts w:ascii="楷体_GB2312" w:hAnsi="楷体_GB2312" w:eastAsia="楷体_GB2312"/>
          <w:b/>
          <w:sz w:val="32"/>
        </w:rPr>
        <w:t>（二）一般公共预算财政拨款支出决算结构情况</w:t>
      </w:r>
    </w:p>
    <w:p w14:paraId="5F6298B2">
      <w:pPr>
        <w:spacing w:line="580" w:lineRule="exact"/>
        <w:ind w:firstLine="640"/>
        <w:jc w:val="both"/>
      </w:pPr>
      <w:r>
        <w:rPr>
          <w:rFonts w:ascii="仿宋_GB2312" w:hAnsi="仿宋_GB2312" w:eastAsia="仿宋_GB2312"/>
          <w:b w:val="0"/>
          <w:sz w:val="32"/>
        </w:rPr>
        <w:t>1.社会保障和就业支出(类)94.81万元,占20.34%。</w:t>
      </w:r>
    </w:p>
    <w:p w14:paraId="26D2EA21">
      <w:pPr>
        <w:spacing w:line="580" w:lineRule="exact"/>
        <w:ind w:firstLine="640"/>
        <w:jc w:val="both"/>
      </w:pPr>
      <w:r>
        <w:rPr>
          <w:rFonts w:ascii="仿宋_GB2312" w:hAnsi="仿宋_GB2312" w:eastAsia="仿宋_GB2312"/>
          <w:b w:val="0"/>
          <w:sz w:val="32"/>
        </w:rPr>
        <w:t>2.卫生健康支出(类)41.87万元,占8.98%。</w:t>
      </w:r>
    </w:p>
    <w:p w14:paraId="1C796A39">
      <w:pPr>
        <w:spacing w:line="580" w:lineRule="exact"/>
        <w:ind w:firstLine="640"/>
        <w:jc w:val="both"/>
      </w:pPr>
      <w:r>
        <w:rPr>
          <w:rFonts w:ascii="仿宋_GB2312" w:hAnsi="仿宋_GB2312" w:eastAsia="仿宋_GB2312"/>
          <w:b w:val="0"/>
          <w:sz w:val="32"/>
        </w:rPr>
        <w:t>3.自然资源海洋气象等支出(类)279.71万元,占60.02%。</w:t>
      </w:r>
    </w:p>
    <w:p w14:paraId="57712B11">
      <w:pPr>
        <w:spacing w:line="580" w:lineRule="exact"/>
        <w:ind w:firstLine="640"/>
        <w:jc w:val="both"/>
      </w:pPr>
      <w:r>
        <w:rPr>
          <w:rFonts w:ascii="仿宋_GB2312" w:hAnsi="仿宋_GB2312" w:eastAsia="仿宋_GB2312"/>
          <w:b w:val="0"/>
          <w:sz w:val="32"/>
        </w:rPr>
        <w:t>4.住房保障支出(类)49.63万元,占10.65%。</w:t>
      </w:r>
    </w:p>
    <w:p w14:paraId="250D6CD4">
      <w:pPr>
        <w:spacing w:line="640" w:lineRule="exact"/>
        <w:ind w:firstLine="640"/>
        <w:jc w:val="both"/>
        <w:outlineLvl w:val="3"/>
      </w:pPr>
      <w:r>
        <w:rPr>
          <w:rFonts w:ascii="楷体_GB2312" w:hAnsi="楷体_GB2312" w:eastAsia="楷体_GB2312"/>
          <w:b/>
          <w:sz w:val="32"/>
        </w:rPr>
        <w:t>（三）一般公共预算财政拨款支出决算具体情况</w:t>
      </w:r>
    </w:p>
    <w:p w14:paraId="2D6D3D9B">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1.社会保障和就业支出(类)行政事业单位养老支出(款)事业单位离退休(项):支出决算数为1.60万元，比上年决算增加0.40万元，增长33.33%,主要原因是：本年退休人员增加，退休费支出增加。</w:t>
      </w:r>
    </w:p>
    <w:p w14:paraId="20B5E2C8">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62.14万元，比上年决算增加4.74万元，增长8.26%,主要原因是：本年在职人员工资基数调增，养老缴费基数上涨，相应支出增加。</w:t>
      </w:r>
    </w:p>
    <w:p w14:paraId="537DCB3A">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31.07万元，比上年决算增加2.37万元，增长8.26%,主要原因是：本年在职人员工资基数调增，职业年金缴费基数上涨，相应支出增加。</w:t>
      </w:r>
    </w:p>
    <w:p w14:paraId="5FBA3629">
      <w:pPr>
        <w:spacing w:line="580" w:lineRule="exact"/>
        <w:ind w:firstLine="640"/>
        <w:jc w:val="both"/>
      </w:pPr>
      <w:r>
        <w:rPr>
          <w:rFonts w:ascii="仿宋_GB2312" w:hAnsi="仿宋_GB2312" w:eastAsia="仿宋_GB2312"/>
          <w:b w:val="0"/>
          <w:sz w:val="32"/>
        </w:rPr>
        <w:t>4.卫生健康支出(类)行政事业单位医疗(款)事业单位医疗(项):支出决算数为39.67万元，比上年决算增加10.97万元，增长38.22%,主要原因是：本年在职人员工资基数调增，医疗缴费基数上涨，相应支出增加。</w:t>
      </w:r>
    </w:p>
    <w:p w14:paraId="446642CA">
      <w:pPr>
        <w:spacing w:line="580" w:lineRule="exact"/>
        <w:ind w:firstLine="640"/>
        <w:jc w:val="both"/>
      </w:pPr>
      <w:r>
        <w:rPr>
          <w:rFonts w:ascii="仿宋_GB2312" w:hAnsi="仿宋_GB2312" w:eastAsia="仿宋_GB2312"/>
          <w:b w:val="0"/>
          <w:sz w:val="32"/>
        </w:rPr>
        <w:t>5.卫生健康支出(类)行政事业单位医疗(款)公务员医疗补助(项):支出决算数为1.94万元，比上年决算增加0.15万元，增长8.38%,主要原因是：本年在职人员工资基数调增，医疗缴费基数上涨，相应支出增加。</w:t>
      </w:r>
    </w:p>
    <w:p w14:paraId="50E94E5E">
      <w:pPr>
        <w:spacing w:line="580" w:lineRule="exact"/>
        <w:ind w:firstLine="640"/>
        <w:jc w:val="both"/>
      </w:pPr>
      <w:r>
        <w:rPr>
          <w:rFonts w:ascii="仿宋_GB2312" w:hAnsi="仿宋_GB2312" w:eastAsia="仿宋_GB2312"/>
          <w:b w:val="0"/>
          <w:sz w:val="32"/>
        </w:rPr>
        <w:t>6.卫生健康支出(类)行政事业单位医疗(款)其他行政事业单位医疗支出(项):支出决算数为0.26万元，比上年决算减少0.23万元，下降46.94%,主要原因是：本年在职人员调入，退休，职级不同，工资基数不同，其他行政事业单位医疗支出较上年减少。</w:t>
      </w:r>
    </w:p>
    <w:p w14:paraId="6378DA59">
      <w:pPr>
        <w:spacing w:line="580" w:lineRule="exact"/>
        <w:ind w:firstLine="640"/>
        <w:jc w:val="both"/>
      </w:pPr>
      <w:r>
        <w:rPr>
          <w:rFonts w:ascii="仿宋_GB2312" w:hAnsi="仿宋_GB2312" w:eastAsia="仿宋_GB2312"/>
          <w:b w:val="0"/>
          <w:sz w:val="32"/>
        </w:rPr>
        <w:t>7.自然资源海洋气象等支出(类)自然资源事务(款)自然资源利用与保护(项):支出决算数为279.71万元，比上年决算减少5.82万元，下降2.04%,主要原因是：</w:t>
      </w:r>
      <w:r>
        <w:rPr>
          <w:rFonts w:hint="eastAsia" w:ascii="仿宋_GB2312" w:hAnsi="仿宋_GB2312" w:eastAsia="仿宋_GB2312"/>
          <w:b w:val="0"/>
          <w:sz w:val="32"/>
          <w:lang w:val="en-US" w:eastAsia="zh-CN"/>
        </w:rPr>
        <w:t>本年无抚恤金支出，导致</w:t>
      </w:r>
      <w:r>
        <w:rPr>
          <w:rFonts w:ascii="仿宋_GB2312" w:hAnsi="仿宋_GB2312" w:eastAsia="仿宋_GB2312"/>
          <w:b w:val="0"/>
          <w:sz w:val="32"/>
        </w:rPr>
        <w:t>经费较上年减少。</w:t>
      </w:r>
    </w:p>
    <w:p w14:paraId="5BD95DB8">
      <w:pPr>
        <w:spacing w:line="580" w:lineRule="exact"/>
        <w:ind w:firstLine="640"/>
        <w:jc w:val="both"/>
      </w:pPr>
      <w:r>
        <w:rPr>
          <w:rFonts w:ascii="仿宋_GB2312" w:hAnsi="仿宋_GB2312" w:eastAsia="仿宋_GB2312"/>
          <w:b w:val="0"/>
          <w:sz w:val="32"/>
        </w:rPr>
        <w:t>8.住房保障支出(类)住房改革支出(款)住房公积金(项):支出决算数为49.63万元，比上年决算增加4.48万元，增长9.92%,主要原因是：本年在职人员工资基数调增，公积金缴费基数上涨，相应支出增加。</w:t>
      </w:r>
    </w:p>
    <w:p w14:paraId="6E65CAB8">
      <w:pPr>
        <w:spacing w:line="640" w:lineRule="exact"/>
        <w:ind w:firstLine="640"/>
        <w:jc w:val="both"/>
        <w:outlineLvl w:val="2"/>
      </w:pPr>
      <w:r>
        <w:rPr>
          <w:rFonts w:ascii="黑体" w:hAnsi="黑体" w:eastAsia="黑体"/>
          <w:sz w:val="32"/>
        </w:rPr>
        <w:t>六、一般公共预算财政拨款基本支出决算情况说明</w:t>
      </w:r>
    </w:p>
    <w:p w14:paraId="579487A3">
      <w:pPr>
        <w:spacing w:line="580" w:lineRule="exact"/>
        <w:ind w:firstLine="640"/>
        <w:jc w:val="both"/>
      </w:pPr>
      <w:r>
        <w:rPr>
          <w:rFonts w:ascii="仿宋_GB2312" w:hAnsi="仿宋_GB2312" w:eastAsia="仿宋_GB2312"/>
          <w:b w:val="0"/>
          <w:sz w:val="32"/>
        </w:rPr>
        <w:t>2024年度一般公共预算财政拨款基本支出466.03万元，其中：</w:t>
      </w:r>
      <w:r>
        <w:rPr>
          <w:rFonts w:ascii="仿宋_GB2312" w:hAnsi="仿宋_GB2312" w:eastAsia="仿宋_GB2312"/>
          <w:b/>
          <w:sz w:val="32"/>
        </w:rPr>
        <w:t>人员经费458.25万元，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包括：基本工资、津贴补贴、奖金、绩效工资、机关事业单位基本养老保险缴费、职业年金缴费、职工基本医疗保险缴费、公务员医疗补助缴费、其他社会保障缴费、住房公积金、退休费、生活补助、奖励金。</w:t>
      </w:r>
    </w:p>
    <w:p w14:paraId="01A18E96">
      <w:pPr>
        <w:spacing w:line="580" w:lineRule="exact"/>
        <w:ind w:firstLine="640"/>
        <w:jc w:val="both"/>
      </w:pPr>
      <w:r>
        <w:rPr>
          <w:rFonts w:ascii="仿宋_GB2312" w:hAnsi="仿宋_GB2312" w:eastAsia="仿宋_GB2312"/>
          <w:b/>
          <w:sz w:val="32"/>
        </w:rPr>
        <w:t>公用经费7.78万元，</w:t>
      </w:r>
      <w:r>
        <w:rPr>
          <w:rFonts w:ascii="仿宋_GB2312" w:hAnsi="仿宋_GB2312" w:eastAsia="仿宋_GB2312"/>
          <w:b w:val="0"/>
          <w:sz w:val="32"/>
        </w:rPr>
        <w:t>包括：培训费、福利费、其他商品和服务支出。</w:t>
      </w:r>
    </w:p>
    <w:p w14:paraId="2F14BF7E">
      <w:pPr>
        <w:spacing w:line="640" w:lineRule="exact"/>
        <w:ind w:firstLine="640"/>
        <w:jc w:val="both"/>
        <w:outlineLvl w:val="2"/>
      </w:pPr>
      <w:r>
        <w:rPr>
          <w:rFonts w:ascii="黑体" w:hAnsi="黑体" w:eastAsia="黑体"/>
          <w:sz w:val="32"/>
        </w:rPr>
        <w:t>七、政府性基金预算财政拨款收入支出决算情况说明</w:t>
      </w:r>
    </w:p>
    <w:p w14:paraId="62951F46">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44281B92">
      <w:pPr>
        <w:spacing w:line="640" w:lineRule="exact"/>
        <w:ind w:firstLine="640"/>
        <w:jc w:val="both"/>
        <w:outlineLvl w:val="2"/>
      </w:pPr>
      <w:r>
        <w:rPr>
          <w:rFonts w:ascii="黑体" w:hAnsi="黑体" w:eastAsia="黑体"/>
          <w:sz w:val="32"/>
        </w:rPr>
        <w:t>八、国有资本经营预算财政拨款收入支出决算情况说明</w:t>
      </w:r>
    </w:p>
    <w:p w14:paraId="248CB0A7">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D71F8D0">
      <w:pPr>
        <w:spacing w:line="640" w:lineRule="exact"/>
        <w:ind w:firstLine="640"/>
        <w:jc w:val="both"/>
        <w:outlineLvl w:val="2"/>
      </w:pPr>
      <w:r>
        <w:rPr>
          <w:rFonts w:ascii="黑体" w:hAnsi="黑体" w:eastAsia="黑体"/>
          <w:sz w:val="32"/>
        </w:rPr>
        <w:t>九、财政拨款“三公”经费支出决算情况说明</w:t>
      </w:r>
    </w:p>
    <w:p w14:paraId="775D24CA">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090E18B2">
      <w:pPr>
        <w:spacing w:line="580" w:lineRule="exact"/>
        <w:ind w:firstLine="640"/>
        <w:jc w:val="both"/>
      </w:pPr>
      <w:r>
        <w:rPr>
          <w:rFonts w:ascii="仿宋_GB2312" w:hAnsi="仿宋_GB2312" w:eastAsia="仿宋_GB2312"/>
          <w:b/>
          <w:sz w:val="32"/>
        </w:rPr>
        <w:t>具体情况如下：</w:t>
      </w:r>
    </w:p>
    <w:p w14:paraId="6FAE1268">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5FD0ACE">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3辆，与公务用车保有量差异原因是：单位业务用车，车辆费用未使用财政拨款公务用车运行维护费支付，由单位自有经费保障。</w:t>
      </w:r>
    </w:p>
    <w:p w14:paraId="20C6408F">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4A4E5FDA">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38AE10B2">
      <w:pPr>
        <w:spacing w:line="640" w:lineRule="exact"/>
        <w:ind w:firstLine="640"/>
        <w:jc w:val="both"/>
        <w:outlineLvl w:val="2"/>
      </w:pPr>
      <w:r>
        <w:rPr>
          <w:rFonts w:ascii="黑体" w:hAnsi="黑体" w:eastAsia="黑体"/>
          <w:sz w:val="32"/>
        </w:rPr>
        <w:t>十、其他重要事项的情况说明</w:t>
      </w:r>
    </w:p>
    <w:p w14:paraId="5E63E7F0">
      <w:pPr>
        <w:spacing w:line="640" w:lineRule="exact"/>
        <w:ind w:firstLine="640"/>
        <w:jc w:val="both"/>
        <w:outlineLvl w:val="3"/>
      </w:pPr>
      <w:r>
        <w:rPr>
          <w:rFonts w:ascii="楷体_GB2312" w:hAnsi="楷体_GB2312" w:eastAsia="楷体_GB2312"/>
          <w:b/>
          <w:sz w:val="32"/>
        </w:rPr>
        <w:t>（一）机关运行经费及公用经费支出情况</w:t>
      </w:r>
    </w:p>
    <w:p w14:paraId="1A059E8A">
      <w:pPr>
        <w:spacing w:line="580" w:lineRule="exact"/>
        <w:ind w:firstLine="640"/>
        <w:jc w:val="both"/>
      </w:pPr>
      <w:r>
        <w:rPr>
          <w:rFonts w:ascii="仿宋_GB2312" w:hAnsi="仿宋_GB2312" w:eastAsia="仿宋_GB2312"/>
          <w:b w:val="0"/>
          <w:sz w:val="32"/>
        </w:rPr>
        <w:t>2024年度昌吉回族自治州国土资源规划研究院（事业单位）公用经费支出7.78万元，比上年增加0.74万元，增长10.51%，主要原因是：本年增加培训费、福利费</w:t>
      </w:r>
      <w:bookmarkStart w:id="0" w:name="_GoBack"/>
      <w:bookmarkEnd w:id="0"/>
      <w:r>
        <w:rPr>
          <w:rFonts w:ascii="仿宋_GB2312" w:hAnsi="仿宋_GB2312" w:eastAsia="仿宋_GB2312"/>
          <w:b w:val="0"/>
          <w:sz w:val="32"/>
        </w:rPr>
        <w:t>。</w:t>
      </w:r>
    </w:p>
    <w:p w14:paraId="698216ED">
      <w:pPr>
        <w:spacing w:line="640" w:lineRule="exact"/>
        <w:ind w:firstLine="640"/>
        <w:jc w:val="both"/>
        <w:outlineLvl w:val="3"/>
      </w:pPr>
      <w:r>
        <w:rPr>
          <w:rFonts w:ascii="楷体_GB2312" w:hAnsi="楷体_GB2312" w:eastAsia="楷体_GB2312"/>
          <w:b/>
          <w:sz w:val="32"/>
        </w:rPr>
        <w:t>（二）政府采购情况</w:t>
      </w:r>
    </w:p>
    <w:p w14:paraId="26F5C9AA">
      <w:pPr>
        <w:spacing w:line="580" w:lineRule="exact"/>
        <w:ind w:firstLine="640"/>
        <w:jc w:val="both"/>
      </w:pPr>
      <w:r>
        <w:rPr>
          <w:rFonts w:ascii="仿宋_GB2312" w:hAnsi="仿宋_GB2312" w:eastAsia="仿宋_GB2312"/>
          <w:b w:val="0"/>
          <w:sz w:val="32"/>
        </w:rPr>
        <w:t>2024年度政府采购支出总额72.72万元，其中：政府采购货物支出25.96万元、政府采购工程支出0.77万元、政府采购服务支出45.98万元。</w:t>
      </w:r>
    </w:p>
    <w:p w14:paraId="462DA92E">
      <w:pPr>
        <w:spacing w:line="580" w:lineRule="exact"/>
        <w:ind w:firstLine="640"/>
        <w:jc w:val="both"/>
      </w:pPr>
      <w:r>
        <w:rPr>
          <w:rFonts w:ascii="仿宋_GB2312" w:hAnsi="仿宋_GB2312" w:eastAsia="仿宋_GB2312"/>
          <w:b w:val="0"/>
          <w:sz w:val="32"/>
        </w:rPr>
        <w:t>授予中小企业合同金额72.72万元，占政府采购支出总额的100.00%，其中：授予小微企业合同金额72.72万元，占政府采购支出总额的100.00%。</w:t>
      </w:r>
    </w:p>
    <w:p w14:paraId="471BD5A3">
      <w:pPr>
        <w:spacing w:line="640" w:lineRule="exact"/>
        <w:ind w:firstLine="640"/>
        <w:jc w:val="both"/>
        <w:outlineLvl w:val="3"/>
      </w:pPr>
      <w:r>
        <w:rPr>
          <w:rFonts w:ascii="楷体_GB2312" w:hAnsi="楷体_GB2312" w:eastAsia="楷体_GB2312"/>
          <w:b/>
          <w:sz w:val="32"/>
        </w:rPr>
        <w:t>（三）国有资产占用情况说明</w:t>
      </w:r>
    </w:p>
    <w:p w14:paraId="5ADA8B5E">
      <w:pPr>
        <w:spacing w:line="580" w:lineRule="exact"/>
        <w:ind w:firstLine="640"/>
        <w:jc w:val="both"/>
      </w:pPr>
      <w:r>
        <w:rPr>
          <w:rFonts w:ascii="仿宋_GB2312" w:hAnsi="仿宋_GB2312" w:eastAsia="仿宋_GB2312"/>
          <w:b w:val="0"/>
          <w:sz w:val="32"/>
        </w:rPr>
        <w:t>截至2024年12月31日，房屋2,597.66平方米，价值822.63万元。车辆3辆，价值96.89万元，其中：副部（省）级及以上领导用车0辆、主要负责人用车0辆、机要通信用车0辆、应急保障用车0辆、执法执勤用车0辆、特种专业技术用车0辆、离退休干部服务用车0辆、其他用车3辆，其他用车主要是：皮卡车等业务工作用车。单价100万元（含）以上设备（不含车辆）1台（套）。</w:t>
      </w:r>
    </w:p>
    <w:p w14:paraId="1FDEC3AD">
      <w:pPr>
        <w:spacing w:line="640" w:lineRule="exact"/>
        <w:ind w:firstLine="640"/>
        <w:jc w:val="both"/>
        <w:outlineLvl w:val="2"/>
      </w:pPr>
      <w:r>
        <w:rPr>
          <w:rFonts w:ascii="黑体" w:hAnsi="黑体" w:eastAsia="黑体"/>
          <w:sz w:val="32"/>
        </w:rPr>
        <w:t>十一、预算绩效的情况说明</w:t>
      </w:r>
    </w:p>
    <w:p w14:paraId="37B90EDB">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2,831.99万元，实际执行总额2,447.36万元；预算绩效评价项目1个，全年预算数444.41万元，全年执行数441.51万元。预算绩效管理取得的成效：一是对单位基本运转及单位职能履职起到监督和保障作用；二是总结经验做法，找出资金使用和管理中的薄弱环节，进一步加强预算管理，提高财政资金使用效益，为部门科学决策、规范管理提供参考。发现的问题及原因：一是绩效指标的明确性、可衡量性、相关性还需进一步提升</w:t>
      </w:r>
      <w:r>
        <w:rPr>
          <w:rFonts w:hint="eastAsia" w:ascii="仿宋_GB2312" w:hAnsi="仿宋_GB2312" w:eastAsia="仿宋_GB2312"/>
          <w:b w:val="0"/>
          <w:sz w:val="32"/>
          <w:lang w:eastAsia="zh-CN"/>
        </w:rPr>
        <w:t>。</w:t>
      </w:r>
      <w:r>
        <w:rPr>
          <w:rFonts w:ascii="仿宋_GB2312" w:hAnsi="仿宋_GB2312" w:eastAsia="仿宋_GB2312"/>
          <w:b w:val="0"/>
          <w:sz w:val="32"/>
        </w:rPr>
        <w:t>二是业务人员绩效管理意识有待增强，未能全面深入认识理解绩效管理工作的意义。绩效管理经验不足，预算绩效管理工作有待进一步落实。下一步改进措施：一是高度重视财政预决算工作，加强预算的约束力</w:t>
      </w:r>
      <w:r>
        <w:rPr>
          <w:rFonts w:hint="eastAsia" w:ascii="仿宋_GB2312" w:hAnsi="仿宋_GB2312" w:eastAsia="仿宋_GB2312"/>
          <w:b w:val="0"/>
          <w:sz w:val="32"/>
          <w:lang w:eastAsia="zh-CN"/>
        </w:rPr>
        <w:t>。</w:t>
      </w:r>
      <w:r>
        <w:rPr>
          <w:rFonts w:ascii="仿宋_GB2312" w:hAnsi="仿宋_GB2312" w:eastAsia="仿宋_GB2312"/>
          <w:b w:val="0"/>
          <w:sz w:val="32"/>
        </w:rPr>
        <w:t>二是加强内部管理，严格执行预算，坚持厉行节约，进一步降低财务支出。具体附整体支出绩效自评表，项目支出绩效自评表和评价报告。</w:t>
      </w:r>
    </w:p>
    <w:p w14:paraId="531527FA">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3F9EF99">
        <w:tblPrEx>
          <w:tblCellMar>
            <w:top w:w="0" w:type="dxa"/>
            <w:left w:w="108" w:type="dxa"/>
            <w:bottom w:w="0" w:type="dxa"/>
            <w:right w:w="108" w:type="dxa"/>
          </w:tblCellMar>
        </w:tblPrEx>
        <w:tc>
          <w:tcPr>
            <w:tcW w:w="8847" w:type="dxa"/>
            <w:gridSpan w:val="9"/>
            <w:vAlign w:val="center"/>
          </w:tcPr>
          <w:p w14:paraId="00B4DA12">
            <w:pPr>
              <w:jc w:val="center"/>
            </w:pPr>
            <w:r>
              <w:rPr>
                <w:rFonts w:ascii="宋体" w:hAnsi="宋体" w:eastAsia="宋体"/>
                <w:sz w:val="24"/>
              </w:rPr>
              <w:t>单位整体支出绩效自评表</w:t>
            </w:r>
          </w:p>
        </w:tc>
      </w:tr>
      <w:tr w14:paraId="2D4BD2C6">
        <w:tblPrEx>
          <w:tblCellMar>
            <w:top w:w="0" w:type="dxa"/>
            <w:left w:w="108" w:type="dxa"/>
            <w:bottom w:w="0" w:type="dxa"/>
            <w:right w:w="108" w:type="dxa"/>
          </w:tblCellMar>
        </w:tblPrEx>
        <w:tc>
          <w:tcPr>
            <w:tcW w:w="8847" w:type="dxa"/>
            <w:gridSpan w:val="9"/>
            <w:vAlign w:val="center"/>
          </w:tcPr>
          <w:p w14:paraId="6CB67157">
            <w:pPr>
              <w:jc w:val="center"/>
            </w:pPr>
            <w:r>
              <w:rPr>
                <w:rFonts w:ascii="宋体" w:hAnsi="宋体" w:eastAsia="宋体"/>
                <w:sz w:val="24"/>
              </w:rPr>
              <w:t>（2024年度）</w:t>
            </w:r>
          </w:p>
        </w:tc>
      </w:tr>
      <w:tr w14:paraId="2A3B96D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A7C552">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00C632E">
            <w:pPr>
              <w:jc w:val="center"/>
            </w:pPr>
            <w:r>
              <w:rPr>
                <w:rFonts w:ascii="宋体" w:hAnsi="宋体" w:eastAsia="宋体"/>
                <w:sz w:val="16"/>
              </w:rPr>
              <w:t>昌吉回族自治州国土资源规划研究院</w:t>
            </w:r>
          </w:p>
        </w:tc>
      </w:tr>
      <w:tr w14:paraId="118875C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787F22">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39492F">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9F341C">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03704B">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59FABD">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9497D8">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C655AC">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B295F3">
            <w:pPr>
              <w:jc w:val="center"/>
            </w:pPr>
            <w:r>
              <w:rPr>
                <w:rFonts w:ascii="宋体" w:hAnsi="宋体" w:eastAsia="宋体"/>
                <w:sz w:val="16"/>
              </w:rPr>
              <w:t>得分</w:t>
            </w:r>
          </w:p>
        </w:tc>
      </w:tr>
      <w:tr w14:paraId="5037496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5722F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A65E70">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1BC91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63217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F825C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21BE9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DEA5C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4B875E">
            <w:pPr>
              <w:jc w:val="center"/>
            </w:pPr>
            <w:r>
              <w:rPr>
                <w:rFonts w:ascii="宋体" w:hAnsi="宋体" w:eastAsia="宋体"/>
                <w:sz w:val="16"/>
              </w:rPr>
              <w:t>-</w:t>
            </w:r>
          </w:p>
        </w:tc>
      </w:tr>
      <w:tr w14:paraId="4FD8ED7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C916D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FD7918">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BAA139">
            <w:pPr>
              <w:jc w:val="center"/>
            </w:pPr>
            <w:r>
              <w:rPr>
                <w:rFonts w:ascii="宋体" w:hAnsi="宋体" w:eastAsia="宋体"/>
                <w:sz w:val="16"/>
              </w:rPr>
              <w:t>423.55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C03711">
            <w:pPr>
              <w:jc w:val="center"/>
            </w:pPr>
            <w:r>
              <w:rPr>
                <w:rFonts w:ascii="宋体" w:hAnsi="宋体" w:eastAsia="宋体"/>
                <w:sz w:val="16"/>
              </w:rPr>
              <w:t>466.03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1CC5C3">
            <w:pPr>
              <w:jc w:val="center"/>
            </w:pPr>
            <w:r>
              <w:rPr>
                <w:rFonts w:ascii="宋体" w:hAnsi="宋体" w:eastAsia="宋体"/>
                <w:sz w:val="16"/>
              </w:rPr>
              <w:t>466.03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3B835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398F2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86509E">
            <w:pPr>
              <w:jc w:val="center"/>
            </w:pPr>
            <w:r>
              <w:rPr>
                <w:rFonts w:ascii="宋体" w:hAnsi="宋体" w:eastAsia="宋体"/>
                <w:sz w:val="16"/>
              </w:rPr>
              <w:t>-</w:t>
            </w:r>
          </w:p>
        </w:tc>
      </w:tr>
      <w:tr w14:paraId="06C5DEE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A4A5E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76A773">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15B873">
            <w:pPr>
              <w:jc w:val="center"/>
            </w:pPr>
            <w:r>
              <w:rPr>
                <w:rFonts w:ascii="宋体" w:hAnsi="宋体" w:eastAsia="宋体"/>
                <w:sz w:val="16"/>
              </w:rPr>
              <w:t>4,600.00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1F91F6">
            <w:pPr>
              <w:jc w:val="center"/>
            </w:pPr>
            <w:r>
              <w:rPr>
                <w:rFonts w:ascii="宋体" w:hAnsi="宋体" w:eastAsia="宋体"/>
                <w:sz w:val="16"/>
              </w:rPr>
              <w:t>2,365.96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994393">
            <w:pPr>
              <w:jc w:val="center"/>
            </w:pPr>
            <w:r>
              <w:rPr>
                <w:rFonts w:ascii="宋体" w:hAnsi="宋体" w:eastAsia="宋体"/>
                <w:sz w:val="16"/>
              </w:rPr>
              <w:t>1,981.33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4855A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E147C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C6D222">
            <w:pPr>
              <w:jc w:val="center"/>
            </w:pPr>
            <w:r>
              <w:rPr>
                <w:rFonts w:ascii="宋体" w:hAnsi="宋体" w:eastAsia="宋体"/>
                <w:sz w:val="16"/>
              </w:rPr>
              <w:t>-</w:t>
            </w:r>
          </w:p>
        </w:tc>
      </w:tr>
      <w:tr w14:paraId="74B5C5C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0CC0A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82F2F3">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22B67A">
            <w:pPr>
              <w:jc w:val="center"/>
            </w:pPr>
            <w:r>
              <w:rPr>
                <w:rFonts w:ascii="宋体" w:hAnsi="宋体" w:eastAsia="宋体"/>
                <w:sz w:val="16"/>
              </w:rPr>
              <w:t>5,023.55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5AF693">
            <w:pPr>
              <w:jc w:val="center"/>
            </w:pPr>
            <w:r>
              <w:rPr>
                <w:rFonts w:ascii="宋体" w:hAnsi="宋体" w:eastAsia="宋体"/>
                <w:sz w:val="16"/>
              </w:rPr>
              <w:t>2,831.99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33B888">
            <w:pPr>
              <w:jc w:val="center"/>
            </w:pPr>
            <w:r>
              <w:rPr>
                <w:rFonts w:ascii="宋体" w:hAnsi="宋体" w:eastAsia="宋体"/>
                <w:sz w:val="16"/>
              </w:rPr>
              <w:t>2,447.36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BDC85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75F8D2">
            <w:pPr>
              <w:jc w:val="center"/>
            </w:pPr>
            <w:r>
              <w:rPr>
                <w:rFonts w:ascii="宋体" w:hAnsi="宋体" w:eastAsia="宋体"/>
                <w:sz w:val="16"/>
              </w:rPr>
              <w:t>86.42%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DE283D">
            <w:pPr>
              <w:jc w:val="center"/>
            </w:pPr>
            <w:r>
              <w:rPr>
                <w:rFonts w:ascii="宋体" w:hAnsi="宋体" w:eastAsia="宋体"/>
                <w:sz w:val="16"/>
              </w:rPr>
              <w:t>8.64</w:t>
            </w:r>
          </w:p>
        </w:tc>
      </w:tr>
      <w:tr w14:paraId="1FC8868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2D0DEF">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1D8A9D5">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9EA8463">
            <w:pPr>
              <w:jc w:val="center"/>
            </w:pPr>
            <w:r>
              <w:rPr>
                <w:rFonts w:ascii="宋体" w:hAnsi="宋体" w:eastAsia="宋体"/>
                <w:sz w:val="16"/>
              </w:rPr>
              <w:t>实际完成情况</w:t>
            </w:r>
          </w:p>
        </w:tc>
      </w:tr>
      <w:tr w14:paraId="4E3BD1C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4E95DE"/>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57D3EA0">
            <w:pPr>
              <w:jc w:val="both"/>
            </w:pPr>
            <w:r>
              <w:rPr>
                <w:rFonts w:ascii="宋体" w:hAnsi="宋体" w:eastAsia="宋体"/>
                <w:sz w:val="16"/>
              </w:rPr>
              <w:t xml:space="preserve">目标1：通过预算执行，保障在职人员的工资发放、社会保险、住房公积金等的缴纳，保障单位工作正常进行。 </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目标2:做好测绘服务、规划研究等技术服务工作，重点围绕年初设定的年度主要工作任务，按工作进度要求完成昌吉州土地勘测定界工作、土地报批工作、协助昌吉州各县市自然资源局做好技术服务工作。"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EC9B784">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全年预算数为2831.99万元，全年执行数为2447.36万元，总预算执行率为86.42。2024年</w:t>
            </w:r>
            <w:r>
              <w:rPr>
                <w:rFonts w:hint="eastAsia" w:ascii="宋体" w:hAnsi="宋体"/>
                <w:sz w:val="16"/>
                <w:lang w:eastAsia="zh-CN"/>
              </w:rPr>
              <w:t>本单位</w:t>
            </w:r>
            <w:r>
              <w:rPr>
                <w:rFonts w:ascii="宋体" w:hAnsi="宋体" w:eastAsia="宋体"/>
                <w:sz w:val="16"/>
              </w:rPr>
              <w:t>完成以下工作内容：</w:t>
            </w:r>
            <w:r>
              <w:rPr>
                <w:rFonts w:hint="eastAsia" w:ascii="宋体" w:hAnsi="宋体"/>
                <w:sz w:val="16"/>
                <w:lang w:eastAsia="zh-CN"/>
              </w:rPr>
              <w:t>本单位</w:t>
            </w:r>
            <w:r>
              <w:rPr>
                <w:rFonts w:ascii="宋体" w:hAnsi="宋体" w:eastAsia="宋体"/>
                <w:sz w:val="16"/>
              </w:rPr>
              <w:t>开展测绘技术培训会5次，规划测绘技术培训人数达107人，国土勘测次数达295次，专业设备检测维修合格率达100%，测绘成果抽检通过合格率达100%，村庄规划数据库完成通过率达100%，耕地进出平衡方案完成通过率100%。通过以上工作的实施，为经济社会发展提供自然资源保障服务，提高了自然资源集约节约利用水平，提升了昌吉州各县市自然资源局管理水平。</w:t>
            </w:r>
          </w:p>
        </w:tc>
      </w:tr>
      <w:tr w14:paraId="5B0A3CB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ECAD7C">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A9AE18">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A1AE22">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6DD08B">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636DE6">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FBB2E4">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C100D3">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9825A0">
            <w:pPr>
              <w:jc w:val="center"/>
            </w:pPr>
            <w:r>
              <w:rPr>
                <w:rFonts w:ascii="宋体" w:hAnsi="宋体" w:eastAsia="宋体"/>
                <w:sz w:val="16"/>
              </w:rPr>
              <w:t>得分</w:t>
            </w:r>
          </w:p>
        </w:tc>
      </w:tr>
      <w:tr w14:paraId="66C4B7C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5571AF">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C396DE">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C5C4D8">
            <w:pPr>
              <w:jc w:val="center"/>
            </w:pPr>
            <w:r>
              <w:rPr>
                <w:rFonts w:ascii="宋体" w:hAnsi="宋体" w:eastAsia="宋体"/>
                <w:sz w:val="16"/>
              </w:rPr>
              <w:t>开展测绘技术培训会次数（次）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C6DCE4">
            <w:pPr>
              <w:jc w:val="center"/>
            </w:pPr>
            <w:r>
              <w:rPr>
                <w:rFonts w:ascii="宋体" w:hAnsi="宋体" w:eastAsia="宋体"/>
                <w:sz w:val="16"/>
              </w:rPr>
              <w:t>=5次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53C139">
            <w:pPr>
              <w:jc w:val="center"/>
            </w:pPr>
            <w:r>
              <w:rPr>
                <w:rFonts w:ascii="宋体" w:hAnsi="宋体" w:eastAsia="宋体"/>
                <w:sz w:val="16"/>
              </w:rPr>
              <w:t>昌吉州国土资源规划研究院2024年度工作计划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0DC736">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206294">
            <w:pPr>
              <w:jc w:val="center"/>
            </w:pPr>
            <w:r>
              <w:rPr>
                <w:rFonts w:ascii="宋体" w:hAnsi="宋体" w:eastAsia="宋体"/>
                <w:sz w:val="16"/>
              </w:rPr>
              <w:t>=5次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1EA33A">
            <w:pPr>
              <w:jc w:val="center"/>
            </w:pPr>
            <w:r>
              <w:rPr>
                <w:rFonts w:ascii="宋体" w:hAnsi="宋体" w:eastAsia="宋体"/>
                <w:sz w:val="16"/>
              </w:rPr>
              <w:t>15</w:t>
            </w:r>
          </w:p>
        </w:tc>
      </w:tr>
      <w:tr w14:paraId="7F330E4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0F3C3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D1C18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F0CEEA">
            <w:pPr>
              <w:jc w:val="center"/>
            </w:pPr>
            <w:r>
              <w:rPr>
                <w:rFonts w:ascii="宋体" w:hAnsi="宋体" w:eastAsia="宋体"/>
                <w:sz w:val="16"/>
              </w:rPr>
              <w:t>规划测绘技术培训人数（人）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205C38">
            <w:pPr>
              <w:jc w:val="center"/>
            </w:pPr>
            <w:r>
              <w:rPr>
                <w:rFonts w:ascii="宋体" w:hAnsi="宋体" w:eastAsia="宋体"/>
                <w:sz w:val="16"/>
              </w:rPr>
              <w:t>&gt;=50人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660B31">
            <w:pPr>
              <w:jc w:val="center"/>
            </w:pPr>
            <w:r>
              <w:rPr>
                <w:rFonts w:ascii="宋体" w:hAnsi="宋体" w:eastAsia="宋体"/>
                <w:sz w:val="16"/>
              </w:rPr>
              <w:t>昌吉州国土资源规划研究院2024年度工作计划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CF70F6">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9ECEB5">
            <w:pPr>
              <w:jc w:val="center"/>
            </w:pPr>
            <w:r>
              <w:rPr>
                <w:rFonts w:ascii="宋体" w:hAnsi="宋体" w:eastAsia="宋体"/>
                <w:sz w:val="16"/>
              </w:rPr>
              <w:t>=107人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63E5F9">
            <w:pPr>
              <w:jc w:val="center"/>
            </w:pPr>
            <w:r>
              <w:rPr>
                <w:rFonts w:ascii="宋体" w:hAnsi="宋体" w:eastAsia="宋体"/>
                <w:sz w:val="16"/>
              </w:rPr>
              <w:t>15</w:t>
            </w:r>
          </w:p>
        </w:tc>
      </w:tr>
      <w:tr w14:paraId="0445437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24B9E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32CDF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D564F1">
            <w:pPr>
              <w:jc w:val="center"/>
            </w:pPr>
            <w:r>
              <w:rPr>
                <w:rFonts w:ascii="宋体" w:hAnsi="宋体" w:eastAsia="宋体"/>
                <w:sz w:val="16"/>
              </w:rPr>
              <w:t>国土勘测次数（次）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2E0231">
            <w:pPr>
              <w:jc w:val="center"/>
            </w:pPr>
            <w:r>
              <w:rPr>
                <w:rFonts w:ascii="宋体" w:hAnsi="宋体" w:eastAsia="宋体"/>
                <w:sz w:val="16"/>
              </w:rPr>
              <w:t>&gt;=100次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4C76A0">
            <w:pPr>
              <w:jc w:val="center"/>
            </w:pPr>
            <w:r>
              <w:rPr>
                <w:rFonts w:ascii="宋体" w:hAnsi="宋体" w:eastAsia="宋体"/>
                <w:sz w:val="16"/>
              </w:rPr>
              <w:t>昌吉州国土资源规划研究院2024年度工作计划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228C98">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A0BB40">
            <w:pPr>
              <w:jc w:val="center"/>
            </w:pPr>
            <w:r>
              <w:rPr>
                <w:rFonts w:ascii="宋体" w:hAnsi="宋体" w:eastAsia="宋体"/>
                <w:sz w:val="16"/>
              </w:rPr>
              <w:t>=295次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F0E80B">
            <w:pPr>
              <w:jc w:val="center"/>
            </w:pPr>
            <w:r>
              <w:rPr>
                <w:rFonts w:ascii="宋体" w:hAnsi="宋体" w:eastAsia="宋体"/>
                <w:sz w:val="16"/>
              </w:rPr>
              <w:t>15</w:t>
            </w:r>
          </w:p>
        </w:tc>
      </w:tr>
      <w:tr w14:paraId="7AA5AD1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45AF6F"/>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79C477">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0CBF65">
            <w:pPr>
              <w:jc w:val="center"/>
            </w:pPr>
            <w:r>
              <w:rPr>
                <w:rFonts w:ascii="宋体" w:hAnsi="宋体" w:eastAsia="宋体"/>
                <w:sz w:val="16"/>
              </w:rPr>
              <w:t>专业设备检测维修合格率（%）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2A2F82">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4B7F93">
            <w:pPr>
              <w:jc w:val="center"/>
            </w:pPr>
            <w:r>
              <w:rPr>
                <w:rFonts w:ascii="宋体" w:hAnsi="宋体" w:eastAsia="宋体"/>
                <w:sz w:val="16"/>
              </w:rPr>
              <w:t>昌吉州国土资源规划研究院2024年度工作计划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2558B8">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8881C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EAAE9E">
            <w:pPr>
              <w:jc w:val="center"/>
            </w:pPr>
            <w:r>
              <w:rPr>
                <w:rFonts w:ascii="宋体" w:hAnsi="宋体" w:eastAsia="宋体"/>
                <w:sz w:val="16"/>
              </w:rPr>
              <w:t>15</w:t>
            </w:r>
          </w:p>
        </w:tc>
      </w:tr>
      <w:tr w14:paraId="2E0D6A3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BD3F2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47FC0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755C31">
            <w:pPr>
              <w:jc w:val="center"/>
            </w:pPr>
            <w:r>
              <w:rPr>
                <w:rFonts w:ascii="宋体" w:hAnsi="宋体" w:eastAsia="宋体"/>
                <w:sz w:val="16"/>
              </w:rPr>
              <w:t>测绘成果抽检通过合格率（%）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3EFCD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D42AFE">
            <w:pPr>
              <w:jc w:val="center"/>
            </w:pPr>
            <w:r>
              <w:rPr>
                <w:rFonts w:ascii="宋体" w:hAnsi="宋体" w:eastAsia="宋体"/>
                <w:sz w:val="16"/>
              </w:rPr>
              <w:t>昌吉州国土资源规划研究院2024年度工作计划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5F1E7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4A1D0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D3388E">
            <w:pPr>
              <w:jc w:val="center"/>
            </w:pPr>
            <w:r>
              <w:rPr>
                <w:rFonts w:ascii="宋体" w:hAnsi="宋体" w:eastAsia="宋体"/>
                <w:sz w:val="16"/>
              </w:rPr>
              <w:t>10</w:t>
            </w:r>
          </w:p>
        </w:tc>
      </w:tr>
      <w:tr w14:paraId="1F3C98F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552D7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61170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878692">
            <w:pPr>
              <w:jc w:val="center"/>
            </w:pPr>
            <w:r>
              <w:rPr>
                <w:rFonts w:ascii="宋体" w:hAnsi="宋体" w:eastAsia="宋体"/>
                <w:sz w:val="16"/>
              </w:rPr>
              <w:t>村庄规划数据库完成通过率（%）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640918">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06D9CC">
            <w:pPr>
              <w:jc w:val="center"/>
            </w:pPr>
            <w:r>
              <w:rPr>
                <w:rFonts w:ascii="宋体" w:hAnsi="宋体" w:eastAsia="宋体"/>
                <w:sz w:val="16"/>
              </w:rPr>
              <w:t>昌吉州国土资源规划研究院2024年度工作计划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4E466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64F39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194DC8">
            <w:pPr>
              <w:jc w:val="center"/>
            </w:pPr>
            <w:r>
              <w:rPr>
                <w:rFonts w:ascii="宋体" w:hAnsi="宋体" w:eastAsia="宋体"/>
                <w:sz w:val="16"/>
              </w:rPr>
              <w:t>10</w:t>
            </w:r>
          </w:p>
        </w:tc>
      </w:tr>
      <w:tr w14:paraId="309BB3A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6064B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D4F2A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330FA9">
            <w:pPr>
              <w:jc w:val="center"/>
            </w:pPr>
            <w:r>
              <w:rPr>
                <w:rFonts w:ascii="宋体" w:hAnsi="宋体" w:eastAsia="宋体"/>
                <w:sz w:val="16"/>
              </w:rPr>
              <w:t>耕地进出平衡方案完成通过率(%)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EBE53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62234F">
            <w:pPr>
              <w:jc w:val="center"/>
            </w:pPr>
            <w:r>
              <w:rPr>
                <w:rFonts w:ascii="宋体" w:hAnsi="宋体" w:eastAsia="宋体"/>
                <w:sz w:val="16"/>
              </w:rPr>
              <w:t>昌吉州国土资源规划研究院2024年度工作计划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619E9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F49C6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98BFF5">
            <w:pPr>
              <w:jc w:val="center"/>
            </w:pPr>
            <w:r>
              <w:rPr>
                <w:rFonts w:ascii="宋体" w:hAnsi="宋体" w:eastAsia="宋体"/>
                <w:sz w:val="16"/>
              </w:rPr>
              <w:t>10</w:t>
            </w:r>
          </w:p>
        </w:tc>
      </w:tr>
    </w:tbl>
    <w:p w14:paraId="75E14A48">
      <w:r>
        <w:br w:type="page"/>
      </w:r>
    </w:p>
    <w:tbl>
      <w:tblPr>
        <w:tblStyle w:val="9"/>
        <w:tblW w:w="0" w:type="auto"/>
        <w:tblInd w:w="0" w:type="dxa"/>
        <w:tblLayout w:type="autofit"/>
        <w:tblCellMar>
          <w:top w:w="0" w:type="dxa"/>
          <w:left w:w="108" w:type="dxa"/>
          <w:bottom w:w="0" w:type="dxa"/>
          <w:right w:w="108" w:type="dxa"/>
        </w:tblCellMar>
      </w:tblPr>
      <w:tblGrid>
        <w:gridCol w:w="607"/>
        <w:gridCol w:w="564"/>
        <w:gridCol w:w="564"/>
        <w:gridCol w:w="628"/>
        <w:gridCol w:w="585"/>
        <w:gridCol w:w="856"/>
        <w:gridCol w:w="856"/>
        <w:gridCol w:w="696"/>
        <w:gridCol w:w="628"/>
        <w:gridCol w:w="564"/>
        <w:gridCol w:w="776"/>
        <w:gridCol w:w="564"/>
        <w:gridCol w:w="564"/>
        <w:gridCol w:w="608"/>
      </w:tblGrid>
      <w:tr w14:paraId="1A65FCCE">
        <w:tblPrEx>
          <w:tblCellMar>
            <w:top w:w="0" w:type="dxa"/>
            <w:left w:w="108" w:type="dxa"/>
            <w:bottom w:w="0" w:type="dxa"/>
            <w:right w:w="108" w:type="dxa"/>
          </w:tblCellMar>
        </w:tblPrEx>
        <w:tc>
          <w:tcPr>
            <w:tcW w:w="8848" w:type="dxa"/>
            <w:gridSpan w:val="14"/>
            <w:vAlign w:val="center"/>
          </w:tcPr>
          <w:p w14:paraId="42B620E7">
            <w:pPr>
              <w:jc w:val="center"/>
            </w:pPr>
            <w:r>
              <w:rPr>
                <w:rFonts w:ascii="宋体" w:hAnsi="宋体" w:eastAsia="宋体"/>
                <w:sz w:val="24"/>
              </w:rPr>
              <w:t>项目支出绩效自评表</w:t>
            </w:r>
          </w:p>
        </w:tc>
      </w:tr>
      <w:tr w14:paraId="0FF3F30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6131E0C">
            <w:pPr>
              <w:jc w:val="center"/>
            </w:pPr>
            <w:r>
              <w:rPr>
                <w:rFonts w:ascii="宋体" w:hAnsi="宋体" w:eastAsia="宋体"/>
                <w:sz w:val="24"/>
              </w:rPr>
              <w:t>(2024年度)</w:t>
            </w:r>
          </w:p>
        </w:tc>
      </w:tr>
      <w:tr w14:paraId="32CE442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BA91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D553B87">
            <w:pPr>
              <w:jc w:val="center"/>
            </w:pPr>
            <w:r>
              <w:rPr>
                <w:rFonts w:ascii="宋体" w:hAnsi="宋体" w:eastAsia="宋体"/>
                <w:sz w:val="16"/>
              </w:rPr>
              <w:t>运转保障经费</w:t>
            </w:r>
          </w:p>
        </w:tc>
      </w:tr>
      <w:tr w14:paraId="5EA0F51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CE6B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CBC3A7E">
            <w:pPr>
              <w:jc w:val="center"/>
            </w:pPr>
            <w:r>
              <w:rPr>
                <w:rFonts w:ascii="宋体" w:hAnsi="宋体" w:eastAsia="宋体"/>
                <w:sz w:val="16"/>
              </w:rPr>
              <w:t>昌吉回族自治州自然资源局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96AB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4FAB396">
            <w:pPr>
              <w:jc w:val="center"/>
            </w:pPr>
            <w:r>
              <w:rPr>
                <w:rFonts w:ascii="宋体" w:hAnsi="宋体" w:eastAsia="宋体"/>
                <w:sz w:val="16"/>
              </w:rPr>
              <w:t>昌吉回族自治州国土资源规划研究院</w:t>
            </w:r>
          </w:p>
        </w:tc>
      </w:tr>
      <w:tr w14:paraId="5A782A7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01EAA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0B85B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6FD08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91EC6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09194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99627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D04C4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A69BF">
            <w:pPr>
              <w:jc w:val="center"/>
            </w:pPr>
            <w:r>
              <w:rPr>
                <w:rFonts w:ascii="宋体" w:hAnsi="宋体" w:eastAsia="宋体"/>
                <w:sz w:val="16"/>
              </w:rPr>
              <w:t>得分</w:t>
            </w:r>
          </w:p>
        </w:tc>
      </w:tr>
      <w:tr w14:paraId="143B4C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CA985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53926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1479D1">
            <w:pPr>
              <w:jc w:val="center"/>
            </w:pPr>
            <w:r>
              <w:rPr>
                <w:rFonts w:ascii="宋体" w:hAnsi="宋体" w:eastAsia="宋体"/>
                <w:sz w:val="16"/>
              </w:rPr>
              <w:t>3,127.73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AF5163">
            <w:pPr>
              <w:jc w:val="center"/>
            </w:pPr>
            <w:r>
              <w:rPr>
                <w:rFonts w:ascii="宋体" w:hAnsi="宋体" w:eastAsia="宋体"/>
                <w:sz w:val="16"/>
              </w:rPr>
              <w:t>444.41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3D344B">
            <w:pPr>
              <w:jc w:val="center"/>
            </w:pPr>
            <w:r>
              <w:rPr>
                <w:rFonts w:ascii="宋体" w:hAnsi="宋体" w:eastAsia="宋体"/>
                <w:sz w:val="16"/>
              </w:rPr>
              <w:t>441.51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E0084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FF4EDE">
            <w:pPr>
              <w:jc w:val="center"/>
            </w:pPr>
            <w:r>
              <w:rPr>
                <w:rFonts w:ascii="宋体" w:hAnsi="宋体" w:eastAsia="宋体"/>
                <w:sz w:val="16"/>
              </w:rPr>
              <w:t>99.35%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DFDB9">
            <w:pPr>
              <w:jc w:val="center"/>
            </w:pPr>
            <w:r>
              <w:rPr>
                <w:rFonts w:ascii="宋体" w:hAnsi="宋体" w:eastAsia="宋体"/>
                <w:sz w:val="16"/>
              </w:rPr>
              <w:t>9.84</w:t>
            </w:r>
          </w:p>
        </w:tc>
      </w:tr>
      <w:tr w14:paraId="2DEC51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97D06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8FA71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14F64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1D7F5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C3D86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929E4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F1ED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BD4B3">
            <w:pPr>
              <w:jc w:val="center"/>
            </w:pPr>
            <w:r>
              <w:rPr>
                <w:rFonts w:ascii="宋体" w:hAnsi="宋体" w:eastAsia="宋体"/>
                <w:sz w:val="16"/>
              </w:rPr>
              <w:t>—</w:t>
            </w:r>
          </w:p>
        </w:tc>
      </w:tr>
      <w:tr w14:paraId="2332C8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3DC9B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453A9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CF214F">
            <w:pPr>
              <w:jc w:val="center"/>
            </w:pPr>
            <w:r>
              <w:rPr>
                <w:rFonts w:ascii="宋体" w:hAnsi="宋体" w:eastAsia="宋体"/>
                <w:sz w:val="16"/>
              </w:rPr>
              <w:t>3,127.73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E17035">
            <w:pPr>
              <w:jc w:val="center"/>
            </w:pPr>
            <w:r>
              <w:rPr>
                <w:rFonts w:ascii="宋体" w:hAnsi="宋体" w:eastAsia="宋体"/>
                <w:sz w:val="16"/>
              </w:rPr>
              <w:t>444.41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6A65AF">
            <w:pPr>
              <w:jc w:val="center"/>
            </w:pPr>
            <w:r>
              <w:rPr>
                <w:rFonts w:ascii="宋体" w:hAnsi="宋体" w:eastAsia="宋体"/>
                <w:sz w:val="16"/>
              </w:rPr>
              <w:t>441.51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18BEB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ED54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DB5BE">
            <w:pPr>
              <w:jc w:val="center"/>
            </w:pPr>
            <w:r>
              <w:rPr>
                <w:rFonts w:ascii="宋体" w:hAnsi="宋体" w:eastAsia="宋体"/>
                <w:sz w:val="16"/>
              </w:rPr>
              <w:t>—</w:t>
            </w:r>
          </w:p>
        </w:tc>
      </w:tr>
      <w:tr w14:paraId="7CCA1E9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64527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B71F7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6CA19A0">
            <w:pPr>
              <w:jc w:val="center"/>
            </w:pPr>
            <w:r>
              <w:rPr>
                <w:rFonts w:ascii="宋体" w:hAnsi="宋体" w:eastAsia="宋体"/>
                <w:sz w:val="16"/>
              </w:rPr>
              <w:t>实际完成情况</w:t>
            </w:r>
          </w:p>
        </w:tc>
      </w:tr>
      <w:tr w14:paraId="3B6C2E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AD7AB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F4470A3">
            <w:pPr>
              <w:jc w:val="both"/>
            </w:pPr>
            <w:r>
              <w:rPr>
                <w:rFonts w:ascii="宋体" w:hAnsi="宋体" w:eastAsia="宋体"/>
                <w:sz w:val="16"/>
              </w:rPr>
              <w:t>为了确保单位日常运转工作，及时发放劳务派遣人员工资并缴纳社保，及时发放出差人员差旅费，确保单位设备物资采购、车辆正常运行，保障各项业务工作正常开展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6962968">
            <w:pPr>
              <w:jc w:val="both"/>
            </w:pPr>
            <w:r>
              <w:rPr>
                <w:rFonts w:ascii="宋体" w:hAnsi="宋体" w:eastAsia="宋体"/>
                <w:sz w:val="16"/>
              </w:rPr>
              <w:t>截至2024年12月31日，该项目实际完成房屋供暖面积2614.36平方米，公务保障用车数量5辆，专业设备检测验收合格率100%，车辆检测验收合格率100%，公务用车运行维护费支付16.05万元，办公费、差旅费、劳务费及委托业务费425.46万元。通过该项目的实施，提升了单位业务能力水平，促进了单位健康有序</w:t>
            </w:r>
            <w:r>
              <w:rPr>
                <w:rFonts w:hint="eastAsia" w:ascii="宋体" w:hAnsi="宋体"/>
                <w:sz w:val="16"/>
                <w:lang w:eastAsia="zh-CN"/>
              </w:rPr>
              <w:t>地</w:t>
            </w:r>
            <w:r>
              <w:rPr>
                <w:rFonts w:ascii="宋体" w:hAnsi="宋体" w:eastAsia="宋体"/>
                <w:sz w:val="16"/>
              </w:rPr>
              <w:t>发展。</w:t>
            </w:r>
          </w:p>
        </w:tc>
      </w:tr>
      <w:tr w14:paraId="252E83F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09099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2B42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4C84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547B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91C3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E9A4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2357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66C8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1111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48F6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0C6D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1C80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C1E8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73606">
            <w:pPr>
              <w:jc w:val="center"/>
            </w:pPr>
            <w:r>
              <w:rPr>
                <w:rFonts w:ascii="宋体" w:hAnsi="宋体" w:eastAsia="宋体"/>
                <w:sz w:val="16"/>
              </w:rPr>
              <w:t>偏差原因分析及改进措施</w:t>
            </w:r>
          </w:p>
        </w:tc>
      </w:tr>
      <w:tr w14:paraId="3F5A047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6679C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1D7E9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CA5AD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2D03B">
            <w:pPr>
              <w:jc w:val="center"/>
            </w:pPr>
            <w:r>
              <w:rPr>
                <w:rFonts w:ascii="宋体" w:hAnsi="宋体" w:eastAsia="宋体"/>
                <w:sz w:val="16"/>
              </w:rPr>
              <w:t>房屋建筑物供暖面积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FD56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0684D">
            <w:pPr>
              <w:jc w:val="center"/>
            </w:pPr>
            <w:r>
              <w:rPr>
                <w:rFonts w:ascii="宋体" w:hAnsi="宋体" w:eastAsia="宋体"/>
                <w:sz w:val="16"/>
              </w:rPr>
              <w:t>=2614.36平方米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AA643">
            <w:pPr>
              <w:jc w:val="center"/>
            </w:pPr>
            <w:r>
              <w:rPr>
                <w:rFonts w:ascii="宋体" w:hAnsi="宋体" w:eastAsia="宋体"/>
                <w:sz w:val="16"/>
              </w:rPr>
              <w:t>=2614.36平方米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4B2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6997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526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4025C">
            <w:pPr>
              <w:jc w:val="center"/>
            </w:pPr>
            <w:r>
              <w:rPr>
                <w:rFonts w:ascii="宋体" w:hAnsi="宋体" w:eastAsia="宋体"/>
                <w:sz w:val="16"/>
              </w:rPr>
              <w:t>2614.36平方米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A1E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831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F8E59">
            <w:pPr>
              <w:jc w:val="center"/>
            </w:pPr>
          </w:p>
        </w:tc>
      </w:tr>
      <w:tr w14:paraId="626AF8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66E1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C2D7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20E2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EB8A3">
            <w:pPr>
              <w:jc w:val="center"/>
            </w:pPr>
            <w:r>
              <w:rPr>
                <w:rFonts w:ascii="宋体" w:hAnsi="宋体" w:eastAsia="宋体"/>
                <w:sz w:val="16"/>
              </w:rPr>
              <w:t>公务保障用车数量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D1CC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CFF8B">
            <w:pPr>
              <w:jc w:val="center"/>
            </w:pPr>
            <w:r>
              <w:rPr>
                <w:rFonts w:ascii="宋体" w:hAnsi="宋体" w:eastAsia="宋体"/>
                <w:sz w:val="16"/>
              </w:rPr>
              <w:t>=5辆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CF276">
            <w:pPr>
              <w:jc w:val="center"/>
            </w:pPr>
            <w:r>
              <w:rPr>
                <w:rFonts w:ascii="宋体" w:hAnsi="宋体" w:eastAsia="宋体"/>
                <w:sz w:val="16"/>
              </w:rPr>
              <w:t>=5辆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5FC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9863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36F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609A8">
            <w:pPr>
              <w:jc w:val="center"/>
            </w:pPr>
            <w:r>
              <w:rPr>
                <w:rFonts w:ascii="宋体" w:hAnsi="宋体" w:eastAsia="宋体"/>
                <w:sz w:val="16"/>
              </w:rPr>
              <w:t>6辆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D0F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3F89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987C4">
            <w:pPr>
              <w:jc w:val="center"/>
            </w:pPr>
          </w:p>
        </w:tc>
      </w:tr>
      <w:tr w14:paraId="2BA052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8D79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9511F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004CF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50DB2">
            <w:pPr>
              <w:jc w:val="center"/>
            </w:pPr>
            <w:r>
              <w:rPr>
                <w:rFonts w:ascii="宋体" w:hAnsi="宋体" w:eastAsia="宋体"/>
                <w:sz w:val="16"/>
              </w:rPr>
              <w:t>专业设备检测维修验收合格率（%）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1A20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DCE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B9E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5C2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EB38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57F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5D0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D6B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FFA8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7288E">
            <w:pPr>
              <w:jc w:val="center"/>
            </w:pPr>
          </w:p>
        </w:tc>
      </w:tr>
      <w:tr w14:paraId="6C74A8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16FE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DAFD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32AB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1EE83">
            <w:pPr>
              <w:jc w:val="center"/>
            </w:pPr>
            <w:r>
              <w:rPr>
                <w:rFonts w:ascii="宋体" w:hAnsi="宋体" w:eastAsia="宋体"/>
                <w:sz w:val="16"/>
              </w:rPr>
              <w:t>车辆检测维修验收合格率（%）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6AC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D70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4FC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CCC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F1E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AF3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B96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126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998A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6CBDD">
            <w:pPr>
              <w:jc w:val="center"/>
            </w:pPr>
          </w:p>
        </w:tc>
      </w:tr>
      <w:tr w14:paraId="1A3587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5F36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A9C1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BE16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315B2">
            <w:pPr>
              <w:jc w:val="center"/>
            </w:pPr>
            <w:r>
              <w:rPr>
                <w:rFonts w:ascii="宋体" w:hAnsi="宋体" w:eastAsia="宋体"/>
                <w:sz w:val="16"/>
              </w:rPr>
              <w:t>项目完成时限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B01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37FC3">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0354A">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139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2B2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AC6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244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7B13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057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63118">
            <w:pPr>
              <w:jc w:val="center"/>
            </w:pPr>
          </w:p>
        </w:tc>
      </w:tr>
      <w:tr w14:paraId="1CF1FA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3F4D7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48637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76CDA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BCF10">
            <w:pPr>
              <w:jc w:val="center"/>
            </w:pPr>
            <w:r>
              <w:rPr>
                <w:rFonts w:ascii="宋体" w:hAnsi="宋体" w:eastAsia="宋体"/>
                <w:sz w:val="16"/>
              </w:rPr>
              <w:t>公务运车运行维护费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027E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9CDCE">
            <w:pPr>
              <w:jc w:val="center"/>
            </w:pPr>
            <w:r>
              <w:rPr>
                <w:rFonts w:ascii="宋体" w:hAnsi="宋体" w:eastAsia="宋体"/>
                <w:sz w:val="16"/>
              </w:rPr>
              <w:t>&lt;=18万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FB739">
            <w:pPr>
              <w:jc w:val="center"/>
            </w:pPr>
            <w:r>
              <w:rPr>
                <w:rFonts w:ascii="宋体" w:hAnsi="宋体" w:eastAsia="宋体"/>
                <w:sz w:val="16"/>
              </w:rPr>
              <w:t>=16.05</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9A5DB">
            <w:pPr>
              <w:jc w:val="center"/>
            </w:pPr>
            <w:r>
              <w:rPr>
                <w:rFonts w:ascii="宋体" w:hAnsi="宋体" w:eastAsia="宋体"/>
                <w:sz w:val="16"/>
              </w:rPr>
              <w:t>89.17%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7BA12">
            <w:pPr>
              <w:jc w:val="center"/>
            </w:pPr>
            <w:r>
              <w:rPr>
                <w:rFonts w:ascii="宋体" w:hAnsi="宋体" w:eastAsia="宋体"/>
                <w:sz w:val="16"/>
              </w:rPr>
              <w:t>3.65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C8F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0B6F5">
            <w:pPr>
              <w:jc w:val="center"/>
            </w:pPr>
            <w:r>
              <w:rPr>
                <w:rFonts w:ascii="宋体" w:hAnsi="宋体" w:eastAsia="宋体"/>
                <w:sz w:val="16"/>
              </w:rPr>
              <w:t>22万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0C1D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1166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E47AA">
            <w:pPr>
              <w:jc w:val="center"/>
            </w:pPr>
            <w:r>
              <w:rPr>
                <w:rFonts w:ascii="宋体" w:hAnsi="宋体" w:eastAsia="宋体"/>
                <w:sz w:val="16"/>
              </w:rPr>
              <w:t>2024年业务量较少，公务用车使用较少，实际支付未完全达到预算值。</w:t>
            </w:r>
          </w:p>
        </w:tc>
      </w:tr>
      <w:tr w14:paraId="5C936B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AF05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E3D7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3D71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9F5EB">
            <w:pPr>
              <w:jc w:val="center"/>
            </w:pPr>
            <w:r>
              <w:rPr>
                <w:rFonts w:ascii="宋体" w:hAnsi="宋体" w:eastAsia="宋体"/>
                <w:sz w:val="16"/>
              </w:rPr>
              <w:t>办公费、差旅费、委托业务费、劳务费等日常经费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939C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7C8C4">
            <w:pPr>
              <w:jc w:val="center"/>
            </w:pPr>
            <w:r>
              <w:rPr>
                <w:rFonts w:ascii="宋体" w:hAnsi="宋体" w:eastAsia="宋体"/>
                <w:sz w:val="16"/>
              </w:rPr>
              <w:t>&lt;=426.41万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D6846">
            <w:pPr>
              <w:jc w:val="center"/>
            </w:pPr>
            <w:r>
              <w:rPr>
                <w:rFonts w:ascii="宋体" w:hAnsi="宋体" w:eastAsia="宋体"/>
                <w:sz w:val="16"/>
              </w:rPr>
              <w:t>=425.46</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1813B">
            <w:pPr>
              <w:jc w:val="center"/>
            </w:pPr>
            <w:r>
              <w:rPr>
                <w:rFonts w:ascii="宋体" w:hAnsi="宋体" w:eastAsia="宋体"/>
                <w:sz w:val="16"/>
              </w:rPr>
              <w:t>99.78%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5920C">
            <w:pPr>
              <w:jc w:val="center"/>
            </w:pPr>
            <w:r>
              <w:rPr>
                <w:rFonts w:ascii="宋体" w:hAnsi="宋体" w:eastAsia="宋体"/>
                <w:sz w:val="16"/>
              </w:rPr>
              <w:t>14.92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899A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FD0AF">
            <w:pPr>
              <w:jc w:val="center"/>
            </w:pPr>
            <w:r>
              <w:rPr>
                <w:rFonts w:ascii="宋体" w:hAnsi="宋体" w:eastAsia="宋体"/>
                <w:sz w:val="16"/>
              </w:rPr>
              <w:t>825万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5C8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C622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230BA">
            <w:pPr>
              <w:jc w:val="center"/>
            </w:pPr>
            <w:r>
              <w:rPr>
                <w:rFonts w:ascii="宋体" w:hAnsi="宋体" w:eastAsia="宋体"/>
                <w:sz w:val="16"/>
              </w:rPr>
              <w:t>2024年业务量较少，办公等日常经费使用较少。</w:t>
            </w:r>
          </w:p>
        </w:tc>
      </w:tr>
      <w:tr w14:paraId="183C1C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E667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D1EC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B3D6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2ECF7">
            <w:pPr>
              <w:jc w:val="center"/>
            </w:pPr>
            <w:r>
              <w:rPr>
                <w:rFonts w:ascii="宋体" w:hAnsi="宋体" w:eastAsia="宋体"/>
                <w:sz w:val="16"/>
              </w:rPr>
              <w:t>保障单位业务能力持续提升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CC2B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4CB03">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30AD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B1A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9F71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7BA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BAE66">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C5B6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685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D8A1E">
            <w:pPr>
              <w:jc w:val="center"/>
            </w:pPr>
          </w:p>
        </w:tc>
      </w:tr>
      <w:tr w14:paraId="6433904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AD2D61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AF3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2998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653BF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C24F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0D9F9">
            <w:pPr>
              <w:jc w:val="center"/>
            </w:pPr>
            <w:r>
              <w:rPr>
                <w:rFonts w:ascii="宋体" w:hAnsi="宋体" w:eastAsia="宋体"/>
                <w:sz w:val="16"/>
              </w:rPr>
              <w:t>98.41分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0569B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1291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D11EC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0C52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4DBF54"/>
        </w:tc>
      </w:tr>
    </w:tbl>
    <w:p w14:paraId="2F577EF2">
      <w:r>
        <w:br w:type="page"/>
      </w:r>
    </w:p>
    <w:p w14:paraId="20803DE6">
      <w:pPr>
        <w:spacing w:line="640" w:lineRule="exact"/>
        <w:ind w:firstLine="640"/>
        <w:jc w:val="both"/>
        <w:outlineLvl w:val="2"/>
      </w:pPr>
      <w:r>
        <w:rPr>
          <w:rFonts w:ascii="黑体" w:hAnsi="黑体" w:eastAsia="黑体"/>
          <w:sz w:val="32"/>
        </w:rPr>
        <w:t>十二、其他需说明的事项</w:t>
      </w:r>
    </w:p>
    <w:p w14:paraId="61E12D21">
      <w:pPr>
        <w:spacing w:line="580" w:lineRule="exact"/>
        <w:ind w:firstLine="640"/>
        <w:jc w:val="both"/>
      </w:pPr>
      <w:r>
        <w:rPr>
          <w:rFonts w:ascii="仿宋_GB2312" w:hAnsi="仿宋_GB2312" w:eastAsia="仿宋_GB2312"/>
          <w:b w:val="0"/>
          <w:sz w:val="32"/>
        </w:rPr>
        <w:t>本单位无其他需说明的事项。</w:t>
      </w:r>
    </w:p>
    <w:p w14:paraId="05A5BB54">
      <w:r>
        <w:br w:type="page"/>
      </w:r>
    </w:p>
    <w:p w14:paraId="74EC3795">
      <w:pPr>
        <w:spacing w:line="240" w:lineRule="auto"/>
        <w:jc w:val="center"/>
        <w:outlineLvl w:val="1"/>
      </w:pPr>
      <w:r>
        <w:rPr>
          <w:rFonts w:ascii="黑体" w:hAnsi="黑体" w:eastAsia="黑体"/>
          <w:sz w:val="32"/>
        </w:rPr>
        <w:t>第三部分 专业名词解释</w:t>
      </w:r>
    </w:p>
    <w:p w14:paraId="2ED5C546">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127FDFB">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B21A8FD">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003DE5C">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62E4ACD">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3D3BF09">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4A5A870">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D771DC5">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8CB2A1C">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5BBB62E5">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AF0D522">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DDE9B4F">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6104E54">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A8DA5A7">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6FA8A9C5">
      <w:r>
        <w:br w:type="page"/>
      </w:r>
    </w:p>
    <w:p w14:paraId="064193F7">
      <w:pPr>
        <w:spacing w:line="240" w:lineRule="auto"/>
        <w:jc w:val="center"/>
        <w:outlineLvl w:val="1"/>
      </w:pPr>
      <w:r>
        <w:rPr>
          <w:rFonts w:ascii="黑体" w:hAnsi="黑体" w:eastAsia="黑体"/>
          <w:sz w:val="32"/>
        </w:rPr>
        <w:t>第四部分 部门决算报表（见附表）</w:t>
      </w:r>
    </w:p>
    <w:p w14:paraId="0096818B">
      <w:pPr>
        <w:spacing w:line="240" w:lineRule="auto"/>
        <w:ind w:firstLine="640"/>
        <w:jc w:val="both"/>
      </w:pPr>
      <w:r>
        <w:rPr>
          <w:rFonts w:ascii="仿宋_GB2312" w:hAnsi="仿宋_GB2312" w:eastAsia="仿宋_GB2312"/>
          <w:b w:val="0"/>
          <w:sz w:val="32"/>
        </w:rPr>
        <w:t>一、《收入支出决算总表》</w:t>
      </w:r>
    </w:p>
    <w:p w14:paraId="61AD4DC5">
      <w:pPr>
        <w:spacing w:line="240" w:lineRule="auto"/>
        <w:ind w:firstLine="640"/>
        <w:jc w:val="both"/>
      </w:pPr>
      <w:r>
        <w:rPr>
          <w:rFonts w:ascii="仿宋_GB2312" w:hAnsi="仿宋_GB2312" w:eastAsia="仿宋_GB2312"/>
          <w:b w:val="0"/>
          <w:sz w:val="32"/>
        </w:rPr>
        <w:t>二、《收入决算表》</w:t>
      </w:r>
    </w:p>
    <w:p w14:paraId="7B4E32B0">
      <w:pPr>
        <w:spacing w:line="240" w:lineRule="auto"/>
        <w:ind w:firstLine="640"/>
        <w:jc w:val="both"/>
      </w:pPr>
      <w:r>
        <w:rPr>
          <w:rFonts w:ascii="仿宋_GB2312" w:hAnsi="仿宋_GB2312" w:eastAsia="仿宋_GB2312"/>
          <w:b w:val="0"/>
          <w:sz w:val="32"/>
        </w:rPr>
        <w:t>三、《支出决算表》</w:t>
      </w:r>
    </w:p>
    <w:p w14:paraId="368FE9A4">
      <w:pPr>
        <w:spacing w:line="240" w:lineRule="auto"/>
        <w:ind w:firstLine="640"/>
        <w:jc w:val="both"/>
      </w:pPr>
      <w:r>
        <w:rPr>
          <w:rFonts w:ascii="仿宋_GB2312" w:hAnsi="仿宋_GB2312" w:eastAsia="仿宋_GB2312"/>
          <w:b w:val="0"/>
          <w:sz w:val="32"/>
        </w:rPr>
        <w:t>四、《财政拨款收入支出决算总表》</w:t>
      </w:r>
    </w:p>
    <w:p w14:paraId="68379A64">
      <w:pPr>
        <w:spacing w:line="240" w:lineRule="auto"/>
        <w:ind w:firstLine="640"/>
        <w:jc w:val="both"/>
      </w:pPr>
      <w:r>
        <w:rPr>
          <w:rFonts w:ascii="仿宋_GB2312" w:hAnsi="仿宋_GB2312" w:eastAsia="仿宋_GB2312"/>
          <w:b w:val="0"/>
          <w:sz w:val="32"/>
        </w:rPr>
        <w:t>五、《一般公共预算财政拨款支出决算表》</w:t>
      </w:r>
    </w:p>
    <w:p w14:paraId="6745D54C">
      <w:pPr>
        <w:spacing w:line="240" w:lineRule="auto"/>
        <w:ind w:firstLine="640"/>
        <w:jc w:val="both"/>
      </w:pPr>
      <w:r>
        <w:rPr>
          <w:rFonts w:ascii="仿宋_GB2312" w:hAnsi="仿宋_GB2312" w:eastAsia="仿宋_GB2312"/>
          <w:b w:val="0"/>
          <w:sz w:val="32"/>
        </w:rPr>
        <w:t>六、《一般公共预算财政拨款基本支出决算表》</w:t>
      </w:r>
    </w:p>
    <w:p w14:paraId="41C33032">
      <w:pPr>
        <w:spacing w:line="240" w:lineRule="auto"/>
        <w:ind w:firstLine="640"/>
        <w:jc w:val="both"/>
      </w:pPr>
      <w:r>
        <w:rPr>
          <w:rFonts w:ascii="仿宋_GB2312" w:hAnsi="仿宋_GB2312" w:eastAsia="仿宋_GB2312"/>
          <w:b w:val="0"/>
          <w:sz w:val="32"/>
        </w:rPr>
        <w:t>七、《政府性基金预算财政拨款收入支出决算表》</w:t>
      </w:r>
    </w:p>
    <w:p w14:paraId="3BECD415">
      <w:pPr>
        <w:spacing w:line="240" w:lineRule="auto"/>
        <w:ind w:firstLine="640"/>
        <w:jc w:val="both"/>
      </w:pPr>
      <w:r>
        <w:rPr>
          <w:rFonts w:ascii="仿宋_GB2312" w:hAnsi="仿宋_GB2312" w:eastAsia="仿宋_GB2312"/>
          <w:b w:val="0"/>
          <w:sz w:val="32"/>
        </w:rPr>
        <w:t>八、《国有资本经营预算财政拨款收入支出决算表》</w:t>
      </w:r>
    </w:p>
    <w:p w14:paraId="4FC0BF66">
      <w:pPr>
        <w:spacing w:line="240" w:lineRule="auto"/>
        <w:ind w:firstLine="640"/>
        <w:jc w:val="both"/>
      </w:pPr>
      <w:r>
        <w:rPr>
          <w:rFonts w:ascii="仿宋_GB2312" w:hAnsi="仿宋_GB2312" w:eastAsia="仿宋_GB2312"/>
          <w:b w:val="0"/>
          <w:sz w:val="32"/>
        </w:rPr>
        <w:t>九、《财政拨款“三公”经费支出决算表》</w:t>
      </w:r>
    </w:p>
    <w:p w14:paraId="6BB79584">
      <w:pPr>
        <w:spacing w:line="240" w:lineRule="auto"/>
        <w:ind w:firstLine="640"/>
        <w:jc w:val="both"/>
      </w:pPr>
    </w:p>
    <w:p w14:paraId="1C4CFEDB">
      <w:pPr>
        <w:spacing w:line="240" w:lineRule="auto"/>
        <w:ind w:firstLine="640"/>
        <w:jc w:val="both"/>
      </w:pPr>
    </w:p>
    <w:p w14:paraId="4DC5F0EB">
      <w:pPr>
        <w:spacing w:line="240" w:lineRule="auto"/>
        <w:ind w:firstLine="640"/>
        <w:jc w:val="both"/>
      </w:pPr>
    </w:p>
    <w:p w14:paraId="356170B6">
      <w:pPr>
        <w:spacing w:line="240" w:lineRule="auto"/>
        <w:ind w:firstLine="640"/>
        <w:jc w:val="both"/>
      </w:pPr>
    </w:p>
    <w:p w14:paraId="3516AF1B">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1D074C"/>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763D3C"/>
    <w:rsid w:val="67D111AB"/>
    <w:rsid w:val="68DB0208"/>
    <w:rsid w:val="68DF36D5"/>
    <w:rsid w:val="69794166"/>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5228</Words>
  <Characters>6116</Characters>
  <Lines>0</Lines>
  <Paragraphs>0</Paragraphs>
  <TotalTime>1</TotalTime>
  <ScaleCrop>false</ScaleCrop>
  <LinksUpToDate>false</LinksUpToDate>
  <CharactersWithSpaces>6125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来财&amp;十个勤天</cp:lastModifiedBy>
  <cp:lastPrinted>2024-07-22T11:58:00Z</cp:lastPrinted>
  <dcterms:modified xsi:type="dcterms:W3CDTF">2025-12-25T03:28:49Z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B858A68E913346F885B5BC17D4DBEB06_13</vt:lpwstr>
  </property>
  <property fmtid="{D5CDD505-2E9C-101B-9397-08002B2CF9AE}" pid="4" name="KSOTemplateDocerSaveRecord">
    <vt:lpwstr>eyJoZGlkIjoiNTM1NjJiMTUwNmFhZWNlZmQwNDVjMDAxNDMwM2IwMDkiLCJ1c2VySWQiOiIzNzI2MDMzNTYifQ==</vt:lpwstr>
  </property>
</Properties>
</file>