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F1139D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val="en-US" w:eastAsia="zh-CN"/>
        </w:rPr>
      </w:pPr>
      <w:r>
        <w:rPr>
          <w:rFonts w:hint="eastAsia" w:ascii="方正小标宋_GBK" w:hAnsi="宋体" w:eastAsia="方正小标宋_GBK"/>
          <w:sz w:val="44"/>
          <w:szCs w:val="44"/>
          <w:highlight w:val="none"/>
          <w:lang w:val="en-US" w:eastAsia="zh-CN"/>
        </w:rPr>
        <w:t>昌吉回族自治州生态环境局木垒县分局</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05564EF4">
      <w:r>
        <w:br w:type="page"/>
      </w:r>
    </w:p>
    <w:p w14:paraId="0773E0DA">
      <w:pPr>
        <w:spacing w:line="640" w:lineRule="exact"/>
        <w:jc w:val="center"/>
        <w:outlineLvl w:val="1"/>
      </w:pPr>
      <w:r>
        <w:rPr>
          <w:rFonts w:ascii="黑体" w:hAnsi="黑体" w:eastAsia="黑体"/>
          <w:sz w:val="32"/>
        </w:rPr>
        <w:t>第一部分 单位概况</w:t>
      </w:r>
    </w:p>
    <w:p w14:paraId="56F43E5A">
      <w:pPr>
        <w:spacing w:line="640" w:lineRule="exact"/>
        <w:ind w:firstLine="640"/>
        <w:jc w:val="both"/>
        <w:outlineLvl w:val="2"/>
      </w:pPr>
      <w:r>
        <w:rPr>
          <w:rFonts w:ascii="黑体" w:hAnsi="黑体" w:eastAsia="黑体"/>
          <w:sz w:val="32"/>
        </w:rPr>
        <w:t>一、主要职能</w:t>
      </w:r>
    </w:p>
    <w:p w14:paraId="2C397F86">
      <w:pPr>
        <w:spacing w:line="580" w:lineRule="exact"/>
        <w:ind w:firstLine="640"/>
        <w:jc w:val="both"/>
      </w:pPr>
      <w:r>
        <w:rPr>
          <w:rFonts w:ascii="仿宋_GB2312" w:hAnsi="仿宋_GB2312" w:eastAsia="仿宋_GB2312"/>
          <w:sz w:val="32"/>
        </w:rPr>
        <w:t>贯彻执行国家、区、州、县环境保护政策、法律法规、规划及有关决策部署，牵头承担木垒县环境保护委员会职责，拟订并组织实施自治县环境保护规划，起草环境保护单行条例；组织编制环境功能区划、生态功能区划；组织拟订重要饮用水水源地、禁燃区、重点区域、流域及专项污染防治规划并监督实施，大力推进生态文明建设。组织协调重大环境污染事故和生态破坏事件的调查处理，指导协调重大突发环境事件的应急、预警工作；协调解决环境污染纠纷，统筹协调自治县流域、区域污染防治工作。执行国家主要污染物排放总量控制和排污许可证制度，按照自治区减排目标制定自治县总量控制计划并组织实施，督查、督办、核查各县市污染物减排任务完成情况；实施环境保护目标责任制，维护环境安全。组织实施自治县规划与建设项目环境影响评价、环保“三同时”等环境管理制度；对自治县涉及环境保护的条例草案提出有关环境保护方面的意见；按照国家和自治区规定审批建设项目环境影响评价文件。完成自治县党委、自治县人民政府交办的其他任务。</w:t>
      </w:r>
    </w:p>
    <w:p w14:paraId="2C3B282D">
      <w:pPr>
        <w:spacing w:line="640" w:lineRule="exact"/>
        <w:ind w:firstLine="640"/>
        <w:jc w:val="both"/>
        <w:outlineLvl w:val="2"/>
      </w:pPr>
      <w:r>
        <w:rPr>
          <w:rFonts w:ascii="黑体" w:hAnsi="黑体" w:eastAsia="黑体"/>
          <w:sz w:val="32"/>
        </w:rPr>
        <w:t>二、机构设置及人员情况</w:t>
      </w:r>
    </w:p>
    <w:p w14:paraId="51A06706">
      <w:pPr>
        <w:spacing w:line="580" w:lineRule="exact"/>
        <w:ind w:firstLine="640"/>
        <w:jc w:val="both"/>
      </w:pPr>
      <w:r>
        <w:rPr>
          <w:rFonts w:ascii="仿宋_GB2312" w:hAnsi="仿宋_GB2312" w:eastAsia="仿宋_GB2312"/>
          <w:sz w:val="32"/>
        </w:rPr>
        <w:t>昌吉回族自治州生态环境局木垒县分局2024年度，实有人数23人，其中：在职人员14人，增加10人；离休人员0人，增加0人；退休人员9人,增加9人。</w:t>
      </w:r>
    </w:p>
    <w:p w14:paraId="3E589EFE">
      <w:pPr>
        <w:spacing w:line="580" w:lineRule="exact"/>
        <w:ind w:firstLine="640"/>
        <w:jc w:val="both"/>
      </w:pPr>
      <w:r>
        <w:rPr>
          <w:rFonts w:ascii="仿宋_GB2312" w:hAnsi="仿宋_GB2312" w:eastAsia="仿宋_GB2312"/>
          <w:sz w:val="32"/>
        </w:rPr>
        <w:t>昌吉回族自治州生态环境局木垒县分局无下属预算单位，下设4个科室，分别是：党政办、生态与应急办、综合业务办、办公室。</w:t>
      </w:r>
    </w:p>
    <w:p w14:paraId="71F90AA1">
      <w:r>
        <w:br w:type="page"/>
      </w:r>
    </w:p>
    <w:p w14:paraId="52EE77A1">
      <w:pPr>
        <w:spacing w:line="240" w:lineRule="auto"/>
        <w:jc w:val="center"/>
        <w:outlineLvl w:val="1"/>
      </w:pPr>
      <w:r>
        <w:rPr>
          <w:rFonts w:ascii="黑体" w:hAnsi="黑体" w:eastAsia="黑体"/>
          <w:sz w:val="32"/>
        </w:rPr>
        <w:t>第二部分 部门决算情况说明</w:t>
      </w:r>
    </w:p>
    <w:p w14:paraId="0A3685E4">
      <w:pPr>
        <w:spacing w:line="640" w:lineRule="exact"/>
        <w:ind w:firstLine="640"/>
        <w:jc w:val="both"/>
        <w:outlineLvl w:val="2"/>
      </w:pPr>
      <w:r>
        <w:rPr>
          <w:rFonts w:ascii="黑体" w:hAnsi="黑体" w:eastAsia="黑体"/>
          <w:sz w:val="32"/>
        </w:rPr>
        <w:t>一、收入支出决算总体情况说明</w:t>
      </w:r>
    </w:p>
    <w:p w14:paraId="049124EE">
      <w:pPr>
        <w:spacing w:line="580" w:lineRule="exact"/>
        <w:ind w:firstLine="640"/>
        <w:jc w:val="both"/>
      </w:pPr>
      <w:r>
        <w:rPr>
          <w:rFonts w:ascii="仿宋_GB2312" w:hAnsi="仿宋_GB2312" w:eastAsia="仿宋_GB2312"/>
          <w:b/>
          <w:sz w:val="32"/>
        </w:rPr>
        <w:t>2024年度收入总计341.84万元，</w:t>
      </w:r>
      <w:r>
        <w:rPr>
          <w:rFonts w:ascii="仿宋_GB2312" w:hAnsi="仿宋_GB2312" w:eastAsia="仿宋_GB2312"/>
          <w:b w:val="0"/>
          <w:sz w:val="32"/>
        </w:rPr>
        <w:t>其中：本年收入合计341.84万元，使用非财政拨款结余（含专用结余）0.00万元，年初结转和结余0.00万元。</w:t>
      </w:r>
    </w:p>
    <w:p w14:paraId="658E315A">
      <w:pPr>
        <w:spacing w:line="580" w:lineRule="exact"/>
        <w:ind w:firstLine="640"/>
        <w:jc w:val="both"/>
      </w:pPr>
      <w:r>
        <w:rPr>
          <w:rFonts w:ascii="仿宋_GB2312" w:hAnsi="仿宋_GB2312" w:eastAsia="仿宋_GB2312"/>
          <w:b/>
          <w:sz w:val="32"/>
        </w:rPr>
        <w:t>2024年度支出总计341.84万元，</w:t>
      </w:r>
      <w:r>
        <w:rPr>
          <w:rFonts w:ascii="仿宋_GB2312" w:hAnsi="仿宋_GB2312" w:eastAsia="仿宋_GB2312"/>
          <w:b w:val="0"/>
          <w:sz w:val="32"/>
        </w:rPr>
        <w:t>其中：本年支出合计341.84万元，结余分配0.00万元，年末结转和结余0.00万元。</w:t>
      </w:r>
    </w:p>
    <w:p w14:paraId="5FDAB403">
      <w:pPr>
        <w:spacing w:line="580" w:lineRule="exact"/>
        <w:ind w:firstLine="640"/>
        <w:jc w:val="both"/>
      </w:pPr>
      <w:r>
        <w:rPr>
          <w:rFonts w:ascii="仿宋_GB2312" w:hAnsi="仿宋_GB2312" w:eastAsia="仿宋_GB2312"/>
          <w:b w:val="0"/>
          <w:sz w:val="32"/>
        </w:rPr>
        <w:t>收入支出总体与上年相比，增加248.03万元，增长264.40%，主要原因是：本年机构改革，2024年6月昌吉州生态环境局木垒县分局上划至州本级，附属事业单位木垒县生态环境监测站合并至</w:t>
      </w:r>
      <w:r>
        <w:rPr>
          <w:rFonts w:hint="eastAsia" w:ascii="仿宋_GB2312" w:hAnsi="仿宋_GB2312" w:eastAsia="仿宋_GB2312"/>
          <w:b w:val="0"/>
          <w:sz w:val="32"/>
          <w:lang w:eastAsia="zh-CN"/>
        </w:rPr>
        <w:t>本单位</w:t>
      </w:r>
      <w:r>
        <w:rPr>
          <w:rFonts w:ascii="仿宋_GB2312" w:hAnsi="仿宋_GB2312" w:eastAsia="仿宋_GB2312"/>
          <w:b w:val="0"/>
          <w:sz w:val="32"/>
        </w:rPr>
        <w:t>，在职人员增加，人员工资调增，相关人员经费增加。</w:t>
      </w:r>
    </w:p>
    <w:p w14:paraId="40AF2661">
      <w:pPr>
        <w:spacing w:line="640" w:lineRule="exact"/>
        <w:ind w:firstLine="640"/>
        <w:jc w:val="both"/>
        <w:outlineLvl w:val="2"/>
      </w:pPr>
      <w:r>
        <w:rPr>
          <w:rFonts w:ascii="黑体" w:hAnsi="黑体" w:eastAsia="黑体"/>
          <w:sz w:val="32"/>
        </w:rPr>
        <w:t>二、收入决算情况说明</w:t>
      </w:r>
    </w:p>
    <w:p w14:paraId="6F51D160">
      <w:pPr>
        <w:spacing w:line="580" w:lineRule="exact"/>
        <w:ind w:firstLine="640"/>
        <w:jc w:val="both"/>
      </w:pPr>
      <w:r>
        <w:rPr>
          <w:rFonts w:ascii="仿宋_GB2312" w:hAnsi="仿宋_GB2312" w:eastAsia="仿宋_GB2312"/>
          <w:b/>
          <w:sz w:val="32"/>
        </w:rPr>
        <w:t>本年收入341.84万元，</w:t>
      </w:r>
      <w:r>
        <w:rPr>
          <w:rFonts w:ascii="仿宋_GB2312" w:hAnsi="仿宋_GB2312" w:eastAsia="仿宋_GB2312"/>
          <w:b w:val="0"/>
          <w:sz w:val="32"/>
        </w:rPr>
        <w:t>其中：财政拨款收入341.84万元，占100.00%；上级补助收入0.00万元，占0.00%；事业收入0.00万元，占0.00%；经营收入0.00万元，占0.00%；附属单位上缴收入0.00万元，占0.00%；其他收入0.00万元，占0.00%。</w:t>
      </w:r>
    </w:p>
    <w:p w14:paraId="695B1D08">
      <w:pPr>
        <w:spacing w:line="640" w:lineRule="exact"/>
        <w:ind w:firstLine="640"/>
        <w:jc w:val="both"/>
        <w:outlineLvl w:val="2"/>
      </w:pPr>
      <w:r>
        <w:rPr>
          <w:rFonts w:ascii="黑体" w:hAnsi="黑体" w:eastAsia="黑体"/>
          <w:sz w:val="32"/>
        </w:rPr>
        <w:t>三、支出决算情况说明</w:t>
      </w:r>
    </w:p>
    <w:p w14:paraId="2D9D60B9">
      <w:pPr>
        <w:spacing w:line="580" w:lineRule="exact"/>
        <w:ind w:firstLine="640"/>
        <w:jc w:val="both"/>
      </w:pPr>
      <w:r>
        <w:rPr>
          <w:rFonts w:ascii="仿宋_GB2312" w:hAnsi="仿宋_GB2312" w:eastAsia="仿宋_GB2312"/>
          <w:b/>
          <w:sz w:val="32"/>
        </w:rPr>
        <w:t>本年支出341.84万元，</w:t>
      </w:r>
      <w:r>
        <w:rPr>
          <w:rFonts w:ascii="仿宋_GB2312" w:hAnsi="仿宋_GB2312" w:eastAsia="仿宋_GB2312"/>
          <w:b w:val="0"/>
          <w:sz w:val="32"/>
        </w:rPr>
        <w:t>其中：基本支出324.07万元，占94.80%；项目支出17.77万元，占5.20%；上缴上级支出0.00万元，占0.00%；经营支出0.00万元，占0.00%；对附属单位补助支出0.00万元，占0.00%。</w:t>
      </w:r>
    </w:p>
    <w:p w14:paraId="7C8A381F">
      <w:pPr>
        <w:spacing w:line="640" w:lineRule="exact"/>
        <w:ind w:firstLine="640"/>
        <w:jc w:val="both"/>
        <w:outlineLvl w:val="2"/>
      </w:pPr>
      <w:r>
        <w:rPr>
          <w:rFonts w:ascii="黑体" w:hAnsi="黑体" w:eastAsia="黑体"/>
          <w:sz w:val="32"/>
        </w:rPr>
        <w:t>四、财政拨款收入支出决算总体情况说明</w:t>
      </w:r>
    </w:p>
    <w:p w14:paraId="1BF1FE9F">
      <w:pPr>
        <w:spacing w:line="580" w:lineRule="exact"/>
        <w:ind w:firstLine="640"/>
        <w:jc w:val="both"/>
      </w:pPr>
      <w:r>
        <w:rPr>
          <w:rFonts w:ascii="仿宋_GB2312" w:hAnsi="仿宋_GB2312" w:eastAsia="仿宋_GB2312"/>
          <w:b/>
          <w:sz w:val="32"/>
        </w:rPr>
        <w:t>2024年度财政拨款收入总计341.84万元，</w:t>
      </w:r>
      <w:r>
        <w:rPr>
          <w:rFonts w:ascii="仿宋_GB2312" w:hAnsi="仿宋_GB2312" w:eastAsia="仿宋_GB2312"/>
          <w:b w:val="0"/>
          <w:sz w:val="32"/>
        </w:rPr>
        <w:t>其中：年初财政拨款结转和结余0.00万元，本年财政拨款收入341.84万元。</w:t>
      </w:r>
      <w:r>
        <w:rPr>
          <w:rFonts w:ascii="仿宋_GB2312" w:hAnsi="仿宋_GB2312" w:eastAsia="仿宋_GB2312"/>
          <w:b/>
          <w:sz w:val="32"/>
        </w:rPr>
        <w:t>财政拨款支出总计341.84万元，</w:t>
      </w:r>
      <w:r>
        <w:rPr>
          <w:rFonts w:ascii="仿宋_GB2312" w:hAnsi="仿宋_GB2312" w:eastAsia="仿宋_GB2312"/>
          <w:b w:val="0"/>
          <w:sz w:val="32"/>
        </w:rPr>
        <w:t>其中：年末财政拨款结转和结余0.00万元，本年财政拨款支出341.84万元。</w:t>
      </w:r>
    </w:p>
    <w:p w14:paraId="13607E5D">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增加248.03万元，增长264.40%，主要原因是：本年机构改革，2024年6月昌吉州生态环境局木垒县分局上划至州本级，附属事业单位木垒县生态环境监测站合并至</w:t>
      </w:r>
      <w:r>
        <w:rPr>
          <w:rFonts w:hint="eastAsia" w:ascii="仿宋_GB2312" w:hAnsi="仿宋_GB2312" w:eastAsia="仿宋_GB2312"/>
          <w:b w:val="0"/>
          <w:sz w:val="32"/>
          <w:lang w:eastAsia="zh-CN"/>
        </w:rPr>
        <w:t>本单位</w:t>
      </w:r>
      <w:r>
        <w:rPr>
          <w:rFonts w:ascii="仿宋_GB2312" w:hAnsi="仿宋_GB2312" w:eastAsia="仿宋_GB2312"/>
          <w:b w:val="0"/>
          <w:sz w:val="32"/>
        </w:rPr>
        <w:t>，在职人员增加，人员工资调增，相关人员经费增加。</w:t>
      </w:r>
      <w:r>
        <w:rPr>
          <w:rFonts w:ascii="仿宋_GB2312" w:hAnsi="仿宋_GB2312" w:eastAsia="仿宋_GB2312"/>
          <w:b/>
          <w:sz w:val="32"/>
        </w:rPr>
        <w:t>与年初预算相比，</w:t>
      </w:r>
      <w:r>
        <w:rPr>
          <w:rFonts w:ascii="仿宋_GB2312" w:hAnsi="仿宋_GB2312" w:eastAsia="仿宋_GB2312"/>
          <w:b w:val="0"/>
          <w:sz w:val="32"/>
        </w:rPr>
        <w:t>年初预算数319.47万元，决算数341.84万元，预决算差异率7.00%，主要原因是：本年机构改革，2024年6月昌吉州生态环境局木垒县分局上划至州本级，附属事业单位木垒县生态环境监测站合并至</w:t>
      </w:r>
      <w:r>
        <w:rPr>
          <w:rFonts w:hint="eastAsia" w:ascii="仿宋_GB2312" w:hAnsi="仿宋_GB2312" w:eastAsia="仿宋_GB2312"/>
          <w:b w:val="0"/>
          <w:sz w:val="32"/>
          <w:lang w:eastAsia="zh-CN"/>
        </w:rPr>
        <w:t>本单位</w:t>
      </w:r>
      <w:r>
        <w:rPr>
          <w:rFonts w:ascii="仿宋_GB2312" w:hAnsi="仿宋_GB2312" w:eastAsia="仿宋_GB2312"/>
          <w:b w:val="0"/>
          <w:sz w:val="32"/>
        </w:rPr>
        <w:t>，在职人员增加，人员工资调增，年中追加人员经费。</w:t>
      </w:r>
    </w:p>
    <w:p w14:paraId="0333974D">
      <w:pPr>
        <w:spacing w:line="640" w:lineRule="exact"/>
        <w:ind w:firstLine="640"/>
        <w:jc w:val="both"/>
        <w:outlineLvl w:val="2"/>
      </w:pPr>
      <w:r>
        <w:rPr>
          <w:rFonts w:ascii="黑体" w:hAnsi="黑体" w:eastAsia="黑体"/>
          <w:sz w:val="32"/>
        </w:rPr>
        <w:t>五、一般公共预算财政拨款支出决算情况说明</w:t>
      </w:r>
    </w:p>
    <w:p w14:paraId="598898A0">
      <w:pPr>
        <w:spacing w:line="640" w:lineRule="exact"/>
        <w:ind w:firstLine="640"/>
        <w:jc w:val="both"/>
        <w:outlineLvl w:val="3"/>
      </w:pPr>
      <w:r>
        <w:rPr>
          <w:rFonts w:ascii="楷体_GB2312" w:hAnsi="楷体_GB2312" w:eastAsia="楷体_GB2312"/>
          <w:b/>
          <w:sz w:val="32"/>
        </w:rPr>
        <w:t>（一）一般公共预算财政拨款支出决算总体情况</w:t>
      </w:r>
    </w:p>
    <w:p w14:paraId="4282BB03">
      <w:pPr>
        <w:spacing w:line="580" w:lineRule="exact"/>
        <w:ind w:firstLine="640"/>
        <w:jc w:val="both"/>
      </w:pPr>
      <w:r>
        <w:rPr>
          <w:rFonts w:ascii="仿宋_GB2312" w:hAnsi="仿宋_GB2312" w:eastAsia="仿宋_GB2312"/>
          <w:b/>
          <w:sz w:val="32"/>
        </w:rPr>
        <w:t>2024年度一般公共预算财政拨款支出341.84万元，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增加248.03万元，增长264.40%，主要原因是：本年机构改革，2024年6月昌吉州生态环境局木垒县分局上划至州本级，附属事业单位木垒县生态环境监测站合并至</w:t>
      </w:r>
      <w:r>
        <w:rPr>
          <w:rFonts w:hint="eastAsia" w:ascii="仿宋_GB2312" w:hAnsi="仿宋_GB2312" w:eastAsia="仿宋_GB2312"/>
          <w:b w:val="0"/>
          <w:sz w:val="32"/>
          <w:lang w:eastAsia="zh-CN"/>
        </w:rPr>
        <w:t>本单位</w:t>
      </w:r>
      <w:r>
        <w:rPr>
          <w:rFonts w:ascii="仿宋_GB2312" w:hAnsi="仿宋_GB2312" w:eastAsia="仿宋_GB2312"/>
          <w:b w:val="0"/>
          <w:sz w:val="32"/>
        </w:rPr>
        <w:t>，在职人员增加，人员工资调增，相关人员经费增加。</w:t>
      </w:r>
      <w:r>
        <w:rPr>
          <w:rFonts w:ascii="仿宋_GB2312" w:hAnsi="仿宋_GB2312" w:eastAsia="仿宋_GB2312"/>
          <w:b/>
          <w:sz w:val="32"/>
        </w:rPr>
        <w:t>与年初预算相比,</w:t>
      </w:r>
      <w:r>
        <w:rPr>
          <w:rFonts w:ascii="仿宋_GB2312" w:hAnsi="仿宋_GB2312" w:eastAsia="仿宋_GB2312"/>
          <w:b w:val="0"/>
          <w:sz w:val="32"/>
        </w:rPr>
        <w:t>年初预算数319.47万元，决算数341.84万元，预决算差异率7.00%，主要原因是：本年机构改革，2024年6月昌吉州生态环境局木垒县分局上划至州本级，附属事业单位木垒县生态环境监测站合并至</w:t>
      </w:r>
      <w:r>
        <w:rPr>
          <w:rFonts w:hint="eastAsia" w:ascii="仿宋_GB2312" w:hAnsi="仿宋_GB2312" w:eastAsia="仿宋_GB2312"/>
          <w:b w:val="0"/>
          <w:sz w:val="32"/>
          <w:lang w:eastAsia="zh-CN"/>
        </w:rPr>
        <w:t>本单位</w:t>
      </w:r>
      <w:r>
        <w:rPr>
          <w:rFonts w:ascii="仿宋_GB2312" w:hAnsi="仿宋_GB2312" w:eastAsia="仿宋_GB2312"/>
          <w:b w:val="0"/>
          <w:sz w:val="32"/>
        </w:rPr>
        <w:t>，在职人员增加，人员工资调增，年中追加人员经费。</w:t>
      </w:r>
    </w:p>
    <w:p w14:paraId="0AAA259C">
      <w:pPr>
        <w:spacing w:line="640" w:lineRule="exact"/>
        <w:ind w:firstLine="640"/>
        <w:jc w:val="both"/>
        <w:outlineLvl w:val="3"/>
      </w:pPr>
      <w:r>
        <w:rPr>
          <w:rFonts w:ascii="楷体_GB2312" w:hAnsi="楷体_GB2312" w:eastAsia="楷体_GB2312"/>
          <w:b/>
          <w:sz w:val="32"/>
        </w:rPr>
        <w:t>（二）一般公共预算财政拨款支出决算结构情况</w:t>
      </w:r>
    </w:p>
    <w:p w14:paraId="7F5479B6">
      <w:pPr>
        <w:spacing w:line="580" w:lineRule="exact"/>
        <w:ind w:firstLine="640"/>
        <w:jc w:val="both"/>
      </w:pPr>
      <w:r>
        <w:rPr>
          <w:rFonts w:ascii="仿宋_GB2312" w:hAnsi="仿宋_GB2312" w:eastAsia="仿宋_GB2312"/>
          <w:b w:val="0"/>
          <w:sz w:val="32"/>
        </w:rPr>
        <w:t>1.社会保障和就业支出(类)29.11万元,占8.52%。</w:t>
      </w:r>
    </w:p>
    <w:p w14:paraId="4389D999">
      <w:pPr>
        <w:spacing w:line="580" w:lineRule="exact"/>
        <w:ind w:firstLine="640"/>
        <w:jc w:val="both"/>
      </w:pPr>
      <w:r>
        <w:rPr>
          <w:rFonts w:ascii="仿宋_GB2312" w:hAnsi="仿宋_GB2312" w:eastAsia="仿宋_GB2312"/>
          <w:b w:val="0"/>
          <w:sz w:val="32"/>
        </w:rPr>
        <w:t>2.卫生健康支出(类)4.06万元,占1.19%。</w:t>
      </w:r>
    </w:p>
    <w:p w14:paraId="4FF5EAB1">
      <w:pPr>
        <w:spacing w:line="580" w:lineRule="exact"/>
        <w:ind w:firstLine="640"/>
        <w:jc w:val="both"/>
      </w:pPr>
      <w:r>
        <w:rPr>
          <w:rFonts w:ascii="仿宋_GB2312" w:hAnsi="仿宋_GB2312" w:eastAsia="仿宋_GB2312"/>
          <w:b w:val="0"/>
          <w:sz w:val="32"/>
        </w:rPr>
        <w:t>3.节能环保支出(类)297.43万元,占87.01%。</w:t>
      </w:r>
    </w:p>
    <w:p w14:paraId="217FC233">
      <w:pPr>
        <w:spacing w:line="580" w:lineRule="exact"/>
        <w:ind w:firstLine="640"/>
        <w:jc w:val="both"/>
      </w:pPr>
      <w:r>
        <w:rPr>
          <w:rFonts w:ascii="仿宋_GB2312" w:hAnsi="仿宋_GB2312" w:eastAsia="仿宋_GB2312"/>
          <w:b w:val="0"/>
          <w:sz w:val="32"/>
        </w:rPr>
        <w:t>4.住房保障支出(类)11.23万元,占3.29%。</w:t>
      </w:r>
    </w:p>
    <w:p w14:paraId="0DE09CB0">
      <w:pPr>
        <w:spacing w:line="640" w:lineRule="exact"/>
        <w:ind w:firstLine="640"/>
        <w:jc w:val="both"/>
        <w:outlineLvl w:val="3"/>
      </w:pPr>
      <w:r>
        <w:rPr>
          <w:rFonts w:ascii="楷体_GB2312" w:hAnsi="楷体_GB2312" w:eastAsia="楷体_GB2312"/>
          <w:b/>
          <w:sz w:val="32"/>
        </w:rPr>
        <w:t>（三）一般公共预算财政拨款支出决算具体情况</w:t>
      </w:r>
    </w:p>
    <w:p w14:paraId="45EEF614">
      <w:pPr>
        <w:spacing w:line="580" w:lineRule="exact"/>
        <w:ind w:firstLine="640"/>
        <w:jc w:val="both"/>
      </w:pPr>
      <w:r>
        <w:rPr>
          <w:rFonts w:ascii="仿宋_GB2312" w:hAnsi="仿宋_GB2312" w:eastAsia="仿宋_GB2312"/>
          <w:b w:val="0"/>
          <w:sz w:val="32"/>
        </w:rPr>
        <w:t>1.社会保障和就业支出(类)行政事业单位养老支出(款)事业单位离退休(项):支出决算数为0.36万元，比上年决算增加0.36万元，增长100.00%,主要原因是：本年机构改革，2024年6月昌吉州生态环境局木垒县分局上划至州本级，附属事业单位木垒县生态环境监测站合并至</w:t>
      </w:r>
      <w:r>
        <w:rPr>
          <w:rFonts w:hint="eastAsia" w:ascii="仿宋_GB2312" w:hAnsi="仿宋_GB2312" w:eastAsia="仿宋_GB2312"/>
          <w:b w:val="0"/>
          <w:sz w:val="32"/>
          <w:lang w:eastAsia="zh-CN"/>
        </w:rPr>
        <w:t>本单位</w:t>
      </w:r>
      <w:r>
        <w:rPr>
          <w:rFonts w:ascii="仿宋_GB2312" w:hAnsi="仿宋_GB2312" w:eastAsia="仿宋_GB2312"/>
          <w:b w:val="0"/>
          <w:sz w:val="32"/>
        </w:rPr>
        <w:t>，退休人员增加，退休费增加。</w:t>
      </w:r>
    </w:p>
    <w:p w14:paraId="11402926">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14.94万元，比上年决算增加7.19万元，增长92.77%,主要原因是：本年机构改革，2024年6月昌吉州生态环境局木垒县分局上划至州本级，附属事业单位木垒县生态环境监测站合并至</w:t>
      </w:r>
      <w:r>
        <w:rPr>
          <w:rFonts w:hint="eastAsia" w:ascii="仿宋_GB2312" w:hAnsi="仿宋_GB2312" w:eastAsia="仿宋_GB2312"/>
          <w:b w:val="0"/>
          <w:sz w:val="32"/>
          <w:lang w:eastAsia="zh-CN"/>
        </w:rPr>
        <w:t>本单位</w:t>
      </w:r>
      <w:r>
        <w:rPr>
          <w:rFonts w:ascii="仿宋_GB2312" w:hAnsi="仿宋_GB2312" w:eastAsia="仿宋_GB2312"/>
          <w:b w:val="0"/>
          <w:sz w:val="32"/>
        </w:rPr>
        <w:t>，在职人员增加，人员工资调增，导致养老保险缴费增加。</w:t>
      </w:r>
    </w:p>
    <w:p w14:paraId="5CE61E02">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13.81万元，比上年决算增加9.94万元，增长256.85%,主要原因是：本年机构改革，2024年6月昌吉州生态环境局木垒县分局上划至州本级，附属事业单位木垒县生态环境监测站合并至</w:t>
      </w:r>
      <w:r>
        <w:rPr>
          <w:rFonts w:hint="eastAsia" w:ascii="仿宋_GB2312" w:hAnsi="仿宋_GB2312" w:eastAsia="仿宋_GB2312"/>
          <w:b w:val="0"/>
          <w:sz w:val="32"/>
          <w:lang w:eastAsia="zh-CN"/>
        </w:rPr>
        <w:t>本单位</w:t>
      </w:r>
      <w:r>
        <w:rPr>
          <w:rFonts w:ascii="仿宋_GB2312" w:hAnsi="仿宋_GB2312" w:eastAsia="仿宋_GB2312"/>
          <w:b w:val="0"/>
          <w:sz w:val="32"/>
        </w:rPr>
        <w:t>，退休人员增加，职业年金缴费增加。</w:t>
      </w:r>
    </w:p>
    <w:p w14:paraId="5368124E">
      <w:pPr>
        <w:spacing w:line="580" w:lineRule="exact"/>
        <w:ind w:firstLine="640"/>
        <w:jc w:val="both"/>
      </w:pPr>
      <w:r>
        <w:rPr>
          <w:rFonts w:ascii="仿宋_GB2312" w:hAnsi="仿宋_GB2312" w:eastAsia="仿宋_GB2312"/>
          <w:b w:val="0"/>
          <w:sz w:val="32"/>
        </w:rPr>
        <w:t>4.卫生健康支出(类)行政事业单位医疗(款)事业单位医疗(项):支出决算数为3.80万元，比上年决算减少0.44万元，下降10.38%,主要原因是：本年功能科目调整，部分医疗调整至主科目列支，导致经费较上年减少。</w:t>
      </w:r>
    </w:p>
    <w:p w14:paraId="075DB202">
      <w:pPr>
        <w:spacing w:line="580" w:lineRule="exact"/>
        <w:ind w:firstLine="640"/>
        <w:jc w:val="both"/>
      </w:pPr>
      <w:r>
        <w:rPr>
          <w:rFonts w:ascii="仿宋_GB2312" w:hAnsi="仿宋_GB2312" w:eastAsia="仿宋_GB2312"/>
          <w:b w:val="0"/>
          <w:sz w:val="32"/>
        </w:rPr>
        <w:t>5.卫生健康支出(类)行政事业单位医疗(款)公务员医疗补助(项):支出决算数为0.24万元，比上年决算减少0.04万元，下降14.29%,主要原因是：本年功能科目调整，部分公务员医疗补助调整至主科目列支，导致经费较上年减少。</w:t>
      </w:r>
    </w:p>
    <w:p w14:paraId="6399DD0A">
      <w:pPr>
        <w:spacing w:line="580" w:lineRule="exact"/>
        <w:ind w:firstLine="640"/>
        <w:jc w:val="both"/>
      </w:pPr>
      <w:r>
        <w:rPr>
          <w:rFonts w:ascii="仿宋_GB2312" w:hAnsi="仿宋_GB2312" w:eastAsia="仿宋_GB2312"/>
          <w:b w:val="0"/>
          <w:sz w:val="32"/>
        </w:rPr>
        <w:t>6.卫生健康支出(类)行政事业单位医疗(款)其他行政事业单位医疗支出(项):支出决算数为0.03万元，比上年决算增加0.03万元，增长100.00%,主要原因是：本年机构改革，2024年6月昌吉州生态环境局木垒县分局上划至州本级，附属事业单位木垒县生态环境监测站合并至</w:t>
      </w:r>
      <w:r>
        <w:rPr>
          <w:rFonts w:hint="eastAsia" w:ascii="仿宋_GB2312" w:hAnsi="仿宋_GB2312" w:eastAsia="仿宋_GB2312"/>
          <w:b w:val="0"/>
          <w:sz w:val="32"/>
          <w:lang w:eastAsia="zh-CN"/>
        </w:rPr>
        <w:t>本单位</w:t>
      </w:r>
      <w:r>
        <w:rPr>
          <w:rFonts w:ascii="仿宋_GB2312" w:hAnsi="仿宋_GB2312" w:eastAsia="仿宋_GB2312"/>
          <w:b w:val="0"/>
          <w:sz w:val="32"/>
        </w:rPr>
        <w:t>，在职人员增加，人员工资调增，医疗缴费增加。</w:t>
      </w:r>
    </w:p>
    <w:p w14:paraId="055AAD04">
      <w:pPr>
        <w:spacing w:line="580" w:lineRule="exact"/>
        <w:ind w:firstLine="640"/>
        <w:jc w:val="both"/>
        <w:rPr>
          <w:rFonts w:hint="eastAsia" w:eastAsia="仿宋_GB2312"/>
          <w:lang w:val="en-US" w:eastAsia="zh-CN"/>
        </w:rPr>
      </w:pPr>
      <w:r>
        <w:rPr>
          <w:rFonts w:ascii="仿宋_GB2312" w:hAnsi="仿宋_GB2312" w:eastAsia="仿宋_GB2312"/>
          <w:b w:val="0"/>
          <w:sz w:val="32"/>
        </w:rPr>
        <w:t>7.节能环保支出(类)环境保护管理事务(款)行政运行(项):支出决算数为168.52万元，比上年决算增加168.52万元，增长100.00%,主要原因是：本年机构改革，2024年6月昌吉州生态环境局木垒县分局上划至州本级，附属事业单位木垒县生态环境监测站合并至</w:t>
      </w:r>
      <w:r>
        <w:rPr>
          <w:rFonts w:hint="eastAsia" w:ascii="仿宋_GB2312" w:hAnsi="仿宋_GB2312" w:eastAsia="仿宋_GB2312"/>
          <w:b w:val="0"/>
          <w:sz w:val="32"/>
          <w:lang w:eastAsia="zh-CN"/>
        </w:rPr>
        <w:t>本单位</w:t>
      </w:r>
      <w:r>
        <w:rPr>
          <w:rFonts w:ascii="仿宋_GB2312" w:hAnsi="仿宋_GB2312" w:eastAsia="仿宋_GB2312"/>
          <w:b w:val="0"/>
          <w:sz w:val="32"/>
        </w:rPr>
        <w:t>，在职人员增加，人员工资调增，人员经费增加。</w:t>
      </w:r>
    </w:p>
    <w:p w14:paraId="3FCF83AF">
      <w:pPr>
        <w:spacing w:line="580" w:lineRule="exact"/>
        <w:ind w:firstLine="640"/>
        <w:jc w:val="both"/>
      </w:pPr>
      <w:r>
        <w:rPr>
          <w:rFonts w:ascii="仿宋_GB2312" w:hAnsi="仿宋_GB2312" w:eastAsia="仿宋_GB2312"/>
          <w:b w:val="0"/>
          <w:sz w:val="32"/>
        </w:rPr>
        <w:t>8.节能环保支出(类)污染防治(款)水体(项):支出决算数为8.00万元，比上年决算增加8.00万元，增长100.00%,主要原因是：本年新增木垒县生态环境质量农村千吨万人饮水委托检测项目。</w:t>
      </w:r>
    </w:p>
    <w:p w14:paraId="2DA89B68">
      <w:pPr>
        <w:spacing w:line="580" w:lineRule="exact"/>
        <w:ind w:firstLine="640"/>
        <w:jc w:val="both"/>
      </w:pPr>
      <w:r>
        <w:rPr>
          <w:rFonts w:ascii="仿宋_GB2312" w:hAnsi="仿宋_GB2312" w:eastAsia="仿宋_GB2312"/>
          <w:b w:val="0"/>
          <w:sz w:val="32"/>
        </w:rPr>
        <w:t>9.节能环保支出(类)污染防治(款)其他污染防治支出(项):支出决算数为9.77万元，比上年决算增加9.77万元，增长100.00%,主要原因是：本年新增木垒县</w:t>
      </w:r>
      <w:r>
        <w:rPr>
          <w:rFonts w:hint="eastAsia" w:ascii="仿宋_GB2312" w:hAnsi="仿宋_GB2312" w:eastAsia="仿宋_GB2312"/>
          <w:b w:val="0"/>
          <w:sz w:val="32"/>
          <w:lang w:eastAsia="zh-CN"/>
        </w:rPr>
        <w:t>水污染防治</w:t>
      </w:r>
      <w:r>
        <w:rPr>
          <w:rFonts w:ascii="仿宋_GB2312" w:hAnsi="仿宋_GB2312" w:eastAsia="仿宋_GB2312"/>
          <w:b w:val="0"/>
          <w:sz w:val="32"/>
        </w:rPr>
        <w:t>执法监测、应急监测项目。</w:t>
      </w:r>
    </w:p>
    <w:p w14:paraId="6063B10D">
      <w:pPr>
        <w:spacing w:line="580" w:lineRule="exact"/>
        <w:ind w:firstLine="640"/>
        <w:jc w:val="both"/>
      </w:pPr>
      <w:r>
        <w:rPr>
          <w:rFonts w:ascii="仿宋_GB2312" w:hAnsi="仿宋_GB2312" w:eastAsia="仿宋_GB2312"/>
          <w:b w:val="0"/>
          <w:sz w:val="32"/>
        </w:rPr>
        <w:t>10.节能环保支出(类)污染减排(款)生态环境监测与信息(项):支出决算数为111.14万元，比上年决算增加46.20万元，增长71.14%,主要原因是：本年机构改革，2024年6月昌吉州生态环境局木垒县分局上划至州本级，附属事业单位木垒县生态环境监测站合并至</w:t>
      </w:r>
      <w:r>
        <w:rPr>
          <w:rFonts w:hint="eastAsia" w:ascii="仿宋_GB2312" w:hAnsi="仿宋_GB2312" w:eastAsia="仿宋_GB2312"/>
          <w:b w:val="0"/>
          <w:sz w:val="32"/>
          <w:lang w:eastAsia="zh-CN"/>
        </w:rPr>
        <w:t>本单位</w:t>
      </w:r>
      <w:r>
        <w:rPr>
          <w:rFonts w:ascii="仿宋_GB2312" w:hAnsi="仿宋_GB2312" w:eastAsia="仿宋_GB2312"/>
          <w:b w:val="0"/>
          <w:sz w:val="32"/>
        </w:rPr>
        <w:t>，在职人员增加，人员工资调增，人员经费增加；科目调整，部分医疗，公用经费调整至此科目，导致经费增加。</w:t>
      </w:r>
    </w:p>
    <w:p w14:paraId="17C69E6B">
      <w:pPr>
        <w:spacing w:line="580" w:lineRule="exact"/>
        <w:ind w:firstLine="640"/>
        <w:jc w:val="both"/>
      </w:pPr>
      <w:r>
        <w:rPr>
          <w:rFonts w:ascii="仿宋_GB2312" w:hAnsi="仿宋_GB2312" w:eastAsia="仿宋_GB2312"/>
          <w:b w:val="0"/>
          <w:sz w:val="32"/>
        </w:rPr>
        <w:t>11.节能环保支出(类)其他节能环保支出(款)其他节能环保支出(项):支出决算数为0.00万元，比上年决算减少6.65万元，下降100.00%,主要原因是：本年科目调整，公用经费调整至主款项，导致经费减少。</w:t>
      </w:r>
    </w:p>
    <w:p w14:paraId="0547659A">
      <w:pPr>
        <w:spacing w:line="580" w:lineRule="exact"/>
        <w:ind w:firstLine="640"/>
        <w:jc w:val="both"/>
      </w:pPr>
      <w:r>
        <w:rPr>
          <w:rFonts w:ascii="仿宋_GB2312" w:hAnsi="仿宋_GB2312" w:eastAsia="仿宋_GB2312"/>
          <w:b w:val="0"/>
          <w:sz w:val="32"/>
        </w:rPr>
        <w:t>12.住房保障支出(类)住房改革支出(款)住房公积金(项):支出决算数为11.23万元，比上年决算增加5.14万元，增长84.40%,主要原因是：本年机构改革，2024年6月昌吉州生态环境局木垒县分局上划至州本级，附属事业单位木垒县生态环境监测站合并至</w:t>
      </w:r>
      <w:r>
        <w:rPr>
          <w:rFonts w:hint="eastAsia" w:ascii="仿宋_GB2312" w:hAnsi="仿宋_GB2312" w:eastAsia="仿宋_GB2312"/>
          <w:b w:val="0"/>
          <w:sz w:val="32"/>
          <w:lang w:eastAsia="zh-CN"/>
        </w:rPr>
        <w:t>本单位</w:t>
      </w:r>
      <w:r>
        <w:rPr>
          <w:rFonts w:ascii="仿宋_GB2312" w:hAnsi="仿宋_GB2312" w:eastAsia="仿宋_GB2312"/>
          <w:b w:val="0"/>
          <w:sz w:val="32"/>
        </w:rPr>
        <w:t>，在职人员增加，人员工资调增，住房公积金缴费增加。</w:t>
      </w:r>
    </w:p>
    <w:p w14:paraId="52CA9589">
      <w:pPr>
        <w:spacing w:line="640" w:lineRule="exact"/>
        <w:ind w:firstLine="640"/>
        <w:jc w:val="both"/>
        <w:outlineLvl w:val="2"/>
      </w:pPr>
      <w:r>
        <w:rPr>
          <w:rFonts w:ascii="黑体" w:hAnsi="黑体" w:eastAsia="黑体"/>
          <w:sz w:val="32"/>
        </w:rPr>
        <w:t>六、一般公共预算财政拨款基本支出决算情况说明</w:t>
      </w:r>
    </w:p>
    <w:p w14:paraId="64A62FFC">
      <w:pPr>
        <w:spacing w:line="580" w:lineRule="exact"/>
        <w:ind w:firstLine="640"/>
        <w:jc w:val="both"/>
      </w:pPr>
      <w:r>
        <w:rPr>
          <w:rFonts w:ascii="仿宋_GB2312" w:hAnsi="仿宋_GB2312" w:eastAsia="仿宋_GB2312"/>
          <w:b w:val="0"/>
          <w:sz w:val="32"/>
        </w:rPr>
        <w:t>2024年度一般公共预算财政拨款基本支出324.07万元，其中：</w:t>
      </w:r>
      <w:r>
        <w:rPr>
          <w:rFonts w:ascii="仿宋_GB2312" w:hAnsi="仿宋_GB2312" w:eastAsia="仿宋_GB2312"/>
          <w:b/>
          <w:sz w:val="32"/>
        </w:rPr>
        <w:t>人员经费254.99万元，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包括：基本工资、津贴补贴、奖金、绩效工资、机关事业单位基本养老保险缴费、职业年金缴费、职工基本医疗保险缴费、公务员医疗补助缴费、其他社会保障缴费、住房公积金、退休费、奖励金。</w:t>
      </w:r>
    </w:p>
    <w:p w14:paraId="22D4D6F2">
      <w:pPr>
        <w:spacing w:line="580" w:lineRule="exact"/>
        <w:ind w:firstLine="640"/>
        <w:jc w:val="both"/>
      </w:pPr>
      <w:r>
        <w:rPr>
          <w:rFonts w:ascii="仿宋_GB2312" w:hAnsi="仿宋_GB2312" w:eastAsia="仿宋_GB2312"/>
          <w:b/>
          <w:sz w:val="32"/>
        </w:rPr>
        <w:t>公用经费69.08万元，</w:t>
      </w:r>
      <w:r>
        <w:rPr>
          <w:rFonts w:ascii="仿宋_GB2312" w:hAnsi="仿宋_GB2312" w:eastAsia="仿宋_GB2312"/>
          <w:b w:val="0"/>
          <w:sz w:val="32"/>
        </w:rPr>
        <w:t>包括：办公费、水费、电费、邮电费、取暖费、差旅费、维修（护）费、培训费、劳务费、工会经费、福利费、公务用车运行维护费、其他交通费用、其他商品和服务支出。</w:t>
      </w:r>
    </w:p>
    <w:p w14:paraId="0BF73392">
      <w:pPr>
        <w:spacing w:line="640" w:lineRule="exact"/>
        <w:ind w:firstLine="640"/>
        <w:jc w:val="both"/>
        <w:outlineLvl w:val="2"/>
      </w:pPr>
      <w:r>
        <w:rPr>
          <w:rFonts w:ascii="黑体" w:hAnsi="黑体" w:eastAsia="黑体"/>
          <w:sz w:val="32"/>
        </w:rPr>
        <w:t>七、政府性基金预算财政拨款收入支出决算情况说明</w:t>
      </w:r>
    </w:p>
    <w:p w14:paraId="46C56E7C">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5392BA20">
      <w:pPr>
        <w:spacing w:line="640" w:lineRule="exact"/>
        <w:ind w:firstLine="640"/>
        <w:jc w:val="both"/>
        <w:outlineLvl w:val="2"/>
      </w:pPr>
      <w:r>
        <w:rPr>
          <w:rFonts w:ascii="黑体" w:hAnsi="黑体" w:eastAsia="黑体"/>
          <w:sz w:val="32"/>
        </w:rPr>
        <w:t>八、国有资本经营预算财政拨款收入支出决算情况说明</w:t>
      </w:r>
    </w:p>
    <w:p w14:paraId="10FCA089">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28C91F97">
      <w:pPr>
        <w:spacing w:line="640" w:lineRule="exact"/>
        <w:ind w:firstLine="640"/>
        <w:jc w:val="both"/>
        <w:outlineLvl w:val="2"/>
      </w:pPr>
      <w:r>
        <w:rPr>
          <w:rFonts w:ascii="黑体" w:hAnsi="黑体" w:eastAsia="黑体"/>
          <w:sz w:val="32"/>
        </w:rPr>
        <w:t>九、财政拨款“三公”经费支出决算情况说明</w:t>
      </w:r>
    </w:p>
    <w:p w14:paraId="26EDBBAC">
      <w:pPr>
        <w:spacing w:line="580" w:lineRule="exact"/>
        <w:ind w:firstLine="640"/>
        <w:jc w:val="both"/>
      </w:pPr>
      <w:r>
        <w:rPr>
          <w:rFonts w:ascii="仿宋_GB2312" w:hAnsi="仿宋_GB2312" w:eastAsia="仿宋_GB2312"/>
          <w:b/>
          <w:sz w:val="32"/>
        </w:rPr>
        <w:t>2024年度财政拨款“三公”经费支出4.34万元，</w:t>
      </w:r>
      <w:r>
        <w:rPr>
          <w:rFonts w:ascii="仿宋_GB2312" w:hAnsi="仿宋_GB2312" w:eastAsia="仿宋_GB2312"/>
          <w:b w:val="0"/>
          <w:sz w:val="32"/>
        </w:rPr>
        <w:t>比上年增加2.60万元，增长149.43%，主要原因是：本年机构改革，2024年6月昌吉州生态环境局木垒县分局上划至州本级，附属事业单位木垒县生态环境监测站合并至</w:t>
      </w:r>
      <w:r>
        <w:rPr>
          <w:rFonts w:hint="eastAsia" w:ascii="仿宋_GB2312" w:hAnsi="仿宋_GB2312" w:eastAsia="仿宋_GB2312"/>
          <w:b w:val="0"/>
          <w:sz w:val="32"/>
          <w:lang w:eastAsia="zh-CN"/>
        </w:rPr>
        <w:t>本单位</w:t>
      </w:r>
      <w:r>
        <w:rPr>
          <w:rFonts w:ascii="仿宋_GB2312" w:hAnsi="仿宋_GB2312" w:eastAsia="仿宋_GB2312"/>
          <w:b w:val="0"/>
          <w:sz w:val="32"/>
        </w:rPr>
        <w:t>，导致公务用车运行维护费增加。其中：因公出国（境）费支出0.00万元，占0.00%，比上年增加0.00万元，增长0.00%，主要原因是：2023年与2024年均未安排因公出国（境）费支出。公务用车购置及运行维护费支出4.34万元，占100.00%，比上年增加2.60万元，增长149.43%，主要原因是：本年机构改革，2024年6月昌吉州生态环境局木垒县分局上划至州本级，附属事业单位木垒县生态环境监测站合并至</w:t>
      </w:r>
      <w:r>
        <w:rPr>
          <w:rFonts w:hint="eastAsia" w:ascii="仿宋_GB2312" w:hAnsi="仿宋_GB2312" w:eastAsia="仿宋_GB2312"/>
          <w:b w:val="0"/>
          <w:sz w:val="32"/>
          <w:lang w:eastAsia="zh-CN"/>
        </w:rPr>
        <w:t>本单位</w:t>
      </w:r>
      <w:r>
        <w:rPr>
          <w:rFonts w:ascii="仿宋_GB2312" w:hAnsi="仿宋_GB2312" w:eastAsia="仿宋_GB2312"/>
          <w:b w:val="0"/>
          <w:sz w:val="32"/>
        </w:rPr>
        <w:t>，导致公务用车运行维护费增加。公务接待费支出0.00万元，占0.00%，比上年增加0.00万元，增长0.00%，主要原因是：2023年与2024年均未安排公务接待费支出。</w:t>
      </w:r>
    </w:p>
    <w:p w14:paraId="54ECBBAE">
      <w:pPr>
        <w:spacing w:line="580" w:lineRule="exact"/>
        <w:ind w:firstLine="640"/>
        <w:jc w:val="both"/>
      </w:pPr>
      <w:r>
        <w:rPr>
          <w:rFonts w:ascii="仿宋_GB2312" w:hAnsi="仿宋_GB2312" w:eastAsia="仿宋_GB2312"/>
          <w:b/>
          <w:sz w:val="32"/>
        </w:rPr>
        <w:t>具体情况如下：</w:t>
      </w:r>
    </w:p>
    <w:p w14:paraId="1ECE33BB">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036E60A1">
      <w:pPr>
        <w:spacing w:line="580" w:lineRule="exact"/>
        <w:ind w:firstLine="640"/>
        <w:jc w:val="both"/>
      </w:pPr>
      <w:r>
        <w:rPr>
          <w:rFonts w:ascii="仿宋_GB2312" w:hAnsi="仿宋_GB2312" w:eastAsia="仿宋_GB2312"/>
          <w:b w:val="0"/>
          <w:sz w:val="32"/>
        </w:rPr>
        <w:t>公务用车购置及运行维护费4.34万元，其中：公务用车购置费0.00万元，公务用车运行维护费4.34万元。公务用车运行维护费开支内容包括公务用车燃油费、维修维护费、保险费、过路费。公务用车购置数0辆，公务用车保有量3辆。国有资产占用情况中固定资产车辆1辆，与公务用车保有量差异原因是：借用其他单位车辆，车辆费用由本单位支付。</w:t>
      </w:r>
    </w:p>
    <w:p w14:paraId="56E521FC">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4F6875E3">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4.34万元，决算数4.34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4.34万元，决算数4.34万元，预决算差异率0.00%，主要原因是：严格按照预算执行，预决算无差异。公务接待费全年预算数0.00万元，决算数0.00万元，预决算差异率0.00%，主要原因是：本单位无公务接待费。</w:t>
      </w:r>
    </w:p>
    <w:p w14:paraId="5C0CD086">
      <w:pPr>
        <w:spacing w:line="640" w:lineRule="exact"/>
        <w:ind w:firstLine="640"/>
        <w:jc w:val="both"/>
        <w:outlineLvl w:val="2"/>
      </w:pPr>
      <w:r>
        <w:rPr>
          <w:rFonts w:ascii="黑体" w:hAnsi="黑体" w:eastAsia="黑体"/>
          <w:sz w:val="32"/>
        </w:rPr>
        <w:t>十、其他重要事项的情况说明</w:t>
      </w:r>
    </w:p>
    <w:p w14:paraId="1C928E3B">
      <w:pPr>
        <w:spacing w:line="640" w:lineRule="exact"/>
        <w:ind w:firstLine="640"/>
        <w:jc w:val="both"/>
        <w:outlineLvl w:val="3"/>
      </w:pPr>
      <w:r>
        <w:rPr>
          <w:rFonts w:ascii="楷体_GB2312" w:hAnsi="楷体_GB2312" w:eastAsia="楷体_GB2312"/>
          <w:b/>
          <w:sz w:val="32"/>
        </w:rPr>
        <w:t>（一）机关运行经费及公用经费支出情况</w:t>
      </w:r>
    </w:p>
    <w:p w14:paraId="534A3F0A">
      <w:pPr>
        <w:spacing w:line="580" w:lineRule="exact"/>
        <w:ind w:firstLine="640"/>
        <w:jc w:val="both"/>
      </w:pPr>
      <w:r>
        <w:rPr>
          <w:rFonts w:ascii="仿宋_GB2312" w:hAnsi="仿宋_GB2312" w:eastAsia="仿宋_GB2312"/>
          <w:b w:val="0"/>
          <w:sz w:val="32"/>
        </w:rPr>
        <w:t>2024年度昌吉回族自治州生态环境局木垒县分局（行政单位和参照公务员法管理事业单位）机关运行经费支出69.08万元，比上年增加69.08万元，增长100.00%，主要原因是：本年机构改革，2024年6月昌吉州生态环境局木垒县分局上划至州本级，附属事业</w:t>
      </w:r>
      <w:bookmarkStart w:id="0" w:name="_GoBack"/>
      <w:r>
        <w:rPr>
          <w:rFonts w:ascii="仿宋_GB2312" w:hAnsi="仿宋_GB2312" w:eastAsia="仿宋_GB2312"/>
          <w:b w:val="0"/>
          <w:sz w:val="32"/>
        </w:rPr>
        <w:t>单位木垒县生态环境监测站合并至</w:t>
      </w:r>
      <w:r>
        <w:rPr>
          <w:rFonts w:hint="eastAsia" w:ascii="仿宋_GB2312" w:hAnsi="仿宋_GB2312" w:eastAsia="仿宋_GB2312"/>
          <w:b w:val="0"/>
          <w:sz w:val="32"/>
          <w:lang w:eastAsia="zh-CN"/>
        </w:rPr>
        <w:t>本单位</w:t>
      </w:r>
      <w:r>
        <w:rPr>
          <w:rFonts w:ascii="仿宋_GB2312" w:hAnsi="仿宋_GB2312" w:eastAsia="仿宋_GB2312"/>
          <w:b w:val="0"/>
          <w:sz w:val="32"/>
        </w:rPr>
        <w:t>，导</w:t>
      </w:r>
      <w:bookmarkEnd w:id="0"/>
      <w:r>
        <w:rPr>
          <w:rFonts w:ascii="仿宋_GB2312" w:hAnsi="仿宋_GB2312" w:eastAsia="仿宋_GB2312"/>
          <w:b w:val="0"/>
          <w:sz w:val="32"/>
        </w:rPr>
        <w:t>致机关运行经费增加。</w:t>
      </w:r>
    </w:p>
    <w:p w14:paraId="6400C11E">
      <w:pPr>
        <w:spacing w:line="640" w:lineRule="exact"/>
        <w:ind w:firstLine="640"/>
        <w:jc w:val="both"/>
        <w:outlineLvl w:val="3"/>
      </w:pPr>
      <w:r>
        <w:rPr>
          <w:rFonts w:ascii="楷体_GB2312" w:hAnsi="楷体_GB2312" w:eastAsia="楷体_GB2312"/>
          <w:b/>
          <w:sz w:val="32"/>
        </w:rPr>
        <w:t>（二）政府采购情况</w:t>
      </w:r>
    </w:p>
    <w:p w14:paraId="5ADA8553">
      <w:pPr>
        <w:spacing w:line="580" w:lineRule="exact"/>
        <w:ind w:firstLine="640"/>
        <w:jc w:val="both"/>
      </w:pPr>
      <w:r>
        <w:rPr>
          <w:rFonts w:ascii="仿宋_GB2312" w:hAnsi="仿宋_GB2312" w:eastAsia="仿宋_GB2312"/>
          <w:b w:val="0"/>
          <w:sz w:val="32"/>
        </w:rPr>
        <w:t>2024年度政府采购支出总额0.09万元，其中：政府采购货物支出0.09万元、政府采购工程支出0.00万元、政府采购服务支出0.00万元。</w:t>
      </w:r>
    </w:p>
    <w:p w14:paraId="2B2820D3">
      <w:pPr>
        <w:spacing w:line="580" w:lineRule="exact"/>
        <w:ind w:firstLine="640"/>
        <w:jc w:val="both"/>
      </w:pPr>
      <w:r>
        <w:rPr>
          <w:rFonts w:ascii="仿宋_GB2312" w:hAnsi="仿宋_GB2312" w:eastAsia="仿宋_GB2312"/>
          <w:b w:val="0"/>
          <w:sz w:val="32"/>
        </w:rPr>
        <w:t>授予中小企业合同金额0.09万元，占政府采购支出总额的100.00%，其中：授予小微企业合同金额0.09万元，占政府采购支出总额的100.00%。</w:t>
      </w:r>
    </w:p>
    <w:p w14:paraId="37B87B4B">
      <w:pPr>
        <w:spacing w:line="640" w:lineRule="exact"/>
        <w:ind w:firstLine="640"/>
        <w:jc w:val="both"/>
        <w:outlineLvl w:val="3"/>
      </w:pPr>
      <w:r>
        <w:rPr>
          <w:rFonts w:ascii="楷体_GB2312" w:hAnsi="楷体_GB2312" w:eastAsia="楷体_GB2312"/>
          <w:b/>
          <w:sz w:val="32"/>
        </w:rPr>
        <w:t>（三）国有资产占用情况说明</w:t>
      </w:r>
    </w:p>
    <w:p w14:paraId="2304FC88">
      <w:pPr>
        <w:spacing w:line="580" w:lineRule="exact"/>
        <w:ind w:firstLine="640"/>
        <w:jc w:val="both"/>
      </w:pPr>
      <w:r>
        <w:rPr>
          <w:rFonts w:ascii="仿宋_GB2312" w:hAnsi="仿宋_GB2312" w:eastAsia="仿宋_GB2312"/>
          <w:b w:val="0"/>
          <w:sz w:val="32"/>
        </w:rPr>
        <w:t>截至2024年12月31日，房屋1,752.82平方米，价值365.22万元。车辆1辆，价值17.78万元，其中：副部（省）级及以上领导用车0辆、主要负责人用车0辆、机要通信用车0辆、应急保障用车0辆、执法执勤用车0辆、特种专业技术用车1辆、离退休干部服务用车0辆、其他用车0辆，其他用车主要是：</w:t>
      </w:r>
      <w:r>
        <w:rPr>
          <w:rFonts w:hint="eastAsia" w:ascii="仿宋_GB2312" w:hAnsi="仿宋_GB2312" w:eastAsia="仿宋_GB2312"/>
          <w:b w:val="0"/>
          <w:sz w:val="32"/>
          <w:lang w:eastAsia="zh-CN"/>
        </w:rPr>
        <w:t>本单位</w:t>
      </w:r>
      <w:r>
        <w:rPr>
          <w:rFonts w:ascii="仿宋_GB2312" w:hAnsi="仿宋_GB2312" w:eastAsia="仿宋_GB2312"/>
          <w:b w:val="0"/>
          <w:sz w:val="32"/>
        </w:rPr>
        <w:t>无其他用车。单价100万元（含）以上设备（不含车辆）0台（套）。</w:t>
      </w:r>
    </w:p>
    <w:p w14:paraId="73736F13">
      <w:pPr>
        <w:spacing w:line="640" w:lineRule="exact"/>
        <w:ind w:firstLine="640"/>
        <w:jc w:val="both"/>
        <w:outlineLvl w:val="2"/>
      </w:pPr>
      <w:r>
        <w:rPr>
          <w:rFonts w:ascii="黑体" w:hAnsi="黑体" w:eastAsia="黑体"/>
          <w:sz w:val="32"/>
        </w:rPr>
        <w:t>十一、预算绩效的情况说明</w:t>
      </w:r>
    </w:p>
    <w:p w14:paraId="17453DF4">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341.84万元，实际执行总额341.84万元；预算绩效评价项目3个，全年预算数24.77万元，全年执行数24.77万元。预算绩效管理取得的成效：一是反映出昌吉州环境空气质量监测数据的科学性、代表性、前瞻性，全面反映木垒县环境空气质量，为打好污染防治攻坚战提供科学依据；二是对辖区排污单位对土壤、水与废水、空气和废气及噪声等环境排污行为开展执法监测、开展“千吨万人”饮用水水源地水质监测、农业面源污染源水质等生态监测，全面提高环境质量。发现的问题及原因：一是</w:t>
      </w:r>
      <w:r>
        <w:rPr>
          <w:rFonts w:hint="eastAsia" w:ascii="仿宋_GB2312" w:hAnsi="仿宋_GB2312" w:eastAsia="仿宋_GB2312"/>
          <w:b w:val="0"/>
          <w:sz w:val="32"/>
          <w:lang w:eastAsia="zh-CN"/>
        </w:rPr>
        <w:t>对</w:t>
      </w:r>
      <w:r>
        <w:rPr>
          <w:rFonts w:ascii="仿宋_GB2312" w:hAnsi="仿宋_GB2312" w:eastAsia="仿宋_GB2312"/>
          <w:b w:val="0"/>
          <w:sz w:val="32"/>
        </w:rPr>
        <w:t>绩效</w:t>
      </w:r>
      <w:r>
        <w:rPr>
          <w:rFonts w:hint="eastAsia" w:ascii="仿宋_GB2312" w:hAnsi="仿宋_GB2312" w:eastAsia="仿宋_GB2312"/>
          <w:b w:val="0"/>
          <w:sz w:val="32"/>
          <w:lang w:eastAsia="zh-CN"/>
        </w:rPr>
        <w:t>管理</w:t>
      </w:r>
      <w:r>
        <w:rPr>
          <w:rFonts w:ascii="仿宋_GB2312" w:hAnsi="仿宋_GB2312" w:eastAsia="仿宋_GB2312"/>
          <w:b w:val="0"/>
          <w:sz w:val="32"/>
        </w:rPr>
        <w:t>人员加强业务知识；二是对项目绩效小组工作</w:t>
      </w:r>
      <w:r>
        <w:rPr>
          <w:rFonts w:hint="eastAsia" w:ascii="仿宋_GB2312" w:hAnsi="仿宋_GB2312" w:eastAsia="仿宋_GB2312"/>
          <w:b w:val="0"/>
          <w:sz w:val="32"/>
          <w:lang w:eastAsia="zh-CN"/>
        </w:rPr>
        <w:t>要</w:t>
      </w:r>
      <w:r>
        <w:rPr>
          <w:rFonts w:ascii="仿宋_GB2312" w:hAnsi="仿宋_GB2312" w:eastAsia="仿宋_GB2312"/>
          <w:b w:val="0"/>
          <w:sz w:val="32"/>
        </w:rPr>
        <w:t>加强指导和重视。下一步改进措施：一是加强培训，提高相关人员工作水平采取多种培训形式对单位财务人员、业务科室人员进行集中培训，进一步树牢绩效观念，提高本单位工作人员的绩效管理能力和工作水平，为预算绩效管理相关工作的顺利开展提供保障。发生项目变动时，及时调整项目目标，保证项目完成；二是高度重视，加强领导高度重视，加强领导，精心组织。项目绩效领导小组对绩效评价工作进行指导、监督、检查，确保项目绩效评价反映项目完成真实情况。严格执行项目绩效评价工作要求，切实提高项目绩效报告的客观性和公正性。具体附整体支出绩效自评表，项目支出绩效自评表和评价报告。</w:t>
      </w:r>
    </w:p>
    <w:p w14:paraId="03310467">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0507549">
        <w:tblPrEx>
          <w:tblCellMar>
            <w:top w:w="0" w:type="dxa"/>
            <w:left w:w="108" w:type="dxa"/>
            <w:bottom w:w="0" w:type="dxa"/>
            <w:right w:w="108" w:type="dxa"/>
          </w:tblCellMar>
        </w:tblPrEx>
        <w:tc>
          <w:tcPr>
            <w:tcW w:w="8847" w:type="dxa"/>
            <w:gridSpan w:val="9"/>
            <w:vAlign w:val="center"/>
          </w:tcPr>
          <w:p w14:paraId="39B721DE">
            <w:pPr>
              <w:jc w:val="center"/>
            </w:pPr>
            <w:r>
              <w:rPr>
                <w:rFonts w:ascii="宋体" w:hAnsi="宋体" w:eastAsia="宋体"/>
                <w:sz w:val="24"/>
              </w:rPr>
              <w:t>单位整体支出绩效自评表</w:t>
            </w:r>
          </w:p>
        </w:tc>
      </w:tr>
      <w:tr w14:paraId="39784AF7">
        <w:tblPrEx>
          <w:tblCellMar>
            <w:top w:w="0" w:type="dxa"/>
            <w:left w:w="108" w:type="dxa"/>
            <w:bottom w:w="0" w:type="dxa"/>
            <w:right w:w="108" w:type="dxa"/>
          </w:tblCellMar>
        </w:tblPrEx>
        <w:tc>
          <w:tcPr>
            <w:tcW w:w="8847" w:type="dxa"/>
            <w:gridSpan w:val="9"/>
            <w:vAlign w:val="center"/>
          </w:tcPr>
          <w:p w14:paraId="7EDEA8DD">
            <w:pPr>
              <w:jc w:val="center"/>
            </w:pPr>
            <w:r>
              <w:rPr>
                <w:rFonts w:ascii="宋体" w:hAnsi="宋体" w:eastAsia="宋体"/>
                <w:sz w:val="24"/>
              </w:rPr>
              <w:t>（2024年度）</w:t>
            </w:r>
          </w:p>
        </w:tc>
      </w:tr>
      <w:tr w14:paraId="1BBBF13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2FFD39">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A6156E6">
            <w:pPr>
              <w:jc w:val="center"/>
            </w:pPr>
            <w:r>
              <w:rPr>
                <w:rFonts w:ascii="宋体" w:hAnsi="宋体" w:eastAsia="宋体"/>
                <w:sz w:val="16"/>
              </w:rPr>
              <w:t>昌吉回族自治州生态环境局木垒县分局</w:t>
            </w:r>
          </w:p>
        </w:tc>
      </w:tr>
      <w:tr w14:paraId="5A55F8A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DD3871">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B5EF2D">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E00772">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EC10A8">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5EEAEA">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726618">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EF3B15">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81D640">
            <w:pPr>
              <w:jc w:val="center"/>
            </w:pPr>
            <w:r>
              <w:rPr>
                <w:rFonts w:ascii="宋体" w:hAnsi="宋体" w:eastAsia="宋体"/>
                <w:sz w:val="16"/>
              </w:rPr>
              <w:t>得分</w:t>
            </w:r>
          </w:p>
        </w:tc>
      </w:tr>
      <w:tr w14:paraId="57A1F70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C6E9DA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CC1F4C">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E2C25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EF508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FA004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7FF7F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FD7A7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D2645C">
            <w:pPr>
              <w:jc w:val="center"/>
            </w:pPr>
            <w:r>
              <w:rPr>
                <w:rFonts w:ascii="宋体" w:hAnsi="宋体" w:eastAsia="宋体"/>
                <w:sz w:val="16"/>
              </w:rPr>
              <w:t>-</w:t>
            </w:r>
          </w:p>
        </w:tc>
      </w:tr>
      <w:tr w14:paraId="0BA2645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E4614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5050E5">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6E3A14">
            <w:pPr>
              <w:jc w:val="center"/>
            </w:pPr>
            <w:r>
              <w:rPr>
                <w:rFonts w:ascii="宋体" w:hAnsi="宋体" w:eastAsia="宋体"/>
                <w:sz w:val="16"/>
              </w:rPr>
              <w:t>86.22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8A4280">
            <w:pPr>
              <w:jc w:val="center"/>
            </w:pPr>
            <w:r>
              <w:rPr>
                <w:rFonts w:ascii="宋体" w:hAnsi="宋体" w:eastAsia="宋体"/>
                <w:sz w:val="16"/>
              </w:rPr>
              <w:t>341.84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16BD4C">
            <w:pPr>
              <w:jc w:val="center"/>
            </w:pPr>
            <w:r>
              <w:rPr>
                <w:rFonts w:ascii="宋体" w:hAnsi="宋体" w:eastAsia="宋体"/>
                <w:sz w:val="16"/>
              </w:rPr>
              <w:t>341.84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66851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D5195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F272C5">
            <w:pPr>
              <w:jc w:val="center"/>
            </w:pPr>
            <w:r>
              <w:rPr>
                <w:rFonts w:ascii="宋体" w:hAnsi="宋体" w:eastAsia="宋体"/>
                <w:sz w:val="16"/>
              </w:rPr>
              <w:t>-</w:t>
            </w:r>
          </w:p>
        </w:tc>
      </w:tr>
      <w:tr w14:paraId="3969A14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F4A1D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775B3B">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BE045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9C8A0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8C7CA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673A7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3C0DC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F4D586">
            <w:pPr>
              <w:jc w:val="center"/>
            </w:pPr>
            <w:r>
              <w:rPr>
                <w:rFonts w:ascii="宋体" w:hAnsi="宋体" w:eastAsia="宋体"/>
                <w:sz w:val="16"/>
              </w:rPr>
              <w:t>-</w:t>
            </w:r>
          </w:p>
        </w:tc>
      </w:tr>
      <w:tr w14:paraId="1282E8F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40A31C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FCBE34">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21C209">
            <w:pPr>
              <w:jc w:val="center"/>
            </w:pPr>
            <w:r>
              <w:rPr>
                <w:rFonts w:ascii="宋体" w:hAnsi="宋体" w:eastAsia="宋体"/>
                <w:sz w:val="16"/>
              </w:rPr>
              <w:t>86.22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84798E">
            <w:pPr>
              <w:jc w:val="center"/>
            </w:pPr>
            <w:r>
              <w:rPr>
                <w:rFonts w:ascii="宋体" w:hAnsi="宋体" w:eastAsia="宋体"/>
                <w:sz w:val="16"/>
              </w:rPr>
              <w:t>341.84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7E15CC">
            <w:pPr>
              <w:jc w:val="center"/>
            </w:pPr>
            <w:r>
              <w:rPr>
                <w:rFonts w:ascii="宋体" w:hAnsi="宋体" w:eastAsia="宋体"/>
                <w:sz w:val="16"/>
              </w:rPr>
              <w:t>341.84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262FB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3680E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DEBC3A">
            <w:pPr>
              <w:jc w:val="center"/>
            </w:pPr>
            <w:r>
              <w:rPr>
                <w:rFonts w:ascii="宋体" w:hAnsi="宋体" w:eastAsia="宋体"/>
                <w:sz w:val="16"/>
              </w:rPr>
              <w:t>10</w:t>
            </w:r>
          </w:p>
        </w:tc>
      </w:tr>
      <w:tr w14:paraId="26F32C9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F13DFC">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60E62D1">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F8AD7CE">
            <w:pPr>
              <w:jc w:val="center"/>
            </w:pPr>
            <w:r>
              <w:rPr>
                <w:rFonts w:ascii="宋体" w:hAnsi="宋体" w:eastAsia="宋体"/>
                <w:sz w:val="16"/>
              </w:rPr>
              <w:t>实际完成情况</w:t>
            </w:r>
          </w:p>
        </w:tc>
      </w:tr>
      <w:tr w14:paraId="14FED29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EA169C"/>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12727BB">
            <w:pPr>
              <w:jc w:val="both"/>
            </w:pPr>
            <w:r>
              <w:rPr>
                <w:rFonts w:ascii="宋体" w:hAnsi="宋体" w:eastAsia="宋体"/>
                <w:sz w:val="16"/>
              </w:rPr>
              <w:t>扎实推进扬尘污染防治、机动车污染防治，提高环境空气优良率，严格落实水源地水质、地表水水质监管要求，确保水环境质量稳定保持。</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B368DC4">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全年预算数为341.84万元，全年执行数为341.84万元，总预算执行率为100.00%。2024年</w:t>
            </w:r>
            <w:r>
              <w:rPr>
                <w:rFonts w:hint="eastAsia" w:ascii="宋体" w:hAnsi="宋体"/>
                <w:sz w:val="16"/>
                <w:lang w:eastAsia="zh-CN"/>
              </w:rPr>
              <w:t>本单位</w:t>
            </w:r>
            <w:r>
              <w:rPr>
                <w:rFonts w:ascii="宋体" w:hAnsi="宋体" w:eastAsia="宋体"/>
                <w:sz w:val="16"/>
              </w:rPr>
              <w:t>主要完成以下工作：开展水质监测2次；进行水质采样2次；</w:t>
            </w:r>
            <w:r>
              <w:rPr>
                <w:rFonts w:hint="eastAsia" w:ascii="宋体" w:hAnsi="宋体"/>
                <w:sz w:val="16"/>
                <w:lang w:eastAsia="zh-CN"/>
              </w:rPr>
              <w:t>噪声</w:t>
            </w:r>
            <w:r>
              <w:rPr>
                <w:rFonts w:ascii="宋体" w:hAnsi="宋体" w:eastAsia="宋体"/>
                <w:sz w:val="16"/>
              </w:rPr>
              <w:t>监测3次；人员资质认定90%。</w:t>
            </w:r>
          </w:p>
        </w:tc>
      </w:tr>
      <w:tr w14:paraId="19A285D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DDF3D9">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3DEA3F">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AAA2EA">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BA8269">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87A818">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86C2DF">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447544">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B99645">
            <w:pPr>
              <w:jc w:val="center"/>
            </w:pPr>
            <w:r>
              <w:rPr>
                <w:rFonts w:ascii="宋体" w:hAnsi="宋体" w:eastAsia="宋体"/>
                <w:sz w:val="16"/>
              </w:rPr>
              <w:t>得分</w:t>
            </w:r>
          </w:p>
        </w:tc>
      </w:tr>
      <w:tr w14:paraId="449BA78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B93025">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24910D">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F13BD3">
            <w:pPr>
              <w:jc w:val="center"/>
            </w:pPr>
            <w:r>
              <w:rPr>
                <w:rFonts w:ascii="宋体" w:hAnsi="宋体" w:eastAsia="宋体"/>
                <w:sz w:val="16"/>
              </w:rPr>
              <w:t>开展水质监测次数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A56DDC">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647491">
            <w:pPr>
              <w:jc w:val="center"/>
            </w:pPr>
            <w:r>
              <w:rPr>
                <w:rFonts w:ascii="宋体" w:hAnsi="宋体" w:eastAsia="宋体"/>
                <w:sz w:val="16"/>
              </w:rPr>
              <w:t>《昌吉州生态环境监测技术方案》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55D2C5">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43458B">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6F4F0E">
            <w:pPr>
              <w:jc w:val="center"/>
            </w:pPr>
            <w:r>
              <w:rPr>
                <w:rFonts w:ascii="宋体" w:hAnsi="宋体" w:eastAsia="宋体"/>
                <w:sz w:val="16"/>
              </w:rPr>
              <w:t>20</w:t>
            </w:r>
          </w:p>
        </w:tc>
      </w:tr>
      <w:tr w14:paraId="55F4BC6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7B4976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A5F78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343F04">
            <w:pPr>
              <w:jc w:val="center"/>
            </w:pPr>
            <w:r>
              <w:rPr>
                <w:rFonts w:ascii="宋体" w:hAnsi="宋体" w:eastAsia="宋体"/>
                <w:sz w:val="16"/>
              </w:rPr>
              <w:t>进行水质采样次数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0F7669">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D47FF5">
            <w:pPr>
              <w:jc w:val="center"/>
            </w:pPr>
            <w:r>
              <w:rPr>
                <w:rFonts w:ascii="宋体" w:hAnsi="宋体" w:eastAsia="宋体"/>
                <w:sz w:val="16"/>
              </w:rPr>
              <w:t>《昌吉州生态环境监测技术方案》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996EE6">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962DA8">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AAC956">
            <w:pPr>
              <w:jc w:val="center"/>
            </w:pPr>
            <w:r>
              <w:rPr>
                <w:rFonts w:ascii="宋体" w:hAnsi="宋体" w:eastAsia="宋体"/>
                <w:sz w:val="16"/>
              </w:rPr>
              <w:t>30</w:t>
            </w:r>
          </w:p>
        </w:tc>
      </w:tr>
      <w:tr w14:paraId="7B2D273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86AC2D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0B1DE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EF25F4">
            <w:pPr>
              <w:jc w:val="center"/>
            </w:pPr>
            <w:r>
              <w:rPr>
                <w:rFonts w:hint="eastAsia" w:ascii="宋体" w:hAnsi="宋体"/>
                <w:sz w:val="16"/>
                <w:lang w:eastAsia="zh-CN"/>
              </w:rPr>
              <w:t>噪声</w:t>
            </w:r>
            <w:r>
              <w:rPr>
                <w:rFonts w:ascii="宋体" w:hAnsi="宋体" w:eastAsia="宋体"/>
                <w:sz w:val="16"/>
              </w:rPr>
              <w:t>监测次数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F2B0AF">
            <w:pPr>
              <w:jc w:val="center"/>
            </w:pPr>
            <w:r>
              <w:rPr>
                <w:rFonts w:ascii="宋体" w:hAnsi="宋体" w:eastAsia="宋体"/>
                <w:sz w:val="16"/>
              </w:rPr>
              <w:t>&gt;=3次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1EB581">
            <w:pPr>
              <w:jc w:val="center"/>
            </w:pPr>
            <w:r>
              <w:rPr>
                <w:rFonts w:ascii="宋体" w:hAnsi="宋体" w:eastAsia="宋体"/>
                <w:sz w:val="16"/>
              </w:rPr>
              <w:t>《昌吉州生态环境监测技术方案》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498D02">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DDA983">
            <w:pPr>
              <w:jc w:val="center"/>
            </w:pPr>
            <w:r>
              <w:rPr>
                <w:rFonts w:ascii="宋体" w:hAnsi="宋体" w:eastAsia="宋体"/>
                <w:sz w:val="16"/>
              </w:rPr>
              <w: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558CB3">
            <w:pPr>
              <w:jc w:val="center"/>
            </w:pPr>
            <w:r>
              <w:rPr>
                <w:rFonts w:ascii="宋体" w:hAnsi="宋体" w:eastAsia="宋体"/>
                <w:sz w:val="16"/>
              </w:rPr>
              <w:t>20</w:t>
            </w:r>
          </w:p>
        </w:tc>
      </w:tr>
      <w:tr w14:paraId="600800E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D0B18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FDFBD5">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27BEAF">
            <w:pPr>
              <w:jc w:val="center"/>
            </w:pPr>
            <w:r>
              <w:rPr>
                <w:rFonts w:ascii="宋体" w:hAnsi="宋体" w:eastAsia="宋体"/>
                <w:sz w:val="16"/>
              </w:rPr>
              <w:t>人员资质认定</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99AC20">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DDAE8A">
            <w:pPr>
              <w:jc w:val="center"/>
            </w:pPr>
            <w:r>
              <w:rPr>
                <w:rFonts w:ascii="宋体" w:hAnsi="宋体" w:eastAsia="宋体"/>
                <w:sz w:val="16"/>
              </w:rPr>
              <w:t>《昌吉州生态环境监测技术方案》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413150">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8298F2">
            <w:pPr>
              <w:jc w:val="center"/>
            </w:pPr>
            <w:r>
              <w:rPr>
                <w:rFonts w:ascii="宋体" w:hAnsi="宋体" w:eastAsia="宋体"/>
                <w:sz w:val="16"/>
              </w:rPr>
              <w: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844FEB">
            <w:pPr>
              <w:jc w:val="center"/>
            </w:pPr>
            <w:r>
              <w:rPr>
                <w:rFonts w:ascii="宋体" w:hAnsi="宋体" w:eastAsia="宋体"/>
                <w:sz w:val="16"/>
              </w:rPr>
              <w:t>20</w:t>
            </w:r>
          </w:p>
        </w:tc>
      </w:tr>
    </w:tbl>
    <w:p w14:paraId="7F4C58C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02413203">
        <w:tblPrEx>
          <w:tblCellMar>
            <w:top w:w="0" w:type="dxa"/>
            <w:left w:w="108" w:type="dxa"/>
            <w:bottom w:w="0" w:type="dxa"/>
            <w:right w:w="108" w:type="dxa"/>
          </w:tblCellMar>
        </w:tblPrEx>
        <w:tc>
          <w:tcPr>
            <w:tcW w:w="8848" w:type="dxa"/>
            <w:gridSpan w:val="14"/>
            <w:vAlign w:val="center"/>
          </w:tcPr>
          <w:p w14:paraId="0678136B">
            <w:pPr>
              <w:jc w:val="center"/>
            </w:pPr>
            <w:r>
              <w:rPr>
                <w:rFonts w:ascii="宋体" w:hAnsi="宋体" w:eastAsia="宋体"/>
                <w:sz w:val="24"/>
              </w:rPr>
              <w:t>项目支出绩效自评表</w:t>
            </w:r>
          </w:p>
        </w:tc>
      </w:tr>
      <w:tr w14:paraId="598A6D2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FDE3ED0">
            <w:pPr>
              <w:jc w:val="center"/>
            </w:pPr>
            <w:r>
              <w:rPr>
                <w:rFonts w:ascii="宋体" w:hAnsi="宋体" w:eastAsia="宋体"/>
                <w:sz w:val="24"/>
              </w:rPr>
              <w:t>(2024年度)</w:t>
            </w:r>
          </w:p>
        </w:tc>
      </w:tr>
      <w:tr w14:paraId="1D75E7F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F9DA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64F784B">
            <w:pPr>
              <w:jc w:val="center"/>
            </w:pPr>
            <w:r>
              <w:rPr>
                <w:rFonts w:ascii="宋体" w:hAnsi="宋体" w:eastAsia="宋体"/>
                <w:sz w:val="16"/>
              </w:rPr>
              <w:t>木垒县水污染防治执法监测、应急监测项目</w:t>
            </w:r>
          </w:p>
        </w:tc>
      </w:tr>
      <w:tr w14:paraId="4950105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0596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42E9124">
            <w:pPr>
              <w:jc w:val="center"/>
            </w:pPr>
            <w:r>
              <w:rPr>
                <w:rFonts w:ascii="宋体" w:hAnsi="宋体" w:eastAsia="宋体"/>
                <w:sz w:val="16"/>
              </w:rPr>
              <w:t>昌吉州生态环境局木垒县分局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1C5C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8DAA9F5">
            <w:pPr>
              <w:jc w:val="center"/>
            </w:pPr>
            <w:r>
              <w:rPr>
                <w:rFonts w:ascii="宋体" w:hAnsi="宋体" w:eastAsia="宋体"/>
                <w:sz w:val="16"/>
              </w:rPr>
              <w:t>昌吉州生态环境局木垒县分局</w:t>
            </w:r>
          </w:p>
        </w:tc>
      </w:tr>
      <w:tr w14:paraId="3AA4AB7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FBF96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72248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A7DEC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AC6A6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66AAE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EAA1C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94FE0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BFFCF">
            <w:pPr>
              <w:jc w:val="center"/>
            </w:pPr>
            <w:r>
              <w:rPr>
                <w:rFonts w:ascii="宋体" w:hAnsi="宋体" w:eastAsia="宋体"/>
                <w:sz w:val="16"/>
              </w:rPr>
              <w:t>得分</w:t>
            </w:r>
          </w:p>
        </w:tc>
      </w:tr>
      <w:tr w14:paraId="459BBD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9E466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B84D3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9ACDF5">
            <w:pPr>
              <w:jc w:val="center"/>
            </w:pPr>
            <w:r>
              <w:rPr>
                <w:rFonts w:ascii="宋体" w:hAnsi="宋体" w:eastAsia="宋体"/>
                <w:sz w:val="16"/>
              </w:rPr>
              <w:t>9.77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0330DE">
            <w:pPr>
              <w:jc w:val="center"/>
            </w:pPr>
            <w:r>
              <w:rPr>
                <w:rFonts w:ascii="宋体" w:hAnsi="宋体" w:eastAsia="宋体"/>
                <w:sz w:val="16"/>
              </w:rPr>
              <w:t>9.77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ADD5A0">
            <w:pPr>
              <w:jc w:val="center"/>
            </w:pPr>
            <w:r>
              <w:rPr>
                <w:rFonts w:ascii="宋体" w:hAnsi="宋体" w:eastAsia="宋体"/>
                <w:sz w:val="16"/>
              </w:rPr>
              <w:t>9.77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273FA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74A91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CC3D9">
            <w:pPr>
              <w:jc w:val="center"/>
            </w:pPr>
            <w:r>
              <w:rPr>
                <w:rFonts w:ascii="宋体" w:hAnsi="宋体" w:eastAsia="宋体"/>
                <w:sz w:val="16"/>
              </w:rPr>
              <w:t>10.00</w:t>
            </w:r>
          </w:p>
        </w:tc>
      </w:tr>
      <w:tr w14:paraId="5C3CFE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F56C4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C0026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CD3A17">
            <w:pPr>
              <w:jc w:val="center"/>
            </w:pPr>
            <w:r>
              <w:rPr>
                <w:rFonts w:ascii="宋体" w:hAnsi="宋体" w:eastAsia="宋体"/>
                <w:sz w:val="16"/>
              </w:rPr>
              <w:t>9.77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5C3057">
            <w:pPr>
              <w:jc w:val="center"/>
            </w:pPr>
            <w:r>
              <w:rPr>
                <w:rFonts w:ascii="宋体" w:hAnsi="宋体" w:eastAsia="宋体"/>
                <w:sz w:val="16"/>
              </w:rPr>
              <w:t>9.77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EDF364">
            <w:pPr>
              <w:jc w:val="center"/>
            </w:pPr>
            <w:r>
              <w:rPr>
                <w:rFonts w:ascii="宋体" w:hAnsi="宋体" w:eastAsia="宋体"/>
                <w:sz w:val="16"/>
              </w:rPr>
              <w:t>9.77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D1FC1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BB60F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F6BBD">
            <w:pPr>
              <w:jc w:val="center"/>
            </w:pPr>
            <w:r>
              <w:rPr>
                <w:rFonts w:ascii="宋体" w:hAnsi="宋体" w:eastAsia="宋体"/>
                <w:sz w:val="16"/>
              </w:rPr>
              <w:t>—</w:t>
            </w:r>
          </w:p>
        </w:tc>
      </w:tr>
      <w:tr w14:paraId="55E954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25820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AC333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F478D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E21D0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70847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9F8D0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9A7CC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3B42D">
            <w:pPr>
              <w:jc w:val="center"/>
            </w:pPr>
            <w:r>
              <w:rPr>
                <w:rFonts w:ascii="宋体" w:hAnsi="宋体" w:eastAsia="宋体"/>
                <w:sz w:val="16"/>
              </w:rPr>
              <w:t>—</w:t>
            </w:r>
          </w:p>
        </w:tc>
      </w:tr>
      <w:tr w14:paraId="319D4BE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DDD06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4B4595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995DDE6">
            <w:pPr>
              <w:jc w:val="center"/>
            </w:pPr>
            <w:r>
              <w:rPr>
                <w:rFonts w:ascii="宋体" w:hAnsi="宋体" w:eastAsia="宋体"/>
                <w:sz w:val="16"/>
              </w:rPr>
              <w:t>实际完成情况</w:t>
            </w:r>
          </w:p>
        </w:tc>
      </w:tr>
      <w:tr w14:paraId="65F0FE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F1513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C064B17">
            <w:pPr>
              <w:jc w:val="both"/>
            </w:pPr>
            <w:r>
              <w:rPr>
                <w:rFonts w:ascii="宋体" w:hAnsi="宋体" w:eastAsia="宋体"/>
                <w:sz w:val="16"/>
              </w:rPr>
              <w:t>2024年该项目</w:t>
            </w:r>
            <w:r>
              <w:rPr>
                <w:rFonts w:hint="eastAsia" w:ascii="宋体" w:hAnsi="宋体"/>
                <w:sz w:val="16"/>
                <w:lang w:eastAsia="zh-CN"/>
              </w:rPr>
              <w:t>计划</w:t>
            </w:r>
            <w:r>
              <w:rPr>
                <w:rFonts w:ascii="宋体" w:hAnsi="宋体" w:eastAsia="宋体"/>
                <w:sz w:val="16"/>
              </w:rPr>
              <w:t>购</w:t>
            </w:r>
            <w:r>
              <w:rPr>
                <w:rFonts w:hint="eastAsia" w:ascii="宋体" w:hAnsi="宋体"/>
                <w:sz w:val="16"/>
                <w:lang w:eastAsia="zh-CN"/>
              </w:rPr>
              <w:t>买实</w:t>
            </w:r>
            <w:r>
              <w:rPr>
                <w:rFonts w:ascii="宋体" w:hAnsi="宋体" w:eastAsia="宋体"/>
                <w:sz w:val="16"/>
              </w:rPr>
              <w:t>验室设备维修及耗材4次，购买监测办公用品2次，实验室</w:t>
            </w:r>
            <w:r>
              <w:rPr>
                <w:rFonts w:hint="eastAsia" w:ascii="宋体" w:hAnsi="宋体"/>
                <w:sz w:val="16"/>
                <w:lang w:eastAsia="zh-CN"/>
              </w:rPr>
              <w:t>维修</w:t>
            </w:r>
            <w:r>
              <w:rPr>
                <w:rFonts w:ascii="宋体" w:hAnsi="宋体" w:eastAsia="宋体"/>
                <w:sz w:val="16"/>
              </w:rPr>
              <w:t>1次，购买应急监测物资2次，开展2次生态监测。生态环境监测数据准确率达到90%以上。采购验收合格率、维修维护验收合格率均达到100%。通过该项目的实施，全面提升生态环境监测站执法监测和应急监测能力，形成生态环境执法有效联动、快速响应。</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2E3066E">
            <w:pPr>
              <w:jc w:val="both"/>
            </w:pPr>
            <w:r>
              <w:rPr>
                <w:rFonts w:hint="eastAsia" w:ascii="宋体" w:hAnsi="宋体"/>
                <w:sz w:val="16"/>
                <w:lang w:eastAsia="zh-CN"/>
              </w:rPr>
              <w:t>截至</w:t>
            </w:r>
            <w:r>
              <w:rPr>
                <w:rFonts w:ascii="宋体" w:hAnsi="宋体" w:eastAsia="宋体"/>
                <w:sz w:val="16"/>
              </w:rPr>
              <w:t>2024年12月31日， 该项目实际完成100%，实验室设备维修及耗材购买次数4次，监测办公用品购买次数2次，实验室维修次数1次，应急监测物资购买次数2次，开展生态监测次数2次，生态环境监测数据准确率90%，维修维护验收合格率100%，采购验收合格率100%，执法及应急监测成本0.30万元，采购成本9.47万元，通过该项目的实施</w:t>
            </w:r>
            <w:r>
              <w:rPr>
                <w:rFonts w:hint="eastAsia" w:ascii="宋体" w:hAnsi="宋体"/>
                <w:sz w:val="16"/>
                <w:lang w:eastAsia="zh-CN"/>
              </w:rPr>
              <w:t>提升</w:t>
            </w:r>
            <w:r>
              <w:rPr>
                <w:rFonts w:ascii="宋体" w:hAnsi="宋体" w:eastAsia="宋体"/>
                <w:sz w:val="16"/>
              </w:rPr>
              <w:t>生态环境监测站执法监测和应急监测能力、促进了生态环境监测数据准确率。</w:t>
            </w:r>
            <w:r>
              <w:rPr>
                <w:rFonts w:ascii="宋体" w:hAnsi="宋体" w:eastAsia="宋体"/>
                <w:sz w:val="16"/>
              </w:rPr>
              <w:br w:type="textWrapping"/>
            </w:r>
          </w:p>
        </w:tc>
      </w:tr>
      <w:tr w14:paraId="2116E22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997E7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1869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18F0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17DE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4997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B67A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ED74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1FD3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5035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EA4F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D2AC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F949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0034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1556B">
            <w:pPr>
              <w:jc w:val="center"/>
            </w:pPr>
            <w:r>
              <w:rPr>
                <w:rFonts w:ascii="宋体" w:hAnsi="宋体" w:eastAsia="宋体"/>
                <w:sz w:val="16"/>
              </w:rPr>
              <w:t>偏差原因分析及改进措施</w:t>
            </w:r>
          </w:p>
        </w:tc>
      </w:tr>
      <w:tr w14:paraId="5974230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7E023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141DC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753AB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FDB12">
            <w:pPr>
              <w:jc w:val="center"/>
            </w:pPr>
            <w:r>
              <w:rPr>
                <w:rFonts w:ascii="宋体" w:hAnsi="宋体" w:eastAsia="宋体"/>
                <w:sz w:val="16"/>
              </w:rPr>
              <w:t>实验室设备维修及耗材购买次数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29C9F">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6B444">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3066D">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E9C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75B9F">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5E60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8024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2F4F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C4D5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4FEFF">
            <w:pPr>
              <w:jc w:val="center"/>
            </w:pPr>
          </w:p>
        </w:tc>
      </w:tr>
      <w:tr w14:paraId="27D40D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C93F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091C2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3D7F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32749">
            <w:pPr>
              <w:jc w:val="center"/>
            </w:pPr>
            <w:r>
              <w:rPr>
                <w:rFonts w:ascii="宋体" w:hAnsi="宋体" w:eastAsia="宋体"/>
                <w:sz w:val="16"/>
              </w:rPr>
              <w:t>监测办公用品购买次数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2E29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0D0D1">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4FF86">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775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64D3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DAF9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9323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1CBD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A961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1ED1C">
            <w:pPr>
              <w:jc w:val="center"/>
            </w:pPr>
          </w:p>
        </w:tc>
      </w:tr>
      <w:tr w14:paraId="4C6474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D83E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E81E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08F6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19BC4">
            <w:pPr>
              <w:jc w:val="center"/>
            </w:pPr>
            <w:r>
              <w:rPr>
                <w:rFonts w:ascii="宋体" w:hAnsi="宋体" w:eastAsia="宋体"/>
                <w:sz w:val="16"/>
              </w:rPr>
              <w:t>实验室维修次数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66AE0">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DED7D">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80568">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D3E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BD871">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1EAB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C2A0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F2E3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946D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C0A2E">
            <w:pPr>
              <w:jc w:val="center"/>
            </w:pPr>
          </w:p>
        </w:tc>
      </w:tr>
      <w:tr w14:paraId="0054D7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6DDC0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0B73B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9262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E5753">
            <w:pPr>
              <w:jc w:val="center"/>
            </w:pPr>
            <w:r>
              <w:rPr>
                <w:rFonts w:ascii="宋体" w:hAnsi="宋体" w:eastAsia="宋体"/>
                <w:sz w:val="16"/>
              </w:rPr>
              <w:t>应急监测物资购买次数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7119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874D6">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3C1E4">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75C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F14E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8029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01A5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77C8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3362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F3714">
            <w:pPr>
              <w:jc w:val="center"/>
            </w:pPr>
          </w:p>
        </w:tc>
      </w:tr>
      <w:tr w14:paraId="184486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E5C48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DD18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10D5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EE36E">
            <w:pPr>
              <w:jc w:val="center"/>
            </w:pPr>
            <w:r>
              <w:rPr>
                <w:rFonts w:ascii="宋体" w:hAnsi="宋体" w:eastAsia="宋体"/>
                <w:sz w:val="16"/>
              </w:rPr>
              <w:t>开展生态监测次数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7FFF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FC2E8">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78B7B">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C1D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4F9F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2FC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50D6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0E7C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5F61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A2BA3">
            <w:pPr>
              <w:jc w:val="center"/>
            </w:pPr>
          </w:p>
        </w:tc>
      </w:tr>
      <w:tr w14:paraId="13A154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30F7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0779D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A486B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BFC5E">
            <w:pPr>
              <w:jc w:val="center"/>
            </w:pPr>
            <w:r>
              <w:rPr>
                <w:rFonts w:ascii="宋体" w:hAnsi="宋体" w:eastAsia="宋体"/>
                <w:sz w:val="16"/>
              </w:rPr>
              <w:t>生态环境监测数据准确率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9B0F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8FFD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1296F">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358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7BA5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E533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013A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9591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7872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7939B">
            <w:pPr>
              <w:jc w:val="center"/>
            </w:pPr>
          </w:p>
        </w:tc>
      </w:tr>
      <w:tr w14:paraId="3CC522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C5DF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1F8C9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EFFA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B5E9B">
            <w:pPr>
              <w:jc w:val="center"/>
            </w:pPr>
            <w:r>
              <w:rPr>
                <w:rFonts w:ascii="宋体" w:hAnsi="宋体" w:eastAsia="宋体"/>
                <w:sz w:val="16"/>
              </w:rPr>
              <w:t>维修维护验收合格率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0AF7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3DD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85B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DB6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A92C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EE0B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A466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2E6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C519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C7B66">
            <w:pPr>
              <w:jc w:val="center"/>
            </w:pPr>
          </w:p>
        </w:tc>
      </w:tr>
      <w:tr w14:paraId="6D2C9B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ACF01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F9C3A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5C88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7532A">
            <w:pPr>
              <w:jc w:val="center"/>
            </w:pPr>
            <w:r>
              <w:rPr>
                <w:rFonts w:ascii="宋体" w:hAnsi="宋体" w:eastAsia="宋体"/>
                <w:sz w:val="16"/>
              </w:rPr>
              <w:t>采购验收合格率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0A509">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7C4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8A0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F4E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B0B3D">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D958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7A0B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3828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2A07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C24A6">
            <w:pPr>
              <w:jc w:val="center"/>
            </w:pPr>
          </w:p>
        </w:tc>
      </w:tr>
      <w:tr w14:paraId="3BF015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F3F1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C9068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3A9D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AE5EE">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43AB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8F53F">
            <w:pPr>
              <w:jc w:val="center"/>
            </w:pPr>
            <w:r>
              <w:rPr>
                <w:rFonts w:ascii="宋体" w:hAnsi="宋体" w:eastAsia="宋体"/>
                <w:sz w:val="16"/>
              </w:rPr>
              <w:t>2025年6月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1BB41">
            <w:pPr>
              <w:jc w:val="center"/>
            </w:pPr>
            <w:r>
              <w:rPr>
                <w:rFonts w:ascii="宋体" w:hAnsi="宋体" w:eastAsia="宋体"/>
                <w:sz w:val="16"/>
              </w:rPr>
              <w:t>2024年12月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BC1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11FC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BBD3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C6FB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190E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FC9E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27448">
            <w:pPr>
              <w:jc w:val="center"/>
            </w:pPr>
          </w:p>
        </w:tc>
      </w:tr>
      <w:tr w14:paraId="6C0F12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2A356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8BF06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A8710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0B135">
            <w:pPr>
              <w:jc w:val="center"/>
            </w:pPr>
            <w:r>
              <w:rPr>
                <w:rFonts w:ascii="宋体" w:hAnsi="宋体" w:eastAsia="宋体"/>
                <w:sz w:val="16"/>
              </w:rPr>
              <w:t>执法及应急监测成本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3F7CF">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71E4A">
            <w:pPr>
              <w:jc w:val="center"/>
            </w:pPr>
            <w:r>
              <w:rPr>
                <w:rFonts w:ascii="宋体" w:hAnsi="宋体" w:eastAsia="宋体"/>
                <w:sz w:val="16"/>
              </w:rPr>
              <w:t>&lt;=0.30万元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17C43">
            <w:pPr>
              <w:jc w:val="center"/>
            </w:pPr>
            <w:r>
              <w:rPr>
                <w:rFonts w:ascii="宋体" w:hAnsi="宋体" w:eastAsia="宋体"/>
                <w:sz w:val="16"/>
              </w:rPr>
              <w:t>=0.3万元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C41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F4736">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5E92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8C0A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30D8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7777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ABAF9">
            <w:pPr>
              <w:jc w:val="center"/>
            </w:pPr>
          </w:p>
        </w:tc>
      </w:tr>
      <w:tr w14:paraId="22D114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812C2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65EAD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4627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0F9B1">
            <w:pPr>
              <w:jc w:val="center"/>
            </w:pPr>
            <w:r>
              <w:rPr>
                <w:rFonts w:ascii="宋体" w:hAnsi="宋体" w:eastAsia="宋体"/>
                <w:sz w:val="16"/>
              </w:rPr>
              <w:t>采购成本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7CB0E">
            <w:pPr>
              <w:jc w:val="center"/>
            </w:pPr>
            <w:r>
              <w:rPr>
                <w:rFonts w:ascii="宋体" w:hAnsi="宋体" w:eastAsia="宋体"/>
                <w:sz w:val="16"/>
              </w:rPr>
              <w:t>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F1E1E">
            <w:pPr>
              <w:jc w:val="center"/>
            </w:pPr>
            <w:r>
              <w:rPr>
                <w:rFonts w:ascii="宋体" w:hAnsi="宋体" w:eastAsia="宋体"/>
                <w:sz w:val="16"/>
              </w:rPr>
              <w:t>&lt;=9.47万元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AE2B5">
            <w:pPr>
              <w:jc w:val="center"/>
            </w:pPr>
            <w:r>
              <w:rPr>
                <w:rFonts w:ascii="宋体" w:hAnsi="宋体" w:eastAsia="宋体"/>
                <w:sz w:val="16"/>
              </w:rPr>
              <w:t>=9.47万元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7BF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84011">
            <w:pPr>
              <w:jc w:val="center"/>
            </w:pPr>
            <w:r>
              <w:rPr>
                <w:rFonts w:ascii="宋体" w:hAnsi="宋体" w:eastAsia="宋体"/>
                <w:sz w:val="16"/>
              </w:rPr>
              <w:t>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3A65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3BEA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902C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4E2A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5300C">
            <w:pPr>
              <w:jc w:val="center"/>
            </w:pPr>
          </w:p>
        </w:tc>
      </w:tr>
      <w:tr w14:paraId="285191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EA5E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F5C9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1E2F1">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D6646">
            <w:pPr>
              <w:jc w:val="center"/>
            </w:pPr>
            <w:r>
              <w:rPr>
                <w:rFonts w:ascii="宋体" w:hAnsi="宋体" w:eastAsia="宋体"/>
                <w:sz w:val="16"/>
              </w:rPr>
              <w:t>提升生态环境监测站执法监测和应急监测能力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ACD58">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E5395">
            <w:pPr>
              <w:jc w:val="center"/>
            </w:pPr>
            <w:r>
              <w:rPr>
                <w:rFonts w:ascii="宋体" w:hAnsi="宋体" w:eastAsia="宋体"/>
                <w:sz w:val="16"/>
              </w:rPr>
              <w:t>显著提升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CF3FA">
            <w:pPr>
              <w:jc w:val="center"/>
            </w:pPr>
            <w:r>
              <w:rPr>
                <w:rFonts w:ascii="宋体" w:hAnsi="宋体" w:eastAsia="宋体"/>
                <w:sz w:val="16"/>
              </w:rPr>
              <w:t>显著提升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EF8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5159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0C7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A0CF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658E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5542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7FF1C">
            <w:pPr>
              <w:jc w:val="center"/>
            </w:pPr>
          </w:p>
        </w:tc>
      </w:tr>
      <w:tr w14:paraId="580EC25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4285EF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779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E3E12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922DF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0266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C1B0C">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66B9F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5165E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B3321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47414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3339A6"/>
        </w:tc>
      </w:tr>
    </w:tbl>
    <w:p w14:paraId="16C0F60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632"/>
        <w:gridCol w:w="632"/>
      </w:tblGrid>
      <w:tr w14:paraId="2F864559">
        <w:tblPrEx>
          <w:tblCellMar>
            <w:top w:w="0" w:type="dxa"/>
            <w:left w:w="108" w:type="dxa"/>
            <w:bottom w:w="0" w:type="dxa"/>
            <w:right w:w="108" w:type="dxa"/>
          </w:tblCellMar>
        </w:tblPrEx>
        <w:tc>
          <w:tcPr>
            <w:tcW w:w="8848" w:type="dxa"/>
            <w:gridSpan w:val="14"/>
            <w:vAlign w:val="center"/>
          </w:tcPr>
          <w:p w14:paraId="206F8A39">
            <w:pPr>
              <w:jc w:val="center"/>
            </w:pPr>
            <w:r>
              <w:rPr>
                <w:rFonts w:ascii="宋体" w:hAnsi="宋体" w:eastAsia="宋体"/>
                <w:sz w:val="24"/>
              </w:rPr>
              <w:t>项目支出绩效自评表</w:t>
            </w:r>
          </w:p>
        </w:tc>
      </w:tr>
      <w:tr w14:paraId="439E62E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CB1F105">
            <w:pPr>
              <w:jc w:val="center"/>
            </w:pPr>
            <w:r>
              <w:rPr>
                <w:rFonts w:ascii="宋体" w:hAnsi="宋体" w:eastAsia="宋体"/>
                <w:sz w:val="24"/>
              </w:rPr>
              <w:t>(2024年度)</w:t>
            </w:r>
          </w:p>
        </w:tc>
      </w:tr>
      <w:tr w14:paraId="6B18225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8775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339F8DB">
            <w:pPr>
              <w:jc w:val="center"/>
            </w:pPr>
            <w:r>
              <w:rPr>
                <w:rFonts w:ascii="宋体" w:hAnsi="宋体" w:eastAsia="宋体"/>
                <w:sz w:val="16"/>
              </w:rPr>
              <w:t>木垒县生态环境质量农村千吨万人饮水委托监测项目</w:t>
            </w:r>
          </w:p>
        </w:tc>
      </w:tr>
      <w:tr w14:paraId="6339009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E1DA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01F0A77">
            <w:pPr>
              <w:jc w:val="center"/>
            </w:pPr>
            <w:r>
              <w:rPr>
                <w:rFonts w:ascii="宋体" w:hAnsi="宋体" w:eastAsia="宋体"/>
                <w:sz w:val="16"/>
              </w:rPr>
              <w:t>昌吉州生态环境局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8470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3145DFF">
            <w:pPr>
              <w:jc w:val="center"/>
            </w:pPr>
            <w:r>
              <w:rPr>
                <w:rFonts w:ascii="宋体" w:hAnsi="宋体" w:eastAsia="宋体"/>
                <w:sz w:val="16"/>
              </w:rPr>
              <w:t>昌吉州生态环境局木垒县分局</w:t>
            </w:r>
          </w:p>
        </w:tc>
      </w:tr>
      <w:tr w14:paraId="6566CDE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80EC4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43A65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CE3F4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34398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D7012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6EB23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292CE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AD394">
            <w:pPr>
              <w:jc w:val="center"/>
            </w:pPr>
            <w:r>
              <w:rPr>
                <w:rFonts w:ascii="宋体" w:hAnsi="宋体" w:eastAsia="宋体"/>
                <w:sz w:val="16"/>
              </w:rPr>
              <w:t>得分</w:t>
            </w:r>
          </w:p>
        </w:tc>
      </w:tr>
      <w:tr w14:paraId="307F2A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60699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FD4A4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E2164C">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542005">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DAB25A">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F1198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D5D87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8066F">
            <w:pPr>
              <w:jc w:val="center"/>
            </w:pPr>
            <w:r>
              <w:rPr>
                <w:rFonts w:ascii="宋体" w:hAnsi="宋体" w:eastAsia="宋体"/>
                <w:sz w:val="16"/>
              </w:rPr>
              <w:t>10.00</w:t>
            </w:r>
          </w:p>
        </w:tc>
      </w:tr>
      <w:tr w14:paraId="5A975F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76D19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D0E53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44DDD1">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44E363">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CC37A9">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2FA10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3199B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D6037">
            <w:pPr>
              <w:jc w:val="center"/>
            </w:pPr>
            <w:r>
              <w:rPr>
                <w:rFonts w:ascii="宋体" w:hAnsi="宋体" w:eastAsia="宋体"/>
                <w:sz w:val="16"/>
              </w:rPr>
              <w:t>—</w:t>
            </w:r>
          </w:p>
        </w:tc>
      </w:tr>
      <w:tr w14:paraId="50BA89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64B7F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24890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10F40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C0B8C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AA6B4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B65FB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21C35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2EB2F">
            <w:pPr>
              <w:jc w:val="center"/>
            </w:pPr>
            <w:r>
              <w:rPr>
                <w:rFonts w:ascii="宋体" w:hAnsi="宋体" w:eastAsia="宋体"/>
                <w:sz w:val="16"/>
              </w:rPr>
              <w:t>—</w:t>
            </w:r>
          </w:p>
        </w:tc>
      </w:tr>
      <w:tr w14:paraId="575A769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DA724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6B7CD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994B880">
            <w:pPr>
              <w:jc w:val="center"/>
            </w:pPr>
            <w:r>
              <w:rPr>
                <w:rFonts w:ascii="宋体" w:hAnsi="宋体" w:eastAsia="宋体"/>
                <w:sz w:val="16"/>
              </w:rPr>
              <w:t>实际完成情况</w:t>
            </w:r>
          </w:p>
        </w:tc>
      </w:tr>
      <w:tr w14:paraId="167626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A49D9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6B90FF">
            <w:pPr>
              <w:jc w:val="both"/>
            </w:pPr>
            <w:r>
              <w:rPr>
                <w:rFonts w:ascii="宋体" w:hAnsi="宋体" w:eastAsia="宋体"/>
                <w:sz w:val="16"/>
              </w:rPr>
              <w:t>2024年该项目计划开展县域河流出、入境断面，湖库、农业面源断面监测4次、5个农村千吨万人水源地水质监测4次、农田灌溉水质监测2次、农村污水处理站开展水质监测2次。通过项目实施，有效提升执法监测人员业务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B283273">
            <w:pPr>
              <w:jc w:val="both"/>
            </w:pPr>
            <w:r>
              <w:rPr>
                <w:rFonts w:hint="eastAsia" w:ascii="宋体" w:hAnsi="宋体"/>
                <w:sz w:val="16"/>
                <w:lang w:eastAsia="zh-CN"/>
              </w:rPr>
              <w:t>截至</w:t>
            </w:r>
            <w:r>
              <w:rPr>
                <w:rFonts w:ascii="宋体" w:hAnsi="宋体" w:eastAsia="宋体"/>
                <w:sz w:val="16"/>
              </w:rPr>
              <w:t>2024年12月31日， 该项目实际完成100%，县域河流出、入境断面，湖库、农业面源断面监测次数4次，5个农村千吨万人水源地水质监测4次，农村污水处理站开展水质监测2次，生态环境监测数据准确率为100%，通过该项目的实施</w:t>
            </w:r>
            <w:r>
              <w:rPr>
                <w:rFonts w:hint="eastAsia" w:ascii="宋体" w:hAnsi="宋体"/>
                <w:sz w:val="16"/>
                <w:lang w:eastAsia="zh-CN"/>
              </w:rPr>
              <w:t>提升</w:t>
            </w:r>
            <w:r>
              <w:rPr>
                <w:rFonts w:ascii="宋体" w:hAnsi="宋体" w:eastAsia="宋体"/>
                <w:sz w:val="16"/>
              </w:rPr>
              <w:t>生态环境监测站执法监测和应急监测能力、促进了生态环境监测数据准确率。</w:t>
            </w:r>
          </w:p>
        </w:tc>
      </w:tr>
      <w:tr w14:paraId="3777E63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A4CFD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0FF2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9089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0930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6080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16A8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DBBB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99C2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C342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D614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9B73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49B1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B517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3049E">
            <w:pPr>
              <w:jc w:val="center"/>
            </w:pPr>
            <w:r>
              <w:rPr>
                <w:rFonts w:ascii="宋体" w:hAnsi="宋体" w:eastAsia="宋体"/>
                <w:sz w:val="16"/>
              </w:rPr>
              <w:t>偏差原因分析及改进措施</w:t>
            </w:r>
          </w:p>
        </w:tc>
      </w:tr>
      <w:tr w14:paraId="02AA872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EFC59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F8E77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4924E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F00CB">
            <w:pPr>
              <w:jc w:val="center"/>
            </w:pPr>
            <w:r>
              <w:rPr>
                <w:rFonts w:ascii="宋体" w:hAnsi="宋体" w:eastAsia="宋体"/>
                <w:sz w:val="16"/>
              </w:rPr>
              <w:t>县域河流出、入境断面，湖库、农业面源断面监测次数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9925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5EF1E">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335E1">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554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570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4A9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E1C0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1D5E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1EFD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CD369">
            <w:pPr>
              <w:jc w:val="center"/>
            </w:pPr>
          </w:p>
        </w:tc>
      </w:tr>
      <w:tr w14:paraId="1BA5A6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13AD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3E56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ECCBC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261FB">
            <w:pPr>
              <w:jc w:val="center"/>
            </w:pPr>
            <w:r>
              <w:rPr>
                <w:rFonts w:ascii="宋体" w:hAnsi="宋体" w:eastAsia="宋体"/>
                <w:sz w:val="16"/>
              </w:rPr>
              <w:t>5个农村千吨万人水源地水质监测次数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845B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9BC54">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79B60">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18F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C868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6407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1624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EF2B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B8E0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6AC0A">
            <w:pPr>
              <w:jc w:val="center"/>
            </w:pPr>
          </w:p>
        </w:tc>
      </w:tr>
      <w:tr w14:paraId="73DFD8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B581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BC9D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F5320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7F352">
            <w:pPr>
              <w:jc w:val="center"/>
            </w:pPr>
            <w:r>
              <w:rPr>
                <w:rFonts w:ascii="宋体" w:hAnsi="宋体" w:eastAsia="宋体"/>
                <w:sz w:val="16"/>
              </w:rPr>
              <w:t>农田灌溉水质监测次数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11B7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01A2C">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3CEAF">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398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E02D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9F57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2200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A3DE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3A0D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08C5F">
            <w:pPr>
              <w:jc w:val="center"/>
            </w:pPr>
          </w:p>
        </w:tc>
      </w:tr>
      <w:tr w14:paraId="45B9DA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ECE4A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A02A6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0AA33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8B7A2">
            <w:pPr>
              <w:jc w:val="center"/>
            </w:pPr>
            <w:r>
              <w:rPr>
                <w:rFonts w:ascii="宋体" w:hAnsi="宋体" w:eastAsia="宋体"/>
                <w:sz w:val="16"/>
              </w:rPr>
              <w:t>农村污水处理站开展水质监测次数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4CE0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C88BA">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D7B3E">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663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FF92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52E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8E29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5C4E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D28A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31B37">
            <w:pPr>
              <w:jc w:val="center"/>
            </w:pPr>
          </w:p>
        </w:tc>
      </w:tr>
      <w:tr w14:paraId="45A6B1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CCA1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DA1A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4219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378B8">
            <w:pPr>
              <w:jc w:val="center"/>
            </w:pPr>
            <w:r>
              <w:rPr>
                <w:rFonts w:ascii="宋体" w:hAnsi="宋体" w:eastAsia="宋体"/>
                <w:sz w:val="16"/>
              </w:rPr>
              <w:t>生态环境监测数据准确率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31D2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ADB2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F97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747EE">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727AF">
            <w:pPr>
              <w:jc w:val="center"/>
            </w:pPr>
            <w:r>
              <w:rPr>
                <w:rFonts w:ascii="宋体" w:hAnsi="宋体" w:eastAsia="宋体"/>
                <w:sz w:val="16"/>
              </w:rPr>
              <w:t>4.44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CDE2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7558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CD16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0020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B592E">
            <w:pPr>
              <w:jc w:val="center"/>
            </w:pPr>
            <w:r>
              <w:rPr>
                <w:rFonts w:ascii="宋体" w:hAnsi="宋体" w:eastAsia="宋体"/>
                <w:sz w:val="16"/>
              </w:rPr>
              <w:t>年初目标值设立过低，年终完成率较好，故形成偏差。</w:t>
            </w:r>
          </w:p>
        </w:tc>
      </w:tr>
      <w:tr w14:paraId="2057EE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D6B8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3D93E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DA1E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BC2F6">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B41A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BCCCF">
            <w:pPr>
              <w:jc w:val="center"/>
            </w:pPr>
            <w:r>
              <w:rPr>
                <w:rFonts w:ascii="宋体" w:hAnsi="宋体" w:eastAsia="宋体"/>
                <w:sz w:val="16"/>
              </w:rPr>
              <w:t>2024年12月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2DD77">
            <w:pPr>
              <w:jc w:val="center"/>
            </w:pPr>
            <w:r>
              <w:rPr>
                <w:rFonts w:ascii="宋体" w:hAnsi="宋体" w:eastAsia="宋体"/>
                <w:sz w:val="16"/>
              </w:rPr>
              <w:t>=2024年12月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EC1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B935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CFC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57FC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B9229">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A650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3F60F">
            <w:pPr>
              <w:jc w:val="center"/>
            </w:pPr>
          </w:p>
        </w:tc>
      </w:tr>
      <w:tr w14:paraId="7AA460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9BA1A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F115F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6DFFE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F5E8A">
            <w:pPr>
              <w:jc w:val="center"/>
            </w:pPr>
            <w:r>
              <w:rPr>
                <w:rFonts w:ascii="宋体" w:hAnsi="宋体" w:eastAsia="宋体"/>
                <w:sz w:val="16"/>
              </w:rPr>
              <w:t>生态环境监测成本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74CC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9C45C">
            <w:pPr>
              <w:jc w:val="center"/>
            </w:pPr>
            <w:r>
              <w:rPr>
                <w:rFonts w:ascii="宋体" w:hAnsi="宋体" w:eastAsia="宋体"/>
                <w:sz w:val="16"/>
              </w:rPr>
              <w:t>&lt;=8万元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8FD6F">
            <w:pPr>
              <w:jc w:val="center"/>
            </w:pPr>
            <w:r>
              <w:rPr>
                <w:rFonts w:ascii="宋体" w:hAnsi="宋体" w:eastAsia="宋体"/>
                <w:sz w:val="16"/>
              </w:rPr>
              <w: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CCB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C384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B9BD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E8F9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061C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8861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9B9B5">
            <w:pPr>
              <w:jc w:val="center"/>
            </w:pPr>
          </w:p>
        </w:tc>
      </w:tr>
      <w:tr w14:paraId="1A83AC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F0F61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C0DBF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931B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082BE">
            <w:pPr>
              <w:jc w:val="center"/>
            </w:pPr>
            <w:r>
              <w:rPr>
                <w:rFonts w:ascii="宋体" w:hAnsi="宋体" w:eastAsia="宋体"/>
                <w:sz w:val="16"/>
              </w:rPr>
              <w:t>项目预算控制率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37E0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96053">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CFF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35E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40A4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DAD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5CF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9610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6E3D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C101C">
            <w:pPr>
              <w:jc w:val="center"/>
            </w:pPr>
          </w:p>
        </w:tc>
      </w:tr>
      <w:tr w14:paraId="2D13DB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A909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46B9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73F0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49768">
            <w:pPr>
              <w:jc w:val="center"/>
            </w:pPr>
            <w:r>
              <w:rPr>
                <w:rFonts w:ascii="宋体" w:hAnsi="宋体" w:eastAsia="宋体"/>
                <w:sz w:val="16"/>
              </w:rPr>
              <w:t>提升执法监测人员业务能力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EC22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D3F6D">
            <w:pPr>
              <w:jc w:val="center"/>
            </w:pPr>
            <w:r>
              <w:rPr>
                <w:rFonts w:ascii="宋体" w:hAnsi="宋体" w:eastAsia="宋体"/>
                <w:sz w:val="16"/>
              </w:rPr>
              <w:t>显著提升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1345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98A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BC214">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8FB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886F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2F2B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3CC8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58F31">
            <w:pPr>
              <w:jc w:val="center"/>
            </w:pPr>
          </w:p>
        </w:tc>
      </w:tr>
      <w:tr w14:paraId="114B751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5F9D31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2CD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9972D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22C14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0C25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E9F2D">
            <w:pPr>
              <w:jc w:val="center"/>
            </w:pPr>
            <w:r>
              <w:rPr>
                <w:rFonts w:ascii="宋体" w:hAnsi="宋体" w:eastAsia="宋体"/>
                <w:sz w:val="16"/>
              </w:rPr>
              <w:t>99.44分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A8013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A8B0B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847BE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FE246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662059"/>
        </w:tc>
      </w:tr>
    </w:tbl>
    <w:p w14:paraId="7B49E91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632"/>
        <w:gridCol w:w="632"/>
      </w:tblGrid>
      <w:tr w14:paraId="40F4B512">
        <w:tblPrEx>
          <w:tblCellMar>
            <w:top w:w="0" w:type="dxa"/>
            <w:left w:w="108" w:type="dxa"/>
            <w:bottom w:w="0" w:type="dxa"/>
            <w:right w:w="108" w:type="dxa"/>
          </w:tblCellMar>
        </w:tblPrEx>
        <w:tc>
          <w:tcPr>
            <w:tcW w:w="8848" w:type="dxa"/>
            <w:gridSpan w:val="14"/>
            <w:vAlign w:val="center"/>
          </w:tcPr>
          <w:p w14:paraId="142D8C2C">
            <w:pPr>
              <w:jc w:val="center"/>
            </w:pPr>
            <w:r>
              <w:rPr>
                <w:rFonts w:ascii="宋体" w:hAnsi="宋体" w:eastAsia="宋体"/>
                <w:sz w:val="24"/>
              </w:rPr>
              <w:t>项目支出绩效自评表</w:t>
            </w:r>
          </w:p>
        </w:tc>
      </w:tr>
      <w:tr w14:paraId="05EFCED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9C0F95A">
            <w:pPr>
              <w:jc w:val="center"/>
            </w:pPr>
            <w:r>
              <w:rPr>
                <w:rFonts w:ascii="宋体" w:hAnsi="宋体" w:eastAsia="宋体"/>
                <w:sz w:val="24"/>
              </w:rPr>
              <w:t>(2024年度)</w:t>
            </w:r>
          </w:p>
        </w:tc>
      </w:tr>
      <w:tr w14:paraId="3E166EF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3E37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52429EE">
            <w:pPr>
              <w:jc w:val="center"/>
            </w:pPr>
            <w:r>
              <w:rPr>
                <w:rFonts w:ascii="宋体" w:hAnsi="宋体" w:eastAsia="宋体"/>
                <w:sz w:val="16"/>
              </w:rPr>
              <w:t>环境监测运转费</w:t>
            </w:r>
          </w:p>
        </w:tc>
      </w:tr>
      <w:tr w14:paraId="24E3DF8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3A8A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8523ADE">
            <w:pPr>
              <w:jc w:val="center"/>
            </w:pPr>
            <w:r>
              <w:rPr>
                <w:rFonts w:ascii="宋体" w:hAnsi="宋体" w:eastAsia="宋体"/>
                <w:sz w:val="16"/>
              </w:rPr>
              <w:t>昌吉州生态环境局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9D7D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522EE84">
            <w:pPr>
              <w:jc w:val="center"/>
            </w:pPr>
            <w:r>
              <w:rPr>
                <w:rFonts w:ascii="宋体" w:hAnsi="宋体" w:eastAsia="宋体"/>
                <w:sz w:val="16"/>
              </w:rPr>
              <w:t>昌吉州生态环境局木垒县分局</w:t>
            </w:r>
          </w:p>
        </w:tc>
      </w:tr>
      <w:tr w14:paraId="40F8951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C5422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D188F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9F418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3C159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957E8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9AB45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E39CF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A9EC2">
            <w:pPr>
              <w:jc w:val="center"/>
            </w:pPr>
            <w:r>
              <w:rPr>
                <w:rFonts w:ascii="宋体" w:hAnsi="宋体" w:eastAsia="宋体"/>
                <w:sz w:val="16"/>
              </w:rPr>
              <w:t>得分</w:t>
            </w:r>
          </w:p>
        </w:tc>
      </w:tr>
      <w:tr w14:paraId="6161D5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8FB2F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B7D1B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06CA81">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FC68B6">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5EE0C6">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2AD28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9C04D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A775F">
            <w:pPr>
              <w:jc w:val="center"/>
            </w:pPr>
            <w:r>
              <w:rPr>
                <w:rFonts w:ascii="宋体" w:hAnsi="宋体" w:eastAsia="宋体"/>
                <w:sz w:val="16"/>
              </w:rPr>
              <w:t>10.00</w:t>
            </w:r>
          </w:p>
        </w:tc>
      </w:tr>
      <w:tr w14:paraId="1F6731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4762A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6D21D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08DB8F">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0C6282">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D8483B">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C0A82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3320A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A2611">
            <w:pPr>
              <w:jc w:val="center"/>
            </w:pPr>
            <w:r>
              <w:rPr>
                <w:rFonts w:ascii="宋体" w:hAnsi="宋体" w:eastAsia="宋体"/>
                <w:sz w:val="16"/>
              </w:rPr>
              <w:t>—</w:t>
            </w:r>
          </w:p>
        </w:tc>
      </w:tr>
      <w:tr w14:paraId="1758CD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D40CD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E5F50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F85E3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4B7CF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1CB8C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EEF8A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90E17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94574">
            <w:pPr>
              <w:jc w:val="center"/>
            </w:pPr>
            <w:r>
              <w:rPr>
                <w:rFonts w:ascii="宋体" w:hAnsi="宋体" w:eastAsia="宋体"/>
                <w:sz w:val="16"/>
              </w:rPr>
              <w:t>—</w:t>
            </w:r>
          </w:p>
        </w:tc>
      </w:tr>
      <w:tr w14:paraId="67BB5B8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FB9F0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F080C2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EE1EF34">
            <w:pPr>
              <w:jc w:val="center"/>
            </w:pPr>
            <w:r>
              <w:rPr>
                <w:rFonts w:ascii="宋体" w:hAnsi="宋体" w:eastAsia="宋体"/>
                <w:sz w:val="16"/>
              </w:rPr>
              <w:t>实际完成情况</w:t>
            </w:r>
          </w:p>
        </w:tc>
      </w:tr>
      <w:tr w14:paraId="23A358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23AEA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5410440">
            <w:pPr>
              <w:jc w:val="both"/>
            </w:pPr>
            <w:r>
              <w:rPr>
                <w:rFonts w:ascii="宋体" w:hAnsi="宋体" w:eastAsia="宋体"/>
                <w:sz w:val="16"/>
              </w:rPr>
              <w:t xml:space="preserve">1.确保工作高效运转包括站内日常办公费1.2万元；                                            </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2.保障监测站正常运行，包括监测实验用电费1</w:t>
            </w:r>
            <w:r>
              <w:rPr>
                <w:rFonts w:hint="eastAsia" w:ascii="宋体" w:hAnsi="宋体"/>
                <w:sz w:val="16"/>
                <w:lang w:eastAsia="zh-CN"/>
              </w:rPr>
              <w:t>万元</w:t>
            </w:r>
            <w:r>
              <w:rPr>
                <w:rFonts w:ascii="宋体" w:hAnsi="宋体" w:eastAsia="宋体"/>
                <w:sz w:val="16"/>
              </w:rPr>
              <w:t xml:space="preserve">、采暖费1.7万元；                                         </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 xml:space="preserve">3.人员差旅费1.6万元；                                  </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 xml:space="preserve">4.后勤保障（维修维护）费1.3万元；                    </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5.其他交通费0.2万元。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BE07101">
            <w:pPr>
              <w:jc w:val="both"/>
            </w:pPr>
            <w:r>
              <w:rPr>
                <w:rFonts w:hint="eastAsia" w:ascii="宋体" w:hAnsi="宋体"/>
                <w:sz w:val="16"/>
                <w:lang w:eastAsia="zh-CN"/>
              </w:rPr>
              <w:t>截至</w:t>
            </w:r>
            <w:r>
              <w:rPr>
                <w:rFonts w:ascii="宋体" w:hAnsi="宋体" w:eastAsia="宋体"/>
                <w:sz w:val="16"/>
              </w:rPr>
              <w:t>2024年12月31日，  该项目实际完成100%，监测站人员数4人，购置实验室购买仪器数量20件，项目进度完成及设备设施有效率90%，实验室及办公室正常运转4.1万元，站内人员差费1.6万元，后勤保障1.3万元，</w:t>
            </w:r>
            <w:r>
              <w:rPr>
                <w:rFonts w:ascii="宋体" w:hAnsi="宋体" w:eastAsia="宋体"/>
                <w:sz w:val="16"/>
              </w:rPr>
              <w:tab/>
            </w:r>
            <w:r>
              <w:rPr>
                <w:rFonts w:ascii="宋体" w:hAnsi="宋体" w:eastAsia="宋体"/>
                <w:sz w:val="16"/>
              </w:rPr>
              <w:t>群众满意度95%，通过该项目的实施提升了站内人员的技术、促进了实验室及办公室正常运转，站内人员技术提升100%。</w:t>
            </w:r>
          </w:p>
        </w:tc>
      </w:tr>
      <w:tr w14:paraId="4A542BD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4147F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8148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F5AA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9E7C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50CE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FB0C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3F31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E42D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0FA1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B9D1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BE2B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1FDE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FBB8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9326D">
            <w:pPr>
              <w:jc w:val="center"/>
            </w:pPr>
            <w:r>
              <w:rPr>
                <w:rFonts w:ascii="宋体" w:hAnsi="宋体" w:eastAsia="宋体"/>
                <w:sz w:val="16"/>
              </w:rPr>
              <w:t>偏差原因分析及改进措施</w:t>
            </w:r>
          </w:p>
        </w:tc>
      </w:tr>
      <w:tr w14:paraId="7D0B24A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F03C1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5FD12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BAE24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80907">
            <w:pPr>
              <w:jc w:val="center"/>
            </w:pPr>
            <w:r>
              <w:rPr>
                <w:rFonts w:ascii="宋体" w:hAnsi="宋体" w:eastAsia="宋体"/>
                <w:sz w:val="16"/>
              </w:rPr>
              <w:t>监测站人员数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338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4361E">
            <w:pPr>
              <w:jc w:val="center"/>
            </w:pPr>
            <w:r>
              <w:rPr>
                <w:rFonts w:ascii="宋体" w:hAnsi="宋体" w:eastAsia="宋体"/>
                <w:sz w:val="16"/>
              </w:rPr>
              <w:t>=4人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4E7D9">
            <w:pPr>
              <w:jc w:val="center"/>
            </w:pPr>
            <w:r>
              <w:rPr>
                <w:rFonts w:ascii="宋体" w:hAnsi="宋体" w:eastAsia="宋体"/>
                <w:sz w:val="16"/>
              </w:rPr>
              <w:t>=4人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C043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5B22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4CA2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74CCA">
            <w:pPr>
              <w:jc w:val="center"/>
            </w:pPr>
            <w:r>
              <w:rPr>
                <w:rFonts w:ascii="宋体" w:hAnsi="宋体" w:eastAsia="宋体"/>
                <w:sz w:val="16"/>
              </w:rPr>
              <w:t>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A697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0B239">
            <w:pPr>
              <w:jc w:val="center"/>
            </w:pPr>
            <w:r>
              <w:rPr>
                <w:rFonts w:ascii="宋体" w:hAnsi="宋体" w:eastAsia="宋体"/>
                <w:sz w:val="16"/>
              </w:rPr>
              <w:t>工作资料,正式材料,原始凭证,说明材料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9AABD">
            <w:pPr>
              <w:jc w:val="center"/>
            </w:pPr>
          </w:p>
        </w:tc>
      </w:tr>
      <w:tr w14:paraId="0B7FE9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30C3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1B40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E8DC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4D58D">
            <w:pPr>
              <w:jc w:val="center"/>
            </w:pPr>
            <w:r>
              <w:rPr>
                <w:rFonts w:ascii="宋体" w:hAnsi="宋体" w:eastAsia="宋体"/>
                <w:sz w:val="16"/>
              </w:rPr>
              <w:t>实验室购买仪器数量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BAE9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6AD14">
            <w:pPr>
              <w:jc w:val="center"/>
            </w:pPr>
            <w:r>
              <w:rPr>
                <w:rFonts w:ascii="宋体" w:hAnsi="宋体" w:eastAsia="宋体"/>
                <w:sz w:val="16"/>
              </w:rPr>
              <w:t>&gt;=20件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24D18">
            <w:pPr>
              <w:jc w:val="center"/>
            </w:pPr>
            <w:r>
              <w:rPr>
                <w:rFonts w:ascii="宋体" w:hAnsi="宋体" w:eastAsia="宋体"/>
                <w:sz w:val="16"/>
              </w:rPr>
              <w:t>=20件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D70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1658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38E6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27F5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7214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55CA4">
            <w:pPr>
              <w:jc w:val="center"/>
            </w:pPr>
            <w:r>
              <w:rPr>
                <w:rFonts w:ascii="宋体" w:hAnsi="宋体" w:eastAsia="宋体"/>
                <w:sz w:val="16"/>
              </w:rPr>
              <w:t>工作资料,原始凭证,说明材料,正式材料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6E567">
            <w:pPr>
              <w:jc w:val="center"/>
            </w:pPr>
          </w:p>
        </w:tc>
      </w:tr>
      <w:tr w14:paraId="106ADB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2D231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AD8C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ED9F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B7069">
            <w:pPr>
              <w:jc w:val="center"/>
            </w:pPr>
            <w:r>
              <w:rPr>
                <w:rFonts w:ascii="宋体" w:hAnsi="宋体" w:eastAsia="宋体"/>
                <w:sz w:val="16"/>
              </w:rPr>
              <w:t>站内人员技术提升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AA94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3EA6E">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CA6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60EB2">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B02C7">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ECF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A383C">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F6ED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8D8C8">
            <w:pPr>
              <w:jc w:val="center"/>
            </w:pPr>
            <w:r>
              <w:rPr>
                <w:rFonts w:ascii="宋体" w:hAnsi="宋体" w:eastAsia="宋体"/>
                <w:sz w:val="16"/>
              </w:rPr>
              <w:t>工作资料,正式材料,原始凭证,说明材料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9FDF1">
            <w:pPr>
              <w:jc w:val="center"/>
            </w:pPr>
            <w:r>
              <w:rPr>
                <w:rFonts w:ascii="宋体" w:hAnsi="宋体" w:eastAsia="宋体"/>
                <w:sz w:val="16"/>
              </w:rPr>
              <w:t>年初目标值设立过低，年终完成率较好，故形成偏差。</w:t>
            </w:r>
          </w:p>
        </w:tc>
      </w:tr>
      <w:tr w14:paraId="079E15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3A89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3661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CCD6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6DCC0">
            <w:pPr>
              <w:jc w:val="center"/>
            </w:pPr>
            <w:r>
              <w:rPr>
                <w:rFonts w:ascii="宋体" w:hAnsi="宋体" w:eastAsia="宋体"/>
                <w:sz w:val="16"/>
              </w:rPr>
              <w:t>项目进度完成及设备设施有效率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6A22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7050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0EC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B18B3">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835F3">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DBEC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391B0">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D1E8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62101">
            <w:pPr>
              <w:jc w:val="center"/>
            </w:pPr>
            <w:r>
              <w:rPr>
                <w:rFonts w:ascii="宋体" w:hAnsi="宋体" w:eastAsia="宋体"/>
                <w:sz w:val="16"/>
              </w:rPr>
              <w:t>工作资料,正式材料,原始凭证,说明材料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BEC8A">
            <w:pPr>
              <w:jc w:val="center"/>
            </w:pPr>
            <w:r>
              <w:rPr>
                <w:rFonts w:ascii="宋体" w:hAnsi="宋体" w:eastAsia="宋体"/>
                <w:sz w:val="16"/>
              </w:rPr>
              <w:t>年初目标值设立过低，年终完成率较好，故形成偏差。</w:t>
            </w:r>
          </w:p>
        </w:tc>
      </w:tr>
      <w:tr w14:paraId="70A53E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2CFBD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1A584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00FC9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BC023">
            <w:pPr>
              <w:jc w:val="center"/>
            </w:pPr>
            <w:r>
              <w:rPr>
                <w:rFonts w:ascii="宋体" w:hAnsi="宋体" w:eastAsia="宋体"/>
                <w:sz w:val="16"/>
              </w:rPr>
              <w:t>实验室及办公室正常运转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5B5E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BB0FC">
            <w:pPr>
              <w:jc w:val="center"/>
            </w:pPr>
            <w:r>
              <w:rPr>
                <w:rFonts w:ascii="宋体" w:hAnsi="宋体" w:eastAsia="宋体"/>
                <w:sz w:val="16"/>
              </w:rPr>
              <w:t>&lt;=4.10万元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9FC9F">
            <w:pPr>
              <w:jc w:val="center"/>
            </w:pPr>
            <w:r>
              <w:rPr>
                <w:rFonts w:ascii="宋体" w:hAnsi="宋体" w:eastAsia="宋体"/>
                <w:sz w:val="16"/>
              </w:rPr>
              <w:t>=4.1万元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4B3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DFCB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EBC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7107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2711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ABB8C">
            <w:pPr>
              <w:jc w:val="center"/>
            </w:pPr>
            <w:r>
              <w:rPr>
                <w:rFonts w:ascii="宋体" w:hAnsi="宋体" w:eastAsia="宋体"/>
                <w:sz w:val="16"/>
              </w:rPr>
              <w:t>工作资料,正式材料,原始凭证,说明材料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C790A">
            <w:pPr>
              <w:jc w:val="center"/>
            </w:pPr>
          </w:p>
        </w:tc>
      </w:tr>
      <w:tr w14:paraId="161377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3413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5F70A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8416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10E4E">
            <w:pPr>
              <w:jc w:val="center"/>
            </w:pPr>
            <w:r>
              <w:rPr>
                <w:rFonts w:ascii="宋体" w:hAnsi="宋体" w:eastAsia="宋体"/>
                <w:sz w:val="16"/>
              </w:rPr>
              <w:t>站内人员差费保障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1E61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87C11">
            <w:pPr>
              <w:jc w:val="center"/>
            </w:pPr>
            <w:r>
              <w:rPr>
                <w:rFonts w:ascii="宋体" w:hAnsi="宋体" w:eastAsia="宋体"/>
                <w:sz w:val="16"/>
              </w:rPr>
              <w:t>&lt;=1.60万元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5680F">
            <w:pPr>
              <w:jc w:val="center"/>
            </w:pPr>
            <w:r>
              <w:rPr>
                <w:rFonts w:ascii="宋体" w:hAnsi="宋体" w:eastAsia="宋体"/>
                <w:sz w:val="16"/>
              </w:rPr>
              <w:t>=1.6万元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80F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FD4A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2516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D4D73">
            <w:pPr>
              <w:jc w:val="center"/>
            </w:pPr>
            <w:r>
              <w:rPr>
                <w:rFonts w:ascii="宋体" w:hAnsi="宋体" w:eastAsia="宋体"/>
                <w:sz w:val="16"/>
              </w:rPr>
              <w:t>6266元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6DCC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D9F50">
            <w:pPr>
              <w:jc w:val="center"/>
            </w:pPr>
            <w:r>
              <w:rPr>
                <w:rFonts w:ascii="宋体" w:hAnsi="宋体" w:eastAsia="宋体"/>
                <w:sz w:val="16"/>
              </w:rPr>
              <w:t>工作资料,正式材料,原始凭证,说明材料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34085">
            <w:pPr>
              <w:jc w:val="center"/>
            </w:pPr>
          </w:p>
        </w:tc>
      </w:tr>
      <w:tr w14:paraId="436AE1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6E96B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E789F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1579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90FC7">
            <w:pPr>
              <w:jc w:val="center"/>
            </w:pPr>
            <w:r>
              <w:rPr>
                <w:rFonts w:ascii="宋体" w:hAnsi="宋体" w:eastAsia="宋体"/>
                <w:sz w:val="16"/>
              </w:rPr>
              <w:t>后勤保障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450A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0441A">
            <w:pPr>
              <w:jc w:val="center"/>
            </w:pPr>
            <w:r>
              <w:rPr>
                <w:rFonts w:ascii="宋体" w:hAnsi="宋体" w:eastAsia="宋体"/>
                <w:sz w:val="16"/>
              </w:rPr>
              <w:t>&lt;=1.30万元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7E715">
            <w:pPr>
              <w:jc w:val="center"/>
            </w:pPr>
            <w:r>
              <w:rPr>
                <w:rFonts w:ascii="宋体" w:hAnsi="宋体" w:eastAsia="宋体"/>
                <w:sz w:val="16"/>
              </w:rPr>
              <w:t>=1.3万元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6FE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45C7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09C5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74E8B">
            <w:pPr>
              <w:jc w:val="center"/>
            </w:pPr>
            <w:r>
              <w:rPr>
                <w:rFonts w:ascii="宋体" w:hAnsi="宋体" w:eastAsia="宋体"/>
                <w:sz w:val="16"/>
              </w:rPr>
              <w:t>5000元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2DE9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2FDF0">
            <w:pPr>
              <w:jc w:val="center"/>
            </w:pPr>
            <w:r>
              <w:rPr>
                <w:rFonts w:ascii="宋体" w:hAnsi="宋体" w:eastAsia="宋体"/>
                <w:sz w:val="16"/>
              </w:rPr>
              <w:t>工作资料,正式材料,原始凭证,说明材料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8D5BF">
            <w:pPr>
              <w:jc w:val="center"/>
            </w:pPr>
          </w:p>
        </w:tc>
      </w:tr>
      <w:tr w14:paraId="2DED05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0BE38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79C0B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7975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A64BB">
            <w:pPr>
              <w:jc w:val="center"/>
            </w:pPr>
            <w:r>
              <w:rPr>
                <w:rFonts w:ascii="宋体" w:hAnsi="宋体" w:eastAsia="宋体"/>
                <w:sz w:val="16"/>
              </w:rPr>
              <w:t>有效加强生态修复和保护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A675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D323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9748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71B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CF0C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33C8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65017">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292F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FDADA">
            <w:pPr>
              <w:jc w:val="center"/>
            </w:pPr>
            <w:r>
              <w:rPr>
                <w:rFonts w:ascii="宋体" w:hAnsi="宋体" w:eastAsia="宋体"/>
                <w:sz w:val="16"/>
              </w:rPr>
              <w:t>工作资料,正式材料,原始凭证,说明材料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F1F86">
            <w:pPr>
              <w:jc w:val="center"/>
            </w:pPr>
          </w:p>
        </w:tc>
      </w:tr>
      <w:tr w14:paraId="13A566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6FF6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5597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E97B4">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A2E23">
            <w:pPr>
              <w:jc w:val="center"/>
            </w:pPr>
            <w:r>
              <w:rPr>
                <w:rFonts w:ascii="宋体" w:hAnsi="宋体" w:eastAsia="宋体"/>
                <w:sz w:val="16"/>
              </w:rPr>
              <w:t>有效降低主要污染物排放强度，不断提升生态环境质量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2623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DA32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866A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A6D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5A2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7AA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4361E">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762E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77707">
            <w:pPr>
              <w:jc w:val="center"/>
            </w:pPr>
            <w:r>
              <w:rPr>
                <w:rFonts w:ascii="宋体" w:hAnsi="宋体" w:eastAsia="宋体"/>
                <w:sz w:val="16"/>
              </w:rPr>
              <w:t>工作资料,正式材料,说明材料,原始凭证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5C491">
            <w:pPr>
              <w:jc w:val="center"/>
            </w:pPr>
          </w:p>
        </w:tc>
      </w:tr>
      <w:tr w14:paraId="537247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D5F0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A7BE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DC2E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5E9B7">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FF2F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8C6E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3ECC7">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FDF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DF6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1F55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53D8E">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CDD0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67B6F">
            <w:pPr>
              <w:jc w:val="center"/>
            </w:pPr>
            <w:r>
              <w:rPr>
                <w:rFonts w:ascii="宋体" w:hAnsi="宋体" w:eastAsia="宋体"/>
                <w:sz w:val="16"/>
              </w:rPr>
              <w:t>工作资料,正式材料,说明材料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503DA">
            <w:pPr>
              <w:jc w:val="center"/>
            </w:pPr>
          </w:p>
        </w:tc>
      </w:tr>
      <w:tr w14:paraId="6FBC6FB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38B252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AE3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8D61C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85548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B9F8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57DE0">
            <w:pPr>
              <w:jc w:val="center"/>
            </w:pPr>
            <w:r>
              <w:rPr>
                <w:rFonts w:ascii="宋体" w:hAnsi="宋体" w:eastAsia="宋体"/>
                <w:sz w:val="16"/>
              </w:rPr>
              <w:t>97.78分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6690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48F4F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A299B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7A219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459C9C"/>
        </w:tc>
      </w:tr>
    </w:tbl>
    <w:p w14:paraId="27568308">
      <w:r>
        <w:br w:type="page"/>
      </w:r>
    </w:p>
    <w:p w14:paraId="68C67E48">
      <w:pPr>
        <w:spacing w:line="640" w:lineRule="exact"/>
        <w:ind w:firstLine="640"/>
        <w:jc w:val="both"/>
        <w:outlineLvl w:val="2"/>
      </w:pPr>
      <w:r>
        <w:rPr>
          <w:rFonts w:ascii="黑体" w:hAnsi="黑体" w:eastAsia="黑体"/>
          <w:sz w:val="32"/>
        </w:rPr>
        <w:t>十二、其他需说明的事项</w:t>
      </w:r>
    </w:p>
    <w:p w14:paraId="67731CD1">
      <w:pPr>
        <w:spacing w:line="580" w:lineRule="exact"/>
        <w:ind w:firstLine="640"/>
        <w:jc w:val="both"/>
      </w:pPr>
      <w:r>
        <w:rPr>
          <w:rFonts w:ascii="仿宋_GB2312" w:hAnsi="仿宋_GB2312" w:eastAsia="仿宋_GB2312"/>
          <w:b w:val="0"/>
          <w:sz w:val="32"/>
        </w:rPr>
        <w:t>本单位无其他需说明的事项。</w:t>
      </w:r>
    </w:p>
    <w:p w14:paraId="0C7F5D1E">
      <w:r>
        <w:br w:type="page"/>
      </w:r>
    </w:p>
    <w:p w14:paraId="74243FC2">
      <w:pPr>
        <w:spacing w:line="240" w:lineRule="auto"/>
        <w:jc w:val="center"/>
        <w:outlineLvl w:val="1"/>
      </w:pPr>
      <w:r>
        <w:rPr>
          <w:rFonts w:ascii="黑体" w:hAnsi="黑体" w:eastAsia="黑体"/>
          <w:sz w:val="32"/>
        </w:rPr>
        <w:t>第三部分 专业名词解释</w:t>
      </w:r>
    </w:p>
    <w:p w14:paraId="1AC2C182">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7D7972CD">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2E219BE6">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1E51988">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507AA7F6">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64E23AB">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71B81E2">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30A1EA11">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0BD113A">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28DA214C">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7E3C014D">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49C634FD">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79CE07C4">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74D6C36E">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59418A9">
      <w:r>
        <w:br w:type="page"/>
      </w:r>
    </w:p>
    <w:p w14:paraId="049AB56F">
      <w:pPr>
        <w:spacing w:line="240" w:lineRule="auto"/>
        <w:jc w:val="center"/>
        <w:outlineLvl w:val="1"/>
      </w:pPr>
      <w:r>
        <w:rPr>
          <w:rFonts w:ascii="黑体" w:hAnsi="黑体" w:eastAsia="黑体"/>
          <w:sz w:val="32"/>
        </w:rPr>
        <w:t>第四部分 部门决算报表（见附表）</w:t>
      </w:r>
    </w:p>
    <w:p w14:paraId="2C74AF56">
      <w:pPr>
        <w:spacing w:line="240" w:lineRule="auto"/>
        <w:ind w:firstLine="640"/>
        <w:jc w:val="both"/>
      </w:pPr>
      <w:r>
        <w:rPr>
          <w:rFonts w:ascii="仿宋_GB2312" w:hAnsi="仿宋_GB2312" w:eastAsia="仿宋_GB2312"/>
          <w:b w:val="0"/>
          <w:sz w:val="32"/>
        </w:rPr>
        <w:t>一、《收入支出决算总表》</w:t>
      </w:r>
    </w:p>
    <w:p w14:paraId="49D0BD46">
      <w:pPr>
        <w:spacing w:line="240" w:lineRule="auto"/>
        <w:ind w:firstLine="640"/>
        <w:jc w:val="both"/>
      </w:pPr>
      <w:r>
        <w:rPr>
          <w:rFonts w:ascii="仿宋_GB2312" w:hAnsi="仿宋_GB2312" w:eastAsia="仿宋_GB2312"/>
          <w:b w:val="0"/>
          <w:sz w:val="32"/>
        </w:rPr>
        <w:t>二、《收入决算表》</w:t>
      </w:r>
    </w:p>
    <w:p w14:paraId="6A8FAEEE">
      <w:pPr>
        <w:spacing w:line="240" w:lineRule="auto"/>
        <w:ind w:firstLine="640"/>
        <w:jc w:val="both"/>
      </w:pPr>
      <w:r>
        <w:rPr>
          <w:rFonts w:ascii="仿宋_GB2312" w:hAnsi="仿宋_GB2312" w:eastAsia="仿宋_GB2312"/>
          <w:b w:val="0"/>
          <w:sz w:val="32"/>
        </w:rPr>
        <w:t>三、《支出决算表》</w:t>
      </w:r>
    </w:p>
    <w:p w14:paraId="7AF18385">
      <w:pPr>
        <w:spacing w:line="240" w:lineRule="auto"/>
        <w:ind w:firstLine="640"/>
        <w:jc w:val="both"/>
      </w:pPr>
      <w:r>
        <w:rPr>
          <w:rFonts w:ascii="仿宋_GB2312" w:hAnsi="仿宋_GB2312" w:eastAsia="仿宋_GB2312"/>
          <w:b w:val="0"/>
          <w:sz w:val="32"/>
        </w:rPr>
        <w:t>四、《财政拨款收入支出决算总表》</w:t>
      </w:r>
    </w:p>
    <w:p w14:paraId="3AE5FB30">
      <w:pPr>
        <w:spacing w:line="240" w:lineRule="auto"/>
        <w:ind w:firstLine="640"/>
        <w:jc w:val="both"/>
      </w:pPr>
      <w:r>
        <w:rPr>
          <w:rFonts w:ascii="仿宋_GB2312" w:hAnsi="仿宋_GB2312" w:eastAsia="仿宋_GB2312"/>
          <w:b w:val="0"/>
          <w:sz w:val="32"/>
        </w:rPr>
        <w:t>五、《一般公共预算财政拨款支出决算表》</w:t>
      </w:r>
    </w:p>
    <w:p w14:paraId="7FC8BD01">
      <w:pPr>
        <w:spacing w:line="240" w:lineRule="auto"/>
        <w:ind w:firstLine="640"/>
        <w:jc w:val="both"/>
      </w:pPr>
      <w:r>
        <w:rPr>
          <w:rFonts w:ascii="仿宋_GB2312" w:hAnsi="仿宋_GB2312" w:eastAsia="仿宋_GB2312"/>
          <w:b w:val="0"/>
          <w:sz w:val="32"/>
        </w:rPr>
        <w:t>六、《一般公共预算财政拨款基本支出决算表》</w:t>
      </w:r>
    </w:p>
    <w:p w14:paraId="6C996F1D">
      <w:pPr>
        <w:spacing w:line="240" w:lineRule="auto"/>
        <w:ind w:firstLine="640"/>
        <w:jc w:val="both"/>
      </w:pPr>
      <w:r>
        <w:rPr>
          <w:rFonts w:ascii="仿宋_GB2312" w:hAnsi="仿宋_GB2312" w:eastAsia="仿宋_GB2312"/>
          <w:b w:val="0"/>
          <w:sz w:val="32"/>
        </w:rPr>
        <w:t>七、《政府性基金预算财政拨款收入支出决算表》</w:t>
      </w:r>
    </w:p>
    <w:p w14:paraId="1BC0EE04">
      <w:pPr>
        <w:spacing w:line="240" w:lineRule="auto"/>
        <w:ind w:firstLine="640"/>
        <w:jc w:val="both"/>
      </w:pPr>
      <w:r>
        <w:rPr>
          <w:rFonts w:ascii="仿宋_GB2312" w:hAnsi="仿宋_GB2312" w:eastAsia="仿宋_GB2312"/>
          <w:b w:val="0"/>
          <w:sz w:val="32"/>
        </w:rPr>
        <w:t>八、《国有资本经营预算财政拨款收入支出决算表》</w:t>
      </w:r>
    </w:p>
    <w:p w14:paraId="67314A11">
      <w:pPr>
        <w:spacing w:line="240" w:lineRule="auto"/>
        <w:ind w:firstLine="640"/>
        <w:jc w:val="both"/>
      </w:pPr>
      <w:r>
        <w:rPr>
          <w:rFonts w:ascii="仿宋_GB2312" w:hAnsi="仿宋_GB2312" w:eastAsia="仿宋_GB2312"/>
          <w:b w:val="0"/>
          <w:sz w:val="32"/>
        </w:rPr>
        <w:t>九、《财政拨款“三公”经费支出决算表》</w:t>
      </w:r>
    </w:p>
    <w:p w14:paraId="2EBA27B0">
      <w:pPr>
        <w:spacing w:line="240" w:lineRule="auto"/>
        <w:ind w:firstLine="640"/>
        <w:jc w:val="both"/>
      </w:pPr>
    </w:p>
    <w:p w14:paraId="5335D5EE">
      <w:pPr>
        <w:spacing w:line="240" w:lineRule="auto"/>
        <w:ind w:firstLine="640"/>
        <w:jc w:val="both"/>
      </w:pPr>
    </w:p>
    <w:p w14:paraId="564F6896">
      <w:pPr>
        <w:spacing w:line="240" w:lineRule="auto"/>
        <w:ind w:firstLine="640"/>
        <w:jc w:val="both"/>
      </w:pPr>
    </w:p>
    <w:p w14:paraId="62662AC7">
      <w:pPr>
        <w:spacing w:line="240" w:lineRule="auto"/>
        <w:ind w:firstLine="640"/>
        <w:jc w:val="both"/>
      </w:pPr>
    </w:p>
    <w:p w14:paraId="6DA78FAB">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D3492E-EB1C-4815-AF58-906F9C6E1D3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A5D17533-005A-4FF7-AEC6-8CB02C65542C}"/>
  </w:font>
  <w:font w:name="仿宋_GB2312">
    <w:altName w:val="仿宋"/>
    <w:panose1 w:val="02010609030101010101"/>
    <w:charset w:val="86"/>
    <w:family w:val="modern"/>
    <w:pitch w:val="default"/>
    <w:sig w:usb0="00000000" w:usb1="00000000" w:usb2="00000000" w:usb3="00000000" w:csb0="00040000" w:csb1="00000000"/>
    <w:embedRegular r:id="rId3" w:fontKey="{2C045BD5-D4EA-4CD3-88D6-1660B30B542F}"/>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embedRegular r:id="rId4" w:fontKey="{44C5AEB3-51F1-4A36-AE4D-B78DACD7B8C4}"/>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9FB232E"/>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525DB6"/>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6409</Words>
  <Characters>7284</Characters>
  <Lines>0</Lines>
  <Paragraphs>0</Paragraphs>
  <TotalTime>5</TotalTime>
  <ScaleCrop>false</ScaleCrop>
  <LinksUpToDate>false</LinksUpToDate>
  <CharactersWithSpaces>7292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2025-10-15T05:03:05Z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eyJoZGlkIjoiZjZjY2YzNDY3YWM4YThjNjdkZTk2MDAwYjE2OGQzNDQiLCJ1c2VySWQiOiIzNzI2MDMzNTYifQ==</vt:lpwstr>
  </property>
</Properties>
</file>