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7B84A25"/>
    <w:p w14:paraId="3ADAE1FA">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14:paraId="0C597E5A">
      <w:pPr>
        <w:spacing w:line="540" w:lineRule="exact"/>
        <w:jc w:val="center"/>
        <w:rPr>
          <w:rFonts w:ascii="华文中宋" w:hAnsi="华文中宋" w:eastAsia="华文中宋" w:cs="宋体"/>
          <w:b/>
          <w:kern w:val="0"/>
          <w:sz w:val="52"/>
          <w:szCs w:val="52"/>
        </w:rPr>
      </w:pPr>
    </w:p>
    <w:p w14:paraId="3D359A55">
      <w:pPr>
        <w:spacing w:line="540" w:lineRule="exact"/>
        <w:jc w:val="center"/>
        <w:rPr>
          <w:rFonts w:ascii="华文中宋" w:hAnsi="华文中宋" w:eastAsia="华文中宋" w:cs="宋体"/>
          <w:b/>
          <w:kern w:val="0"/>
          <w:sz w:val="52"/>
          <w:szCs w:val="52"/>
        </w:rPr>
      </w:pPr>
    </w:p>
    <w:p w14:paraId="2D411D45">
      <w:pPr>
        <w:spacing w:line="540" w:lineRule="exact"/>
        <w:jc w:val="center"/>
        <w:rPr>
          <w:rFonts w:ascii="华文中宋" w:hAnsi="华文中宋" w:eastAsia="华文中宋" w:cs="宋体"/>
          <w:b/>
          <w:kern w:val="0"/>
          <w:sz w:val="52"/>
          <w:szCs w:val="52"/>
        </w:rPr>
      </w:pPr>
    </w:p>
    <w:p w14:paraId="74484DA5">
      <w:pPr>
        <w:spacing w:line="540" w:lineRule="exact"/>
        <w:jc w:val="center"/>
        <w:rPr>
          <w:rFonts w:ascii="华文中宋" w:hAnsi="华文中宋" w:eastAsia="华文中宋" w:cs="宋体"/>
          <w:b/>
          <w:kern w:val="0"/>
          <w:sz w:val="52"/>
          <w:szCs w:val="52"/>
        </w:rPr>
      </w:pPr>
    </w:p>
    <w:p w14:paraId="3319E01D">
      <w:pPr>
        <w:spacing w:line="540" w:lineRule="exact"/>
        <w:jc w:val="center"/>
        <w:rPr>
          <w:rFonts w:ascii="华文中宋" w:hAnsi="华文中宋" w:eastAsia="华文中宋" w:cs="宋体"/>
          <w:b/>
          <w:kern w:val="0"/>
          <w:sz w:val="52"/>
          <w:szCs w:val="52"/>
        </w:rPr>
      </w:pPr>
    </w:p>
    <w:p w14:paraId="4CCBDBF3">
      <w:pPr>
        <w:spacing w:line="540" w:lineRule="exact"/>
        <w:jc w:val="center"/>
        <w:rPr>
          <w:rFonts w:ascii="华文中宋" w:hAnsi="华文中宋" w:eastAsia="华文中宋" w:cs="宋体"/>
          <w:b/>
          <w:kern w:val="0"/>
          <w:sz w:val="52"/>
          <w:szCs w:val="52"/>
        </w:rPr>
      </w:pPr>
    </w:p>
    <w:p w14:paraId="1BEE1941">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14:paraId="45487102">
      <w:pPr>
        <w:spacing w:line="540" w:lineRule="exact"/>
        <w:jc w:val="center"/>
        <w:rPr>
          <w:rFonts w:ascii="华文中宋" w:hAnsi="华文中宋" w:eastAsia="华文中宋" w:cs="宋体"/>
          <w:b/>
          <w:kern w:val="0"/>
          <w:sz w:val="52"/>
          <w:szCs w:val="52"/>
        </w:rPr>
      </w:pPr>
    </w:p>
    <w:p w14:paraId="3CAD7469">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9"/>
          <w:rFonts w:hint="eastAsia" w:ascii="楷体" w:hAnsi="楷体" w:eastAsia="楷体"/>
          <w:spacing w:val="-4"/>
          <w:sz w:val="32"/>
          <w:szCs w:val="32"/>
        </w:rPr>
        <w:t>2024</w:t>
      </w:r>
      <w:r>
        <w:rPr>
          <w:rFonts w:hint="eastAsia" w:hAnsi="宋体" w:eastAsia="仿宋_GB2312" w:cs="宋体"/>
          <w:kern w:val="0"/>
          <w:sz w:val="36"/>
          <w:szCs w:val="36"/>
        </w:rPr>
        <w:t xml:space="preserve">  年度）</w:t>
      </w:r>
    </w:p>
    <w:p w14:paraId="737D6A26">
      <w:pPr>
        <w:spacing w:line="540" w:lineRule="exact"/>
        <w:jc w:val="center"/>
        <w:rPr>
          <w:rFonts w:hAnsi="宋体" w:eastAsia="仿宋_GB2312" w:cs="宋体"/>
          <w:kern w:val="0"/>
          <w:sz w:val="30"/>
          <w:szCs w:val="30"/>
        </w:rPr>
      </w:pPr>
    </w:p>
    <w:p w14:paraId="4932C939">
      <w:pPr>
        <w:spacing w:line="540" w:lineRule="exact"/>
        <w:jc w:val="center"/>
        <w:rPr>
          <w:rFonts w:hAnsi="宋体" w:eastAsia="仿宋_GB2312" w:cs="宋体"/>
          <w:kern w:val="0"/>
          <w:sz w:val="30"/>
          <w:szCs w:val="30"/>
        </w:rPr>
      </w:pPr>
    </w:p>
    <w:p w14:paraId="1BEB6870">
      <w:pPr>
        <w:spacing w:line="540" w:lineRule="exact"/>
        <w:jc w:val="center"/>
        <w:rPr>
          <w:rFonts w:hAnsi="宋体" w:eastAsia="仿宋_GB2312" w:cs="宋体"/>
          <w:kern w:val="0"/>
          <w:sz w:val="30"/>
          <w:szCs w:val="30"/>
        </w:rPr>
      </w:pPr>
    </w:p>
    <w:p w14:paraId="711A384F">
      <w:pPr>
        <w:spacing w:line="540" w:lineRule="exact"/>
        <w:jc w:val="center"/>
        <w:rPr>
          <w:rFonts w:hAnsi="宋体" w:eastAsia="仿宋_GB2312" w:cs="宋体"/>
          <w:kern w:val="0"/>
          <w:sz w:val="30"/>
          <w:szCs w:val="30"/>
        </w:rPr>
      </w:pPr>
    </w:p>
    <w:p w14:paraId="636DF4E3">
      <w:pPr>
        <w:spacing w:line="540" w:lineRule="exact"/>
        <w:jc w:val="center"/>
        <w:rPr>
          <w:rFonts w:hAnsi="宋体" w:eastAsia="仿宋_GB2312" w:cs="宋体"/>
          <w:kern w:val="0"/>
          <w:sz w:val="30"/>
          <w:szCs w:val="30"/>
        </w:rPr>
      </w:pPr>
    </w:p>
    <w:p w14:paraId="2219C2A6">
      <w:pPr>
        <w:spacing w:line="540" w:lineRule="exact"/>
        <w:jc w:val="center"/>
        <w:rPr>
          <w:rFonts w:hAnsi="宋体" w:eastAsia="仿宋_GB2312" w:cs="宋体"/>
          <w:kern w:val="0"/>
          <w:sz w:val="30"/>
          <w:szCs w:val="30"/>
        </w:rPr>
      </w:pPr>
    </w:p>
    <w:p w14:paraId="4F7EF3CD">
      <w:pPr>
        <w:spacing w:line="540" w:lineRule="exact"/>
        <w:rPr>
          <w:rFonts w:hAnsi="宋体" w:eastAsia="仿宋_GB2312" w:cs="宋体"/>
          <w:kern w:val="0"/>
          <w:sz w:val="30"/>
          <w:szCs w:val="30"/>
        </w:rPr>
      </w:pPr>
    </w:p>
    <w:p w14:paraId="14AC9E67">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71929449">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9"/>
          <w:rFonts w:hint="eastAsia" w:ascii="楷体" w:hAnsi="楷体" w:eastAsia="楷体"/>
          <w:spacing w:val="-4"/>
          <w:sz w:val="32"/>
          <w:szCs w:val="32"/>
        </w:rPr>
        <w:t>呼图壁县水污染防治执法监测、应急监测项目</w:t>
      </w:r>
    </w:p>
    <w:p w14:paraId="3C2061C6">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9"/>
          <w:rFonts w:hint="eastAsia" w:ascii="楷体" w:hAnsi="楷体" w:eastAsia="楷体"/>
          <w:spacing w:val="-4"/>
          <w:sz w:val="28"/>
          <w:szCs w:val="28"/>
        </w:rPr>
        <w:t>生态环境局呼图壁县分局</w:t>
      </w:r>
    </w:p>
    <w:p w14:paraId="0305F96D">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9"/>
          <w:rFonts w:hint="eastAsia" w:ascii="楷体" w:hAnsi="楷体" w:eastAsia="楷体"/>
          <w:spacing w:val="-4"/>
          <w:sz w:val="28"/>
          <w:szCs w:val="28"/>
        </w:rPr>
        <w:t>生态环境局呼图壁县分局</w:t>
      </w:r>
      <w:bookmarkStart w:id="0" w:name="_GoBack"/>
      <w:bookmarkEnd w:id="0"/>
    </w:p>
    <w:p w14:paraId="66080B4C">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9"/>
          <w:rFonts w:hint="eastAsia" w:ascii="楷体" w:hAnsi="楷体" w:eastAsia="楷体"/>
          <w:spacing w:val="-4"/>
          <w:sz w:val="32"/>
          <w:szCs w:val="32"/>
        </w:rPr>
        <w:t>刘旭明</w:t>
      </w:r>
    </w:p>
    <w:p w14:paraId="0EC902E8">
      <w:pPr>
        <w:spacing w:line="540" w:lineRule="exact"/>
        <w:ind w:left="273" w:firstLine="567"/>
        <w:rPr>
          <w:rStyle w:val="19"/>
          <w:rFonts w:ascii="楷体" w:hAnsi="楷体" w:eastAsia="楷体"/>
          <w:spacing w:val="-4"/>
          <w:sz w:val="32"/>
          <w:szCs w:val="32"/>
        </w:rPr>
      </w:pPr>
      <w:r>
        <w:rPr>
          <w:rFonts w:hint="eastAsia" w:hAnsi="宋体" w:eastAsia="仿宋_GB2312" w:cs="宋体"/>
          <w:kern w:val="0"/>
          <w:sz w:val="36"/>
          <w:szCs w:val="36"/>
        </w:rPr>
        <w:t>填报时间：</w:t>
      </w:r>
      <w:r>
        <w:rPr>
          <w:rStyle w:val="19"/>
          <w:rFonts w:hint="eastAsia" w:ascii="楷体" w:hAnsi="楷体" w:eastAsia="楷体"/>
          <w:spacing w:val="-4"/>
          <w:sz w:val="32"/>
          <w:szCs w:val="32"/>
        </w:rPr>
        <w:t>2025年05月08日</w:t>
      </w:r>
    </w:p>
    <w:p w14:paraId="1A6BA848">
      <w:pPr>
        <w:spacing w:line="700" w:lineRule="exact"/>
        <w:ind w:firstLine="708" w:firstLineChars="236"/>
        <w:jc w:val="left"/>
        <w:rPr>
          <w:rFonts w:hAnsi="宋体" w:eastAsia="仿宋_GB2312" w:cs="宋体"/>
          <w:kern w:val="0"/>
          <w:sz w:val="30"/>
          <w:szCs w:val="30"/>
        </w:rPr>
      </w:pPr>
    </w:p>
    <w:p w14:paraId="1E6D0857">
      <w:pPr>
        <w:spacing w:line="540" w:lineRule="exact"/>
        <w:rPr>
          <w:rStyle w:val="19"/>
          <w:rFonts w:ascii="黑体" w:hAnsi="黑体" w:eastAsia="黑体"/>
          <w:b w:val="0"/>
          <w:spacing w:val="-4"/>
          <w:sz w:val="32"/>
          <w:szCs w:val="32"/>
        </w:rPr>
      </w:pPr>
    </w:p>
    <w:p w14:paraId="69199937">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一、基本情况</w:t>
      </w:r>
    </w:p>
    <w:p w14:paraId="21BA92FF">
      <w:pPr>
        <w:spacing w:line="540" w:lineRule="exact"/>
        <w:ind w:firstLine="567"/>
        <w:rPr>
          <w:rStyle w:val="19"/>
          <w:rFonts w:hint="default" w:ascii="楷体" w:hAnsi="楷体" w:eastAsia="楷体"/>
          <w:spacing w:val="-4"/>
          <w:sz w:val="32"/>
          <w:szCs w:val="32"/>
          <w:lang w:val="en-US" w:eastAsia="zh-CN"/>
        </w:rPr>
      </w:pPr>
      <w:r>
        <w:rPr>
          <w:rStyle w:val="19"/>
          <w:rFonts w:hint="eastAsia" w:ascii="楷体" w:hAnsi="楷体" w:eastAsia="楷体"/>
          <w:spacing w:val="-4"/>
          <w:sz w:val="32"/>
          <w:szCs w:val="32"/>
        </w:rPr>
        <w:t>（一）项目概况</w:t>
      </w:r>
      <w:r>
        <w:rPr>
          <w:rStyle w:val="19"/>
          <w:rFonts w:hint="eastAsia" w:ascii="楷体" w:hAnsi="楷体" w:eastAsia="楷体"/>
          <w:spacing w:val="-4"/>
          <w:sz w:val="32"/>
          <w:szCs w:val="32"/>
          <w:lang w:eastAsia="zh-CN"/>
        </w:rPr>
        <w:t>。</w:t>
      </w:r>
    </w:p>
    <w:p w14:paraId="6E35DC58">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1.项目背景</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昌吉州生态环境局党组下发《自治州深化环境监测改革提升环境监测能力工作实施方案》，将呼图壁县生态环境监测站定为“基本站”，最终达到独立承担辖区范围内执法监测和生态环境应急监测任务的目的。为了提高生态环境监测的水平，解决呼图壁县水污染防治执法监测、应急监测质量不高问题，特设立本项目。</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2.主要内容</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（1）项目名称：呼图壁县水污染防治执法监测、应急监测项目（以下简称“该项目”或“项目”）</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项目主要内容：确保生态环境监测实施方案中各项工作顺利完成，按计划完成辖区水质采样及监测等常规生态环境监测工作；监测技术人员参加实验室质量运行管理培训；监测仪器设备维修、维护、检定、校准；监测站实验室危废处理；开展执法监测项目。</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3.实施情况</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实施主体：呼图壁县生态环境监测站。</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实施时间：本项目实施周期为2024年10月21日-2024年12月9日。</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实施情况：为深入开展水污染防治执法监测、应急监测工作，加大对水体及应急监测等项目的支持，本项目均已完成实施、验收工作，本项目投入15万元用于完成执法监测13次，开展监测上岗培训1次，购入实验所需药剂1批，购入保障监测及实验开展办公用品1批，实验设备维修维护1次，项目于2024年12月10日完成。项目支出15万元，其中开展培训、购置实验药剂、维护设备等费用5万元，开展执法监测费用4万元，保障实验室基本运转及实验室维修费用6万元。通过该项目的实施，提升干部工作积极性，提高了监测人员业务能力水平，保障了实验室正常运行。</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4.项目实施主体</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（1）主要职能</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①昌吉回族自治州生态环境局呼图壁县分局是主管国家环境保护基本制度；负责重大环境问题的统筹协调和监督管理。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②承担落实自治州和县减排目标的责任；承担从源头上预防、控制环境污染和环境破坏的责任。</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③负责环境污染防治的监督管理；指导、协调、监督生态保护工作；负责核安全和辐射安全的监督管理。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④负责环境监测和信息发布；开展环境保护科技工作；组织、指导和协调环境保护宣传教育工作。</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⑤指导县环境保护队伍建设；规划和组织全县环保系统在职人员岗位培训。</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⑥承担县人民政府交办的其他事项。</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（2）机构设置情况</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昌吉回族自治州生态环境局呼图壁县分局无下属预算单位，下设5个处室，分别是：呼图壁县环境监察大队、大气环境办公室、水与土壤生态环境办公室、行政办、财务室。</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5.资金投入和使用情况</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（1）项目资金安排落实、总投入等情况分析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本项目预算安排总额为15万元，资金来源为自治区专项资金，其中：财政资金15万元，其他资金0万元，2024年实际收到预算资金15万元，预算资金到位率为100%。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（2）项目资金实际使用情况分析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截至2024年12月31日，本项目实际支付资金15万元，预算执行率100%（预算执行率=（实际支出资金/预算批复金额）*100.00%）。本项目资金主要用于支付开展培训、购置实验药剂、维护设备等费用5万元，开展执法监测费用4万元，保障实验室基本运转及实验室维修费用6万元</w:t>
      </w:r>
    </w:p>
    <w:p w14:paraId="0D968C80">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（二）项目绩效目标</w:t>
      </w:r>
    </w:p>
    <w:p w14:paraId="035AE810">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1.总体目标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2024年本项目计划在2024年12月10日前完成完成执法监测、开展监测上岗培训、实验设备维修维护，购入实验所需药剂和保障监测及实验开展办公用品\保障实验室基本运转。通过该项目的实施，提升监测人员业务能力，提高水污染防治执法监测、应急监测工作质量，加强干部工作积极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2.阶段性目标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根据《中华人民共和国预算法》《财政支出绩效评价管理暂行办法》（财预〔2020〕10号）、《中共中央 国务院关于全面实施预算绩效管理的意见》（中发〔2018〕34号）、《自治区党委自治区人民政府关于全面实施预算绩效管理的实施意见》（新党发〔2018〕30号）、《自治区财政支出绩效评价管理暂行办法》（新财预〔2018〕189号）的规定，结合我单位的规章制度以及项目实施和财务相关资料，评价小组对项目绩效指标进行了进一步的完善，完善后绩效指标如下：</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（1）项目产出指标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①数量指标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“开展执法监测次数”指标，预期指标值为“≥10次”；</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“开展监测上岗培训次数”指标，预期指标值为“≥1次”；</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“购入保障监测及实验开展办公用品次数 ”指标，预期指标值为“≥1批”；</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“实验设备维修维护次数”指标，预期指标值为“≥1次”；</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“购入实验所需药剂次数”指标，预期指标值为“≥1批”；</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②质量指标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“生态环境监测数据准确率”指标，预期指标值为“≥90%”；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③时效指标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“项目完成时间”指标，预期指标值为“2024年12月10日前”；</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（2）项目成本指标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①经济成本指标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“开展培训、购置实验药剂、维护设备等费用”指标，预期指标值为“≤5万元”；</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“开展执法监测费用”指标，预期指标值为“≤4万元”；</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“保障实验室基本运转及实验室维修费用”指标，预期指标值为“≤6万元”；</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②社会成本指标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无此类指标；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③生态环境成本指标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无此类指标；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（3）项目效益指标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①经济效益指标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“无此类指标。”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②社会效益指标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“提升监测人员业务能力”指标，预期指标值为“有效提升”；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③生态效益指标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“无此类指标。”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（4）项目满意度指标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①满意度指标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“工作人员满意度”指标，预期指标值为“≥90%”</w:t>
      </w:r>
    </w:p>
    <w:p w14:paraId="070D6047">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二、绩效评价工作开展情况</w:t>
      </w:r>
    </w:p>
    <w:p w14:paraId="13AB7B0B">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（一）绩效评价目的、对象和范围</w:t>
      </w:r>
    </w:p>
    <w:p w14:paraId="72521F41">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（一）绩效评价的目的、对象和范围</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1.绩效评价的目的</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为全面实施预算绩效管理，建立科学、合理的项目支出绩效评价管理体系，提高财政资源配置效率和使用效益，根据财政部印发《项目支出绩效评价管理办法》（财预〔2020〕10号）、《自治区财政支出绩效评价管理暂行办法》（新财预〔2018〕189号）、《关于印发&lt;自治州财政支出绩效评价管理暂行办法&gt;的通知》（昌州财预【2018】171号）《关于印发&lt;自治区项目支出绩效目标设置指引&gt;的通知》（新财预〔2022〕42号）文件精神，我单位针对呼图壁县水污染防治执法监测、应急监测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二是通过部门项目支出绩效评价，进一步做实绩效目标，根据项目绩效目标设立情况，细化形成多维度绩效指标，将绩效指标细化为数量指标、质量指标、时效指标、经济成本指标、社会成本指标、社会生态环境成本指标、经济效益指标、社会效益指标、服务对象满意度指标等内容，保证项目绩效指标设置科学、规范、合理、可衡量。</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2.绩效评价对象</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此次我单位根据《财政支出绩效评价管理暂行办法》（财预〔2020〕10号）文件要求实施评价工作，本次评价对象为呼图壁县水污染防治执法监测、应急监测项目，评价核心为项目资金、项目产出、项目效益。</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3.绩效评价范围</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14:paraId="1CD80567">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（二）绩效评价原则、评价指标体系、评价方法、评价标准</w:t>
      </w:r>
    </w:p>
    <w:p w14:paraId="18AA6776">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1.绩效评价原则</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关于印发&lt;自治州财政支出绩效评价管理暂行办法&gt;的通知》（昌州财预【2018】171号）《关于印发&lt;自治区项目支出绩效目标设置指引&gt;的通知》（新财预〔2022〕42号）等要求，绩效评价应遵循如下原则：</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（1）科学公正。绩效评价应当运用科学合理的方法，按照规范的程序，对项目绩效进行客观、公正地反映。</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（3）激励约束。绩效评价结果应与预算安排、政策调整、改进管理实质性挂钩，体现奖优罚劣和激励相容导向，有效要安排、低效要压减、无效要问责。</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（4）公开透明。绩效评价结果应依法依规公开，并自觉接受社会监督。</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根据以上原则，绩效评价应遵循如下要求：</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（1）在数据采集时，采取客观数据，主管部门审查、社会中介组织复查，与问卷调查相结合的形式，以保证各项指标的真实性。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（2）保证评价结果的真实性、公正性，提高评价报告的公信力。</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2.绩效评价指标体系</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我单位通过实施资料研读及前期调研，结合项目的实际开展情况，按照《项目支出绩效评价管理办法》（财预〔2020〕10号）文件要求，结合项目特点，经与专家组充分协商，设置指标体系结构如下：设置一级指标共5个，包括：决策指标（21.00%）、过程指标（19.00%）、产出指标（30.00%）、效益指标（20.00%）、满意度指标（10.00%）五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体系”。</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3.评价方法</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我单位根据本项目资金的性质和特点，选用比较法、公众评判法对项目进行评价，旨在通过综合分析影响绩效目标实现、实施效果的内外部因素，从而评价本项目绩效。其中：比较法，是指通过对绩效目标与实施效果、历史与当期情况、不同部门和地区同类支出的比较，综合分析绩效目标实现程度；公众评判法，是指通过专家评估、公众问卷及抽样调查等对财政支出效果进行评判，评价绩效目标实现程度。</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三级指标分析环节：总体采用比较法，同时辅以文献法、成本效益法、因素分析法以及公众评判法，根据不同三级指标类型进行逐项分析。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②定性指标分析环节：主要采用公众评判法，通过问卷及抽样调查等方式评价本项目实施后社会公众对于其实施效果的满意程度，将调研结果按照《关于印发&lt;自治区项目支出绩效目标设置指引&gt;的通知》（新财预〔2022〕42号）要求分为基本达成目标、部分实现目标、实现目标程度较低三档，分别按照该指标对应分值区间100.00%（含）-80.00%（含）、80.00%-60.00%（含）、60.00%-0.00%合理确定分值，详细评价方法的应用如下：</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立项依据充分性：比较法、文献法，查找法律法规政策以及规划，对比实际执行内容和政策支持内容是否匹配。</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立项程序规范性：比较法、文献法，查找相关项目设立的政策和文件要求，对比分析实际执行程序是否按照政策及文件要求执行，分析立项程序的规范性。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绩效目标合理性：比较法，对比分析年初编制项目支出绩效目标表与项目内容的相关性、资金的匹配性等。</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绩效指标明确性：比较法，比较分析年初编制项目支出绩效目标表是否符合双七原则，是否可衡量。</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预算编制科学性：成本效益分析法，分析在产出一定的情况下，成本取值是否有依据，是否经过询价，是否按照市场最低成本编制。</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资金分配合理性：因素分析法，综合分析资金的分配依据是否充分，分配金额是否与项目实施单位需求金额一致，</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资金到位率：比较法，资金到位率预期指标值应为100.00%，通过实际计算，分析实际完成值和预期指标值之间的差距和原因。</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预算执行率：比较法，预算执行率预期指标值应为100.00%，通过实际计算，分析实际完成值和预期指标值之间的差距和原因。</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资金使用合规性：文献法、实地勘察法，一是查找资金管理办法，包括专项资金管理办法和单位自有资金管理办法；二是通过查账了解具体开支情况，是否专款专用，是否按照标准支出。</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管理制度健全性：文献法、比较法，查阅项目实施人员提供的财务和业务管理制度，将已建立的制度与现行的法律法规和政策要求进行对比，分析项目制度的合法性、合规性、完整性。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制度执行有效性：比较法，结合项目实际实施过程性文件，根据已建设的财务管理制度和项目管理制度综合分析制度执行的有效性。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定性指标：公众评判法，通过问卷及抽样调查等方式评价本项目实施后社会公众对于其实施效果的满意程度。</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4.评价标准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绩效评价标准通常包括计划标准、行业标准、历史标准等，用于对绩效指标完成情况进行比较、分析、评价。具体绩效评价标准解释如下：</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计划标准：指以预先制定的目标、计划、预算、定额等作为评价标准。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行业标准：指参照国家公布的行业指标数据制定的评价标准。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历史标准：指参照历史数据制定的评价标准，为体现绩效改进的原则，在可实现的条件下应当确定相对较高的评价标准。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14:paraId="056C2122">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（三）绩效评价工作过程</w:t>
      </w:r>
    </w:p>
    <w:p w14:paraId="35280A26">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1.前期准备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我单位于2025年3月10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唐磊（评价小组组长）：主要负责项目策划和监督，全面负责项目绩效评价报告的最终质量，对评价人员出具的最终报告质量进行复核，确保评估结果的客观性；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李思琪（评价小组组员）：主要负责资料的收集，取证、数据统计分析；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赵佳玉（评价小组组员）：主要负责项目报告的制定，指标的研判，数据分析及报告撰写。</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2.组织实施</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2025年3月11日-3月14日，评价工作进入实施阶段。在数据采集方面，评价小组整理单位前期提交的资料，与项目实施负责人沟通，了解资金的内容、操作流程、管理机制、资金使用方向等情况并采集信息，了解项目设置背景及资金使用等情况。</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3.分析评价</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2025年3月15日-3月20日，评价小组按照绩效评价的原则和规范，对取得的资料进行审查核实，对采集的数据进行分析，按照绩效评价指标评分表逐项进行打分、分析、汇总各方评价结果。　</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4.撰写与提交评价报告</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2025年3月21日-3月28日，评价小组撰写绩效评价报告，按照新疆维吾尔自治区财政绩效管理信息系统绩效评价模块中统一格式和文本框架撰写绩效评价报告并提交审核。</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5.问题整改</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6.档案整理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建立和落实档案管理制度，将项目相关资料存档，包括但不限于：评价项目基本情况和相关文件、评价实施方案、项目支付资料等相关档案。</w:t>
      </w:r>
    </w:p>
    <w:p w14:paraId="63CD6304">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三、综合评价情况及评价结论</w:t>
      </w:r>
    </w:p>
    <w:p w14:paraId="52FFB00D">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（一）综合评价情况</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经评价，本项目较大程度达成年初设立的绩效目标年初设立的绩效目标，在实施过程中取得了良好的成效，具体表现在：通过项目的实施，完成了执法监测13次，开展监测上岗培训1次，购入实验所需药剂1批，购入保障监测及实验开展办公用品1批，实验设备维修维护1次。项目支出15万元，其中开展培训、购置实验药剂、维护设备等费用5万元，开展执法监测费用4万元，保障实验室基本运转及实验室维修费用6万元。通过该项目的实施，提升干部工作积极性，提高了监测人员业务能力水平，保障了实验室正常运行。但在实施过程中也存在一些不足：个别指标目标设置较低，超额完成后，完成率超过100%，使得得分指标率下降。</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（二）评价结论</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此次绩效评价通过绩效评价小组论证的评价指标体系及评分标准，采用因素分析法和比较法对本项目绩效进行客观评价，最终评分结果：总分为98.5分，绩效评级为“优”。综合评价结论如下：本项目共设置三级指标数量23个，实现三级指标数量23个，总体完成率为102.27%。项目决策类指标共设置6个，满分指标6个，得分率100.0%；过程管理类指标共设置5个，满分指标5个，得分率100.0%；项目产出类指标共设置10个，满分指标9个，得分率95.00%；项目效益类指标共设置1个，满分指标1个，得分率100.0%；项目满意度类指标共设置1个，满分指标1个，得分率100.00%。详细情况见“表3-1：项目综合得分表”及“附件2：项目综合得分表”。</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表3-1：项目综合得分表</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指标 决策类 管理类 产出类 效益类 满意度类 合计</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权重 21.00 19.00 30.00 20.00 10.00 100.00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得分 21 19 28.50 20 10.00 98.5</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得分率 100% 100% 95.00% 100% 100% 98.5%</w:t>
      </w:r>
    </w:p>
    <w:p w14:paraId="1DBD2E60">
      <w:pPr>
        <w:spacing w:line="540" w:lineRule="exact"/>
        <w:ind w:firstLine="640"/>
        <w:rPr>
          <w:rStyle w:val="19"/>
          <w:rFonts w:ascii="黑体" w:hAnsi="黑体" w:eastAsia="黑体"/>
        </w:rPr>
      </w:pPr>
      <w:r>
        <w:rPr>
          <w:rStyle w:val="19"/>
          <w:rFonts w:hint="eastAsia" w:ascii="黑体" w:hAnsi="黑体" w:eastAsia="黑体"/>
          <w:b w:val="0"/>
          <w:spacing w:val="-4"/>
          <w:sz w:val="32"/>
          <w:szCs w:val="32"/>
        </w:rPr>
        <w:t>四、绩效评价指标分析</w:t>
      </w:r>
      <w:r>
        <w:rPr>
          <w:rStyle w:val="19"/>
          <w:rFonts w:hint="eastAsia" w:ascii="黑体" w:hAnsi="黑体" w:eastAsia="黑体"/>
        </w:rPr>
        <w:t xml:space="preserve"> </w:t>
      </w:r>
    </w:p>
    <w:p w14:paraId="07900468">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9"/>
          <w:rFonts w:hint="eastAsia" w:ascii="楷体" w:hAnsi="楷体" w:eastAsia="楷体"/>
          <w:spacing w:val="-4"/>
          <w:sz w:val="32"/>
          <w:szCs w:val="32"/>
        </w:rPr>
        <w:t>项目决策情况</w:t>
      </w:r>
    </w:p>
    <w:p w14:paraId="5332E081">
      <w:pPr>
        <w:tabs>
          <w:tab w:val="center" w:pos="4295"/>
        </w:tabs>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（一）项目决策情况</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项目决策类指标由3个二级指标和6个三级指标构成，权重分21.00分，实际得分21.00分。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1.项目立项情况分析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（1）立项依据充分性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立项符合生态环境部办公厅颁发的《关于印发&lt;中央生态环境资金项目储备库入库指南（2021年）&gt;的通知》（环办科财〔2021〕22号）中：“实施中央项目储备制度”，符合国家法律法规、国民经济发展规划和相关政策；本项目立项符合《呼图壁县生态环境保护“十四五”规划》中：“持续打好碧水保卫战，水环境质量保持良好”内容，符合行业发展规划和政策要求；本项目立项符合《昌吉州生态环境局单位配置内设机构和人员编制规定》中职责范围中的“负责环境污染防治的监督管理”，属于我单位履职所需；根据《财政资金直接支付申请书》，本项目资金性质为“公共财政预算”功能分类为“其他污染防治支出”经济分类为“委托业务费”属于公共财政支持范围，符合中央、地方事权支出责任划分原则；经检查我单位财政管理一体化信息系统，本项目不存在重复。</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综上所述，本指标满分为5.00分，根据评分标准得5.00分，本项目立项依据充分。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（2）立项程序规范性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为非基础建设类项目，不涉及发改立项批复流程，由我单位自行编制项目实施方案和项目预算申请计划，经过与党委会研究确定最终预算方案。经查看，该项目申请设立过程产生的相关文件，符合相关要求，本项目为非基础建设类项目，属于专项资金安排项目，不涉及事前绩效评估、可行性研究以及风险评估，由我单位严格按照《关于下达昌吉州2024年大气环境整治奖补资金的通知》（昌州财建〔2024〕109号）文件要求实施项目。</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综上所述，本指标满分为3.00分，根据评分标准得3.00分，本项目立项程序规范。</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2.绩效目标情况分析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（1）绩效目标合理性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①该项目已设置年度绩效目标，具体内容为2024年该项目计划完成执法监测10次，开展监测上岗培训1次，购入实验所需药剂1批，购入保障监测及实验开展办公用品1批，实验设备维修维护1次。项目计划于2024年12月10日完成。项目预计支出15万元，其中开展培训、购置实验药剂、维护设备等费用5万元，开展执法监测费用4万元，保障实验室基本运转及实验室维修费用6万元。通过该项目的实施，提升监测人员业务能力。。</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②该项目实际工作内容为：开展执法监测，开展监测上岗培训，购入购买实验所需药剂，购入保障监测及实验开展办公用品，进行实验设备维修维护。绩效目标与实际工作内容一致，两者具有相关性。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③该项目按照绩效目标完成数量指标、质量指标、时效指标、成本指标，完成了执法监测13次，开展监测上岗培训1次，购入实验所需药剂1批，购入保障监测及实验开展办公用品1批，实验设备维修维护1次，项目于2024年12月10日完成。项目支出15万元，其中开展培训、购置实验药剂、维护设备等费用5万元，开展执法监测费用4万元，保障实验室基本运转及实验室维修费用6万元。达到提高了监测人员业务能力水平，保障了实验室正常运行的效益，预期产出效益和效果符合正常的业绩水平。</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④该项目批复的预算金额为15.00万元，《项目支出绩效目标表》中预算金额为15.00万元，预算确定的项目资金与预算确定的项目投资额相匹配。</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综上所述，本指标满分为4.00分，根据评分标准得4.00分，本项目绩效目标设置合理。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（2）绩效指标明确性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经检查我单位年初设置的《项目支出绩效目标表》，得出如下结论：本项目已将年度绩效目标进行细化为绩效指标体系，共设置一级指标4个，二级指标6个，三级指标12个，定量指标10个，定性指标2个，指标量化率为83.33%，量化率达70.00%以上。</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该《项目绩效目标表》中，数量指标指标值为“开展执法监测次数&gt;=10次”“开展监测上岗培训次数&gt;=1次”“购入保障监测及实验开展办公用品次数&gt;=1批”“实验设备维修维护次数&gt;=1次”“购入实验所需药剂次数&gt;=1批”，三级指标的年度指标值与年度绩效目标中任务数一致，已设置时效指标“项目完成时间”。已设置的绩效目标具备明确性、可衡量性、可实现性、相关性、时限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综上所述，本指标满分为3.00分，根据评分标准得3.00分，本项目所设置绩效指标明确。</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3.资金投入情况分析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（1）预算编制科学性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本项目为经费类项目，预算编制通过以往年度的实际执行情况，综合考虑本年度情况，综合编制预算，即预算编制较科学且经过论证；</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预算申请内容为该项目计划完成执法监测10次，开展监测上岗培训1次，购入实验所需药剂1批，购入保障监测及实验开展办公用品1批，实验设备维修维护1次。项目计划于2024年12月10日完成。项目预计支出15万元，其中开展培训、购置实验药剂、维护设备等费用5万元，开展执法监测费用4万元，保障实验室基本运转及实验室维修费用6万元。通过该项目的实施，提升监测人员业务能力。项目实际内容为该项目实际完成执法监测13次，开展监测上岗培训1次，购入实验所需药剂1批，购入保障监测及实验开展办公用品1批，实验设备维修维护1次，项目于2024年12月10日完成。项目支出15万元，其中开展培训、购置实验药剂、维护设备等费用5万元，开展执法监测费用4万元，保障实验室基本运转及实验室维修费用6万元。通过该项目的实施，提升干部工作积极性，提高了监测人员业务能力水平，保障了实验室正常运行。预算申请与《呼图壁县水污染防治执法监测、应急监测项目项目实施方案》中涉及的项目内容匹配；</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预算申请资金15.00万元，我单位在预算申请中严格按照项目实施内容及测算标准进行核算，其中：开展培训、购置实验药剂、维护设备等费用5.00万元、开展执法监测费用4.00万元、保障实验室基本运转及实验室维修费用6.00万元。预算确定资金量与实际工作任务相匹配。本项目预算额度测算依据充分，严格按照标准编制，预算确定资金量与实际工作任务相匹配；</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综上所述，本指标满分为4.00分，根据评分标准得4.00分，本项目预算编制科学。</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（2）资金分配合理性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实际分配资金以《关于下达昌吉州2024年大气环境整治奖补资金的通知》（昌州财建〔2024〕109号）为依据进行资金分配，预算资金分配依据充分。根据《关于下达昌吉州2024年大气环境整治奖补资金的通知》（昌州财建〔2024〕109号） ，本项目实际到位资金15万元，资金分配额度合理，与我单位实际需求相适应。</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综上所述，本指标满分为2.00分，根据评分标准得2.00分，本项目资金分配合理。</w:t>
      </w:r>
      <w:r>
        <w:rPr>
          <w:rStyle w:val="19"/>
          <w:rFonts w:hint="eastAsia" w:ascii="楷体" w:hAnsi="楷体" w:eastAsia="楷体"/>
          <w:b w:val="0"/>
          <w:bCs w:val="0"/>
          <w:spacing w:val="-4"/>
          <w:sz w:val="32"/>
          <w:szCs w:val="32"/>
        </w:rPr>
        <w:tab/>
      </w:r>
    </w:p>
    <w:p w14:paraId="3D5CB389">
      <w:pPr>
        <w:spacing w:line="540" w:lineRule="exact"/>
        <w:ind w:firstLine="567" w:firstLineChars="181"/>
        <w:rPr>
          <w:rStyle w:val="19"/>
          <w:rFonts w:ascii="楷体" w:hAnsi="楷体" w:eastAsia="楷体"/>
          <w:spacing w:val="-4"/>
          <w:sz w:val="32"/>
          <w:szCs w:val="32"/>
        </w:rPr>
      </w:pPr>
      <w:r>
        <w:rPr>
          <w:rFonts w:hint="eastAsia" w:ascii="楷体" w:hAnsi="楷体" w:eastAsia="楷体"/>
          <w:b/>
          <w:spacing w:val="-4"/>
          <w:sz w:val="32"/>
          <w:szCs w:val="32"/>
        </w:rPr>
        <w:t>（二）</w:t>
      </w:r>
      <w:r>
        <w:rPr>
          <w:rStyle w:val="19"/>
          <w:rFonts w:hint="eastAsia" w:ascii="楷体" w:hAnsi="楷体" w:eastAsia="楷体"/>
          <w:spacing w:val="-4"/>
          <w:sz w:val="32"/>
          <w:szCs w:val="32"/>
        </w:rPr>
        <w:t>项目过程情况</w:t>
      </w:r>
    </w:p>
    <w:p w14:paraId="0E207F09">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项目过程管理类指标由2个二级指标和5个三级指标构成，权重分19.00分，实际得分19.00分。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1.资金管理情况分析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（1）资金到位率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预算资金为15.00万元，其中：财政安排资金15.00万元，其他资金0.00万元，实际到位资金15.00万元，资金到位率=（实际到位资金/预算资金）×100.00%=（15.00/15.00）×100.00%=100.00%。得分=（实际执行率-60.00%）/（1-60.00%）×4.00=4.00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综上所述，本指标满分为4.00分，根据评分标准得4.00分，本项目资金分配合理。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（2）预算执行率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本项目实际支出资金15.00万元，预算执行率=（实际支出资金/实际到位资金）×100.00%=（15.00/15.00）×100.00%=100.00%；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项目已完成，总体完成率为104.35%；</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得分=（实际完成率-60.00%）/（1-60.00%）×权重=100.00%×5.00=5.00分。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综上所述，本指标满分为5.00分，根据评分标准得5.00分，本项目资金分配合理。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（3）资金使用合规性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通过检查本项目签订的合同、资金申请文件、发票等财务付款凭证，得出本项目资金支出符合国家财经法规、《政府会计制度》《昌吉州生态环境局呼图壁县分局单位资金管理办法》《昌吉州生态环境局呼图壁县分局专项资金管理办法》，资金的拨付有完整的审批程序和手续，资金实际使用方向与预算批复用途一致，不存在截留、挤占、挪用、虚列支出的情况。</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综上所述，本指标满分为4.00分，根据评分标准得4.00分，资金支出符合我单位财务管理制度规定。</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2.组织实施情况分析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（1）管理制度健全性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我单位已制定《昌吉州生态环境局呼图壁县分局资金管理办法》《昌吉州生态环境局呼图壁县分局收支业务管理制度》《昌吉州生态环境局呼图壁县分局政府采购业务管理制度》《昌吉州生态环境局呼图壁县分局合同管理制度》，上述已建立的制度均符合行政事业单位内控管理要求，财务和业务管理制度合法、合规、完整，本项目执行符合上述制度规定。</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综上所述，本指标满分为2.00分，根据评分标准得2.00分，项目制度建设健全。</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（2）制度执行有效性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①该项目的实施符合《昌吉州生态环境局呼图壁县分局管理制度》《昌吉州生态环境局呼图壁县分局采购业务管理制度》《昌吉州生态环境局呼图壁县分局合同管理制度》等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②经现场查证项目合同书、验收评审表、财务支付凭证等资料齐全并及时归档。</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③该项目实施过程中不存在调整事项。</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④该项目实施所需要的项目人员和场地设备均已落实到位，具体涉及内容包括：项目资金支出严格按照自治区、地区以及本单位资金管理办法执行，项目启动实施后，为了加快本项目的实施，成立了呼图壁县水污染防治执法监测、应急监测项目项目工作领导小组，由刘林任组长，负责项目的组织工作；刘思敏任副组长，负责项目的实施工作；组员包括：王婧璇和史浩铂，主要负责项目监督管理、验收以及资金核拨等工作。</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综上所述，本指标满分为4.00分，根据评分标准得4.00分，本项目所建立制度执行有效。</w:t>
      </w:r>
    </w:p>
    <w:p w14:paraId="04642A65">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9"/>
          <w:rFonts w:hint="eastAsia" w:ascii="楷体" w:hAnsi="楷体" w:eastAsia="楷体"/>
          <w:spacing w:val="-4"/>
          <w:sz w:val="32"/>
          <w:szCs w:val="32"/>
        </w:rPr>
        <w:t>项目产出情况</w:t>
      </w:r>
    </w:p>
    <w:p w14:paraId="2710EC9F">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项目产出类指标由4个二级指标和10个三级指标构成，权重分30.00分，实际得分28.50分。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1.数量指标完成情况分析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“开展执法监测次数（次）”指标：预期指标值为“≥10次”，实际完成指标值为“=13次”，指标完成率为130.00%。扣分原因分析：计划完成10执法监测次，期间按要求开展临时检查，实际完成13次，超计划完成。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综上所述，本指标满分为5.00分，根据评分标准得3.50分。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“开展监测上岗培训次数（次）”指标：预期指标值为“≥1次”，实际完成指标值为“=1次”，指标完成率为100.00%。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综上所述，本指标满分为2.50分，根据评分标准得2.50分。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“购入保障监测及实验开展办公用品次数（批）”指标：预期指标值为“≥1批”，实际完成指标值为“=1批”，指标完成率为100.00%。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综上所述，本指标满分为2.50分，根据评分标准得2.50分。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“实验设备维修维护次数（次）”指标：预期指标值为“≥1次”，实际完成指标值为“=1次”，指标完成率为100.00%。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综上所述，本指标满分为2.50分，根据评分标准得2.50分。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“购入实验所需药剂次数（批）”指标：预期指标值为“≥1批”，实际完成指标值为“=1批”，指标完成率为100.00%。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综上所述，本指标满分为2.50分，根据评分标准得2.50分。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2.质量指标完成情况分析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“生态环境监测数据准确率（%）”指标：预期指标值为“≥90%”，实际完成指标值为“=100%”，指标完成率为111.11%。</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综上所述，本指标满分为2.50分，根据评分标准得2.5分。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3.时效指标完成情况分析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“项目完成时间”指标：预期指标值为“2024年12月10日前”，实际完成指标值为“2024年12月9日”，指标完成率为100.00%。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综上所述，本指标满分为2.50分，根据评分标准得2.50分。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4.成本指标完成情况分析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（1）经济成本指标完成情况分析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“开展培训、购置实验药剂、维护设备等费用（万元）”指标：预期指标值为“≤5万元”，实际完成指标值为“=5万元”，指标完成率为100.00%。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综上所述，本指标满分为3.50分，根据评分标准得3.50分。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“开展执法监测费用（万元）”指标：预期指标值为“≤4万元”，实际完成指标值为“=4万元”，指标完成率为100.00%。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综上所述，本指标满分为2.50分，根据评分标准得2.50分。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“保障实验室基本运转及实验室维修费用（万元）”指标：预期指标值为“≤6万元”，实际完成指标值为“=6万元”，指标完成率为100.00%。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综上所述，本指标满分为4.00分，根据评分标准得4.00分。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（2）社会成本指标完成情况分析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无此类指标。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（3）生态环境成本指标完成情况分析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无此类指标。</w:t>
      </w:r>
    </w:p>
    <w:p w14:paraId="5F00D695">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9"/>
          <w:rFonts w:hint="eastAsia" w:ascii="楷体" w:hAnsi="楷体" w:eastAsia="楷体"/>
          <w:spacing w:val="-4"/>
          <w:sz w:val="32"/>
          <w:szCs w:val="32"/>
        </w:rPr>
        <w:t>项目效益情况</w:t>
      </w:r>
    </w:p>
    <w:p w14:paraId="46204712">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项目效益类指标由1个二级指标和1个三级指标构成，权重分20.00分，实际得分20.00分。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1.社会效益完成情况分析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“提升监测人员业务能力”指标：预期指标值为“有效提升”，实际完成指标值为“达到预期指标”，指标完成率为100.00%。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综上所述，本指标满分为20.00分，根据评分标准得20.00分。</w:t>
      </w:r>
    </w:p>
    <w:p w14:paraId="5F49D4F3">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项目满意度类指标由1个二级指标和1个三级指标构成，权重分10.00分，实际得分8.89分。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1.满意度完成情况分析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“工作人员满意度（%）”指标：预期指标值为“≥90%”，实际完成指标值为“=100%”，指标完成率为111.11%。</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综上所述，本指标满分为10.00分，根据评分标准得10分。</w:t>
      </w:r>
    </w:p>
    <w:p w14:paraId="21933432">
      <w:pPr>
        <w:spacing w:line="540" w:lineRule="exact"/>
        <w:ind w:firstLine="567"/>
        <w:rPr>
          <w:rStyle w:val="19"/>
          <w:rFonts w:hint="eastAsia" w:ascii="楷体" w:hAnsi="楷体" w:eastAsia="楷体"/>
          <w:b w:val="0"/>
          <w:bCs w:val="0"/>
          <w:spacing w:val="-4"/>
          <w:sz w:val="32"/>
          <w:szCs w:val="32"/>
        </w:rPr>
      </w:pPr>
    </w:p>
    <w:p w14:paraId="4C7E2A4E">
      <w:pPr>
        <w:spacing w:line="540" w:lineRule="exact"/>
        <w:ind w:firstLine="567"/>
        <w:rPr>
          <w:rStyle w:val="19"/>
          <w:rFonts w:ascii="楷体" w:hAnsi="楷体" w:eastAsia="楷体"/>
          <w:spacing w:val="-4"/>
          <w:sz w:val="32"/>
          <w:szCs w:val="32"/>
        </w:rPr>
      </w:pPr>
    </w:p>
    <w:p w14:paraId="5E6308FE">
      <w:pPr>
        <w:numPr>
          <w:ilvl w:val="0"/>
          <w:numId w:val="1"/>
        </w:numPr>
        <w:spacing w:line="540" w:lineRule="exact"/>
        <w:ind w:firstLine="640"/>
        <w:rPr>
          <w:rStyle w:val="19"/>
          <w:rFonts w:hint="eastAsia" w:ascii="黑体" w:hAnsi="黑体" w:eastAsia="黑体"/>
          <w:b w:val="0"/>
          <w:spacing w:val="-4"/>
          <w:sz w:val="32"/>
          <w:szCs w:val="32"/>
        </w:rPr>
      </w:pPr>
      <w:r>
        <w:rPr>
          <w:rStyle w:val="19"/>
          <w:rFonts w:hint="eastAsia" w:ascii="黑体" w:hAnsi="黑体" w:eastAsia="黑体"/>
          <w:b w:val="0"/>
          <w:spacing w:val="-4"/>
          <w:sz w:val="32"/>
          <w:szCs w:val="32"/>
        </w:rPr>
        <w:t>主要经验及做法、存在的问题及原因分析</w:t>
      </w:r>
    </w:p>
    <w:p w14:paraId="3E914A0A">
      <w:pPr>
        <w:spacing w:line="540" w:lineRule="exact"/>
        <w:ind w:firstLine="567"/>
        <w:rPr>
          <w:rFonts w:ascii="仿宋_GB2312" w:eastAsia="仿宋_GB2312"/>
          <w:spacing w:val="-4"/>
          <w:sz w:val="32"/>
          <w:szCs w:val="32"/>
        </w:rPr>
      </w:pPr>
      <w:r>
        <w:rPr>
          <w:rStyle w:val="19"/>
          <w:rFonts w:hint="eastAsia" w:ascii="楷体" w:hAnsi="楷体" w:eastAsia="楷体"/>
          <w:b w:val="0"/>
          <w:bCs w:val="0"/>
          <w:spacing w:val="-4"/>
          <w:sz w:val="32"/>
          <w:szCs w:val="32"/>
        </w:rPr>
        <w:t>（一）主要经验及做法</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一是领导重视到位：高度重视，主要领导亲自抓，并予以充分的人力、财力保障。责任落实到位：将各项目工作列入年度干部绩效考核实施方案，将各项目工作落实到具体科室、具体岗位、具体个人。</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二是合理合规使用经费。根据项目业务流程，参考历年经费使用情况，认真测算各阶段所需经费，确保当前项目实施经费充足。在经费使用方面，严格执行经费使用管理制度，厉行节约，专款专用，对每笔经费使用情况建立监督机制，确保经费使用合理合规。</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三是健全项目管理制度。我单位已有保证项目实施的制度、措施等，如《中华人民共和国预算法》等。</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（二）存在的问题及原因分析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绩效档案归档工作有待提高：对档案工作重视程度不高，意识淡薄。单位人员对绩效档案管理工作重视程度不够，不注重关键时间节点材料的鉴定归档，造成绩效管理工作档案缺失。单位人员对档案管理工作缺少针对性和目的性，对绩效档案工作重要性的认识不足，缺乏熟练的业务知识，使绩效档案管理与实际业务存在一定偏差，未发挥其综合价值。</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监测人员专业能力参差不齐，培训不足：部分监测人员专业知识老化，对新的监测技术和标准掌握不熟练，在执法监测和应急监测工作中存在设备使用不规范、标准掌握不熟练等问题，难以保证监测质量。如在分析复杂污染物成分时，存在操作不规范、数据解读错误等问题。原因在于监测单位对人员培训重视程度不够，培训体系不完善，培训内容和方式缺乏针对性和时效性。</w:t>
      </w:r>
    </w:p>
    <w:p w14:paraId="030B391C">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lang w:val="en-US" w:eastAsia="zh-CN"/>
        </w:rPr>
        <w:t>六</w:t>
      </w:r>
      <w:r>
        <w:rPr>
          <w:rStyle w:val="19"/>
          <w:rFonts w:hint="eastAsia" w:ascii="黑体" w:hAnsi="黑体" w:eastAsia="黑体"/>
          <w:b w:val="0"/>
          <w:spacing w:val="-4"/>
          <w:sz w:val="32"/>
          <w:szCs w:val="32"/>
        </w:rPr>
        <w:t>、有关建议</w:t>
      </w:r>
    </w:p>
    <w:p w14:paraId="2242BD25">
      <w:pPr>
        <w:spacing w:line="540" w:lineRule="exact"/>
        <w:ind w:firstLine="567"/>
        <w:rPr>
          <w:rStyle w:val="19"/>
          <w:rFonts w:ascii="楷体" w:hAnsi="楷体" w:eastAsia="楷体"/>
          <w:spacing w:val="-4"/>
          <w:sz w:val="32"/>
          <w:szCs w:val="32"/>
        </w:rPr>
      </w:pPr>
      <w:r>
        <w:rPr>
          <w:rStyle w:val="19"/>
          <w:rFonts w:hint="eastAsia" w:ascii="楷体" w:hAnsi="楷体" w:eastAsia="楷体"/>
          <w:b w:val="0"/>
          <w:bCs w:val="0"/>
          <w:spacing w:val="-4"/>
          <w:sz w:val="32"/>
          <w:szCs w:val="32"/>
        </w:rPr>
        <w:t>1.扎实推进档案规范化建设，提升档案管理水平：进一步完善项目评价资料。项目启动时同步做好档案的归纳与整理，及时整理、收集、汇总，健全档案资料。严格落实自治区关于绩效管理工作档案资料归档的相关要求，强化收集力度，确保归档资料的完整齐全。</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构建系统的监测人员培训体系，提高人员业务水平：制定专项业务培训计划，定期组织专业技能培训和考核，邀请行业专家授课，培训内容涵盖新技术应用、新监测标准解读等。同时，鼓励监测人员参加学术交流和技能竞赛，拓宽知识面，提升专业能力。</w:t>
      </w:r>
    </w:p>
    <w:p w14:paraId="066C9EAE">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lang w:val="en-US" w:eastAsia="zh-CN"/>
        </w:rPr>
        <w:t>七</w:t>
      </w:r>
      <w:r>
        <w:rPr>
          <w:rStyle w:val="19"/>
          <w:rFonts w:hint="eastAsia" w:ascii="黑体" w:hAnsi="黑体" w:eastAsia="黑体"/>
          <w:b w:val="0"/>
          <w:spacing w:val="-4"/>
          <w:sz w:val="32"/>
          <w:szCs w:val="32"/>
        </w:rPr>
        <w:t>、其他需要说明的问题</w:t>
      </w:r>
    </w:p>
    <w:p w14:paraId="74ACD019">
      <w:pPr>
        <w:spacing w:line="540" w:lineRule="exact"/>
        <w:ind w:firstLine="567"/>
        <w:rPr>
          <w:rStyle w:val="19"/>
          <w:rFonts w:ascii="仿宋" w:hAnsi="仿宋" w:eastAsia="仿宋"/>
          <w:b w:val="0"/>
          <w:spacing w:val="-4"/>
          <w:sz w:val="32"/>
          <w:szCs w:val="32"/>
        </w:rPr>
      </w:pPr>
      <w:r>
        <w:rPr>
          <w:rStyle w:val="19"/>
          <w:rFonts w:hint="eastAsia" w:ascii="楷体" w:hAnsi="楷体" w:eastAsia="楷体"/>
          <w:b w:val="0"/>
          <w:bCs w:val="0"/>
          <w:spacing w:val="-4"/>
          <w:sz w:val="32"/>
          <w:szCs w:val="32"/>
        </w:rPr>
        <w:t>（一）本项目部分间接产生的效果无法准确在短期内衡量，因此很难认定项目产生的全部效果。通过指标来反映绩效，指标的科学性和全面性需要不断地完善和研究。</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（二）评价结果作为安排政府预算、完善政策和改进管理的重要依据。原则上，对评价等级为优、良的，根据情况予以支持；对评价等级为中、差的，要完善政策、改进管理，根据情况核减预算。</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（三）评价结果分别编入政府决算和部门预算，报送本级人民代表大会常务委员会，并依法予以公开。</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D564259B-8C62-439A-815B-5DEEAA4212F9}"/>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2" w:fontKey="{86C2F1D8-D879-4A3B-9744-0EE077E02F43}"/>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embedRegular r:id="rId3" w:fontKey="{4B958E94-2251-4E95-AFA6-D1E1E0507FA7}"/>
  </w:font>
  <w:font w:name="华文中宋">
    <w:panose1 w:val="02010600040101010101"/>
    <w:charset w:val="86"/>
    <w:family w:val="auto"/>
    <w:pitch w:val="default"/>
    <w:sig w:usb0="00000287" w:usb1="080F0000" w:usb2="00000000" w:usb3="00000000" w:csb0="0004009F" w:csb1="DFD70000"/>
    <w:embedRegular r:id="rId4" w:fontKey="{0435D978-1EF2-41C5-8AF4-05AE5D90A7D1}"/>
  </w:font>
  <w:font w:name="方正小标宋_GBK">
    <w:panose1 w:val="02000000000000000000"/>
    <w:charset w:val="86"/>
    <w:family w:val="script"/>
    <w:pitch w:val="default"/>
    <w:sig w:usb0="A00002BF" w:usb1="38CF7CFA" w:usb2="00082016" w:usb3="00000000" w:csb0="00040001" w:csb1="00000000"/>
    <w:embedRegular r:id="rId5" w:fontKey="{8B63339D-0B5A-4C49-8D4F-BDE7150869B4}"/>
  </w:font>
  <w:font w:name="仿宋_GB2312">
    <w:altName w:val="仿宋"/>
    <w:panose1 w:val="00000000000000000000"/>
    <w:charset w:val="86"/>
    <w:family w:val="modern"/>
    <w:pitch w:val="default"/>
    <w:sig w:usb0="00000000" w:usb1="00000000" w:usb2="00000010" w:usb3="00000000" w:csb0="00040000" w:csb1="00000000"/>
    <w:embedRegular r:id="rId6" w:fontKey="{E7B408B3-311A-4EA8-852F-C2434002CE45}"/>
  </w:font>
  <w:font w:name="楷体">
    <w:panose1 w:val="02010609060101010101"/>
    <w:charset w:val="86"/>
    <w:family w:val="modern"/>
    <w:pitch w:val="default"/>
    <w:sig w:usb0="800002BF" w:usb1="38CF7CFA" w:usb2="00000016" w:usb3="00000000" w:csb0="00040001" w:csb1="00000000"/>
    <w:embedRegular r:id="rId7" w:fontKey="{87774F8E-B82B-4F51-9F1C-C2DD059BF822}"/>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1242B6BC">
        <w:pPr>
          <w:pStyle w:val="12"/>
          <w:jc w:val="center"/>
        </w:pPr>
        <w:r>
          <w:fldChar w:fldCharType="begin"/>
        </w:r>
        <w:r>
          <w:instrText xml:space="preserve">PAGE   \* MERGEFORMAT</w:instrText>
        </w:r>
        <w:r>
          <w:fldChar w:fldCharType="separate"/>
        </w:r>
        <w:r>
          <w:rPr>
            <w:lang w:val="zh-CN"/>
          </w:rPr>
          <w:t>2</w:t>
        </w:r>
        <w:r>
          <w:fldChar w:fldCharType="end"/>
        </w:r>
      </w:p>
    </w:sdtContent>
  </w:sdt>
  <w:p w14:paraId="0435B563">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singleLevel"/>
    <w:tmpl w:val="0053208E"/>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000000"/>
    <w:rsid w:val="14646FB0"/>
    <w:rsid w:val="2CE62CF4"/>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semiHidden/>
    <w:unhideWhenUsed/>
    <w:qFormat/>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6"/>
    <w:semiHidden/>
    <w:unhideWhenUsed/>
    <w:qFormat/>
    <w:uiPriority w:val="99"/>
    <w:rPr>
      <w:sz w:val="18"/>
      <w:szCs w:val="18"/>
    </w:rPr>
  </w:style>
  <w:style w:type="paragraph" w:styleId="12">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4"/>
    <w:autoRedefine/>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table" w:styleId="17">
    <w:name w:val="Table Grid"/>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1">
    <w:name w:val="标题 1 Char"/>
    <w:basedOn w:val="18"/>
    <w:link w:val="2"/>
    <w:qFormat/>
    <w:uiPriority w:val="9"/>
    <w:rPr>
      <w:rFonts w:asciiTheme="majorHAnsi" w:hAnsiTheme="majorHAnsi" w:eastAsiaTheme="majorEastAsia"/>
      <w:b/>
      <w:bCs/>
      <w:kern w:val="32"/>
      <w:sz w:val="32"/>
      <w:szCs w:val="32"/>
    </w:rPr>
  </w:style>
  <w:style w:type="character" w:customStyle="1" w:styleId="22">
    <w:name w:val="标题 2 Char"/>
    <w:basedOn w:val="18"/>
    <w:link w:val="3"/>
    <w:semiHidden/>
    <w:qFormat/>
    <w:uiPriority w:val="9"/>
    <w:rPr>
      <w:rFonts w:asciiTheme="majorHAnsi" w:hAnsiTheme="majorHAnsi" w:eastAsiaTheme="majorEastAsia"/>
      <w:b/>
      <w:bCs/>
      <w:i/>
      <w:iCs/>
      <w:sz w:val="28"/>
      <w:szCs w:val="28"/>
    </w:rPr>
  </w:style>
  <w:style w:type="character" w:customStyle="1" w:styleId="23">
    <w:name w:val="标题 3 Char"/>
    <w:basedOn w:val="18"/>
    <w:link w:val="4"/>
    <w:semiHidden/>
    <w:qFormat/>
    <w:uiPriority w:val="9"/>
    <w:rPr>
      <w:rFonts w:asciiTheme="majorHAnsi" w:hAnsiTheme="majorHAnsi" w:eastAsiaTheme="majorEastAsia"/>
      <w:b/>
      <w:bCs/>
      <w:sz w:val="26"/>
      <w:szCs w:val="26"/>
    </w:rPr>
  </w:style>
  <w:style w:type="character" w:customStyle="1" w:styleId="24">
    <w:name w:val="标题 4 Char"/>
    <w:basedOn w:val="18"/>
    <w:link w:val="5"/>
    <w:semiHidden/>
    <w:qFormat/>
    <w:uiPriority w:val="9"/>
    <w:rPr>
      <w:b/>
      <w:bCs/>
      <w:sz w:val="28"/>
      <w:szCs w:val="28"/>
    </w:rPr>
  </w:style>
  <w:style w:type="character" w:customStyle="1" w:styleId="25">
    <w:name w:val="标题 5 Char"/>
    <w:basedOn w:val="18"/>
    <w:link w:val="6"/>
    <w:semiHidden/>
    <w:qFormat/>
    <w:uiPriority w:val="9"/>
    <w:rPr>
      <w:b/>
      <w:bCs/>
      <w:i/>
      <w:iCs/>
      <w:sz w:val="26"/>
      <w:szCs w:val="26"/>
    </w:rPr>
  </w:style>
  <w:style w:type="character" w:customStyle="1" w:styleId="26">
    <w:name w:val="标题 6 Char"/>
    <w:basedOn w:val="18"/>
    <w:link w:val="7"/>
    <w:semiHidden/>
    <w:qFormat/>
    <w:uiPriority w:val="9"/>
    <w:rPr>
      <w:b/>
      <w:bCs/>
    </w:rPr>
  </w:style>
  <w:style w:type="character" w:customStyle="1" w:styleId="27">
    <w:name w:val="标题 7 Char"/>
    <w:basedOn w:val="18"/>
    <w:link w:val="8"/>
    <w:semiHidden/>
    <w:qFormat/>
    <w:uiPriority w:val="9"/>
    <w:rPr>
      <w:sz w:val="24"/>
      <w:szCs w:val="24"/>
    </w:rPr>
  </w:style>
  <w:style w:type="character" w:customStyle="1" w:styleId="28">
    <w:name w:val="标题 8 Char"/>
    <w:basedOn w:val="18"/>
    <w:link w:val="9"/>
    <w:semiHidden/>
    <w:qFormat/>
    <w:uiPriority w:val="9"/>
    <w:rPr>
      <w:i/>
      <w:iCs/>
      <w:sz w:val="24"/>
      <w:szCs w:val="24"/>
    </w:rPr>
  </w:style>
  <w:style w:type="character" w:customStyle="1" w:styleId="29">
    <w:name w:val="标题 9 Char"/>
    <w:basedOn w:val="18"/>
    <w:link w:val="10"/>
    <w:semiHidden/>
    <w:qFormat/>
    <w:uiPriority w:val="9"/>
    <w:rPr>
      <w:rFonts w:asciiTheme="majorHAnsi" w:hAnsiTheme="majorHAnsi" w:eastAsiaTheme="majorEastAsia"/>
    </w:rPr>
  </w:style>
  <w:style w:type="character" w:customStyle="1" w:styleId="30">
    <w:name w:val="标题 Char"/>
    <w:basedOn w:val="18"/>
    <w:link w:val="15"/>
    <w:qFormat/>
    <w:uiPriority w:val="10"/>
    <w:rPr>
      <w:rFonts w:asciiTheme="majorHAnsi" w:hAnsiTheme="majorHAnsi" w:eastAsiaTheme="majorEastAsia"/>
      <w:b/>
      <w:bCs/>
      <w:kern w:val="28"/>
      <w:sz w:val="32"/>
      <w:szCs w:val="32"/>
    </w:rPr>
  </w:style>
  <w:style w:type="character" w:customStyle="1" w:styleId="31">
    <w:name w:val="副标题 Char"/>
    <w:basedOn w:val="18"/>
    <w:link w:val="14"/>
    <w:qFormat/>
    <w:uiPriority w:val="11"/>
    <w:rPr>
      <w:rFonts w:asciiTheme="majorHAnsi" w:hAnsiTheme="majorHAnsi" w:eastAsiaTheme="majorEastAsia"/>
      <w:sz w:val="24"/>
      <w:szCs w:val="24"/>
    </w:rPr>
  </w:style>
  <w:style w:type="paragraph" w:styleId="32">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3">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4">
    <w:name w:val="Quote"/>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Char"/>
    <w:basedOn w:val="18"/>
    <w:link w:val="34"/>
    <w:qFormat/>
    <w:uiPriority w:val="29"/>
    <w:rPr>
      <w:i/>
      <w:sz w:val="24"/>
      <w:szCs w:val="24"/>
    </w:rPr>
  </w:style>
  <w:style w:type="paragraph" w:styleId="36">
    <w:name w:val="Intense Quote"/>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Char"/>
    <w:basedOn w:val="18"/>
    <w:link w:val="36"/>
    <w:qFormat/>
    <w:uiPriority w:val="30"/>
    <w:rPr>
      <w:b/>
      <w:i/>
      <w:sz w:val="24"/>
    </w:rPr>
  </w:style>
  <w:style w:type="character" w:customStyle="1" w:styleId="38">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9">
    <w:name w:val="明显强调1"/>
    <w:basedOn w:val="18"/>
    <w:qFormat/>
    <w:uiPriority w:val="21"/>
    <w:rPr>
      <w:b/>
      <w:i/>
      <w:sz w:val="24"/>
      <w:szCs w:val="24"/>
      <w:u w:val="single"/>
    </w:rPr>
  </w:style>
  <w:style w:type="character" w:customStyle="1" w:styleId="40">
    <w:name w:val="不明显参考1"/>
    <w:basedOn w:val="18"/>
    <w:qFormat/>
    <w:uiPriority w:val="31"/>
    <w:rPr>
      <w:sz w:val="24"/>
      <w:szCs w:val="24"/>
      <w:u w:val="single"/>
    </w:rPr>
  </w:style>
  <w:style w:type="character" w:customStyle="1" w:styleId="41">
    <w:name w:val="明显参考1"/>
    <w:basedOn w:val="18"/>
    <w:qFormat/>
    <w:uiPriority w:val="32"/>
    <w:rPr>
      <w:b/>
      <w:sz w:val="24"/>
      <w:u w:val="single"/>
    </w:rPr>
  </w:style>
  <w:style w:type="character" w:customStyle="1" w:styleId="42">
    <w:name w:val="书籍标题1"/>
    <w:basedOn w:val="18"/>
    <w:qFormat/>
    <w:uiPriority w:val="33"/>
    <w:rPr>
      <w:rFonts w:asciiTheme="majorHAnsi" w:hAnsiTheme="majorHAnsi" w:eastAsiaTheme="majorEastAsia"/>
      <w:b/>
      <w:i/>
      <w:sz w:val="24"/>
      <w:szCs w:val="24"/>
    </w:rPr>
  </w:style>
  <w:style w:type="paragraph" w:customStyle="1" w:styleId="43">
    <w:name w:val="TOC 标题1"/>
    <w:basedOn w:val="2"/>
    <w:next w:val="1"/>
    <w:semiHidden/>
    <w:unhideWhenUsed/>
    <w:qFormat/>
    <w:uiPriority w:val="39"/>
    <w:pPr>
      <w:outlineLvl w:val="9"/>
    </w:pPr>
    <w:rPr>
      <w:lang w:eastAsia="en-US" w:bidi="en-US"/>
    </w:rPr>
  </w:style>
  <w:style w:type="character" w:customStyle="1" w:styleId="44">
    <w:name w:val="页眉 Char"/>
    <w:basedOn w:val="18"/>
    <w:link w:val="13"/>
    <w:qFormat/>
    <w:uiPriority w:val="99"/>
    <w:rPr>
      <w:rFonts w:ascii="Calibri" w:hAnsi="Calibri" w:eastAsia="宋体"/>
      <w:kern w:val="2"/>
      <w:sz w:val="18"/>
      <w:szCs w:val="18"/>
    </w:rPr>
  </w:style>
  <w:style w:type="character" w:customStyle="1" w:styleId="45">
    <w:name w:val="页脚 Char"/>
    <w:basedOn w:val="18"/>
    <w:link w:val="12"/>
    <w:qFormat/>
    <w:uiPriority w:val="99"/>
    <w:rPr>
      <w:rFonts w:ascii="Calibri" w:hAnsi="Calibri" w:eastAsia="宋体"/>
      <w:kern w:val="2"/>
      <w:sz w:val="18"/>
      <w:szCs w:val="18"/>
    </w:rPr>
  </w:style>
  <w:style w:type="character" w:customStyle="1" w:styleId="46">
    <w:name w:val="批注框文本 Char"/>
    <w:basedOn w:val="18"/>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

<file path=customXml/itemProps1.xml><?xml version="1.0" encoding="utf-8"?>
<ds:datastoreItem xmlns:ds="http://schemas.openxmlformats.org/officeDocument/2006/customXml" ds:itemID="{b54c0542-397e-42ec-b065-e84da0f386aa}">
  <ds:schemaRefs/>
</ds:datastoreItem>
</file>

<file path=docProps/app.xml><?xml version="1.0" encoding="utf-8"?>
<Properties xmlns="http://schemas.openxmlformats.org/officeDocument/2006/extended-properties" xmlns:vt="http://schemas.openxmlformats.org/officeDocument/2006/docPropsVTypes">
  <Template>Normal.dotm</Template>
  <Pages>26</Pages>
  <Words>13648</Words>
  <Characters>14556</Characters>
  <Lines>4</Lines>
  <Paragraphs>1</Paragraphs>
  <TotalTime>0</TotalTime>
  <ScaleCrop>false</ScaleCrop>
  <LinksUpToDate>false</LinksUpToDate>
  <CharactersWithSpaces>14599</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恺_xFF08_预算处_xFF09_</dc:creator>
  <cp:lastModifiedBy>忆</cp:lastModifiedBy>
  <cp:lastPrinted>2018-12-31T10:56:00Z</cp:lastPrinted>
  <dcterms:modified xsi:type="dcterms:W3CDTF">2025-10-16T04:57:21Z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86A4BE803B594D54BB30BEB283D7FDDD_13</vt:lpwstr>
  </property>
  <property fmtid="{D5CDD505-2E9C-101B-9397-08002B2CF9AE}" pid="4" name="KSOTemplateDocerSaveRecord">
    <vt:lpwstr>eyJoZGlkIjoiMzEwNjkzMWMxZWMzNzU0NmUyNzQ2NGY3YzlmZjBhZDUiLCJ1c2VySWQiOiI0OTMxMTE3MjUifQ==</vt:lpwstr>
  </property>
</Properties>
</file>