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昌吉回族自治州生态环境局呼图壁县分局2024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3AB9A35">
      <w:r>
        <w:br w:type="page"/>
      </w:r>
    </w:p>
    <w:p w14:paraId="5DF06D2C">
      <w:pPr>
        <w:spacing w:line="640" w:lineRule="exact"/>
        <w:jc w:val="center"/>
        <w:outlineLvl w:val="1"/>
      </w:pPr>
      <w:r>
        <w:rPr>
          <w:rFonts w:ascii="黑体" w:hAnsi="黑体" w:eastAsia="黑体"/>
          <w:sz w:val="32"/>
        </w:rPr>
        <w:t>第一部分 单位概况</w:t>
      </w:r>
    </w:p>
    <w:p w14:paraId="427039B2">
      <w:pPr>
        <w:spacing w:line="640" w:lineRule="exact"/>
        <w:ind w:firstLine="640"/>
        <w:jc w:val="both"/>
        <w:outlineLvl w:val="2"/>
      </w:pPr>
      <w:r>
        <w:rPr>
          <w:rFonts w:ascii="黑体" w:hAnsi="黑体" w:eastAsia="黑体"/>
          <w:sz w:val="32"/>
        </w:rPr>
        <w:t>一、主要职能</w:t>
      </w:r>
    </w:p>
    <w:p w14:paraId="6820F989">
      <w:pPr>
        <w:spacing w:line="580" w:lineRule="exact"/>
        <w:ind w:firstLine="640"/>
        <w:jc w:val="both"/>
      </w:pPr>
      <w:r>
        <w:rPr>
          <w:rFonts w:hint="eastAsia" w:ascii="仿宋_GB2312" w:hAnsi="仿宋_GB2312" w:eastAsia="仿宋_GB2312"/>
          <w:sz w:val="32"/>
          <w:lang w:eastAsia="zh-CN"/>
        </w:rPr>
        <w:t>1.</w:t>
      </w:r>
      <w:r>
        <w:rPr>
          <w:rFonts w:ascii="仿宋_GB2312" w:hAnsi="仿宋_GB2312" w:eastAsia="仿宋_GB2312"/>
          <w:sz w:val="32"/>
        </w:rPr>
        <w:t>昌吉回族自治州生态环境局呼图壁县</w:t>
      </w:r>
      <w:r>
        <w:rPr>
          <w:rFonts w:hint="eastAsia" w:ascii="仿宋_GB2312" w:hAnsi="仿宋_GB2312" w:eastAsia="仿宋_GB2312"/>
          <w:sz w:val="32"/>
          <w:lang w:eastAsia="zh-CN"/>
        </w:rPr>
        <w:t>分局</w:t>
      </w:r>
      <w:r>
        <w:rPr>
          <w:rFonts w:ascii="仿宋_GB2312" w:hAnsi="仿宋_GB2312" w:eastAsia="仿宋_GB2312"/>
          <w:sz w:val="32"/>
        </w:rPr>
        <w:t>主管国家环境保护基本制度；负责重大环境问题的统筹协调和监督管理。</w:t>
      </w:r>
    </w:p>
    <w:p w14:paraId="4F5C3023">
      <w:pPr>
        <w:spacing w:line="580" w:lineRule="exact"/>
        <w:ind w:firstLine="640"/>
        <w:jc w:val="both"/>
      </w:pPr>
      <w:r>
        <w:rPr>
          <w:rFonts w:hint="eastAsia" w:ascii="仿宋_GB2312" w:hAnsi="仿宋_GB2312" w:eastAsia="仿宋_GB2312"/>
          <w:sz w:val="32"/>
          <w:lang w:eastAsia="zh-CN"/>
        </w:rPr>
        <w:t>2.</w:t>
      </w:r>
      <w:r>
        <w:rPr>
          <w:rFonts w:ascii="仿宋_GB2312" w:hAnsi="仿宋_GB2312" w:eastAsia="仿宋_GB2312"/>
          <w:sz w:val="32"/>
        </w:rPr>
        <w:t>承担落实自治州和县减排目标的责任；承担从源头上预防、控制环境污染和环境破坏的责任。</w:t>
      </w:r>
    </w:p>
    <w:p w14:paraId="4020EA18">
      <w:pPr>
        <w:spacing w:line="580" w:lineRule="exact"/>
        <w:ind w:firstLine="640"/>
        <w:jc w:val="both"/>
      </w:pPr>
      <w:r>
        <w:rPr>
          <w:rFonts w:hint="eastAsia" w:ascii="仿宋_GB2312" w:hAnsi="仿宋_GB2312" w:eastAsia="仿宋_GB2312"/>
          <w:sz w:val="32"/>
          <w:lang w:eastAsia="zh-CN"/>
        </w:rPr>
        <w:t>3.</w:t>
      </w:r>
      <w:r>
        <w:rPr>
          <w:rFonts w:ascii="仿宋_GB2312" w:hAnsi="仿宋_GB2312" w:eastAsia="仿宋_GB2312"/>
          <w:sz w:val="32"/>
        </w:rPr>
        <w:t>负责环境污染防治的监督管理；指导、协调、监督生态保护工作；负责核安全和辐射安全的监督管理。</w:t>
      </w:r>
    </w:p>
    <w:p w14:paraId="4C372050">
      <w:pPr>
        <w:spacing w:line="580" w:lineRule="exact"/>
        <w:ind w:firstLine="640"/>
        <w:jc w:val="both"/>
      </w:pPr>
      <w:r>
        <w:rPr>
          <w:rFonts w:hint="eastAsia" w:ascii="仿宋_GB2312" w:hAnsi="仿宋_GB2312" w:eastAsia="仿宋_GB2312"/>
          <w:sz w:val="32"/>
          <w:lang w:eastAsia="zh-CN"/>
        </w:rPr>
        <w:t>4.</w:t>
      </w:r>
      <w:r>
        <w:rPr>
          <w:rFonts w:ascii="仿宋_GB2312" w:hAnsi="仿宋_GB2312" w:eastAsia="仿宋_GB2312"/>
          <w:sz w:val="32"/>
        </w:rPr>
        <w:t>负责环境监测和信息发布；开展环境保护科技工作；组织、指导和协调环境保护宣传教育工作。</w:t>
      </w:r>
    </w:p>
    <w:p w14:paraId="7366EA01">
      <w:pPr>
        <w:spacing w:line="580" w:lineRule="exact"/>
        <w:ind w:firstLine="640"/>
        <w:jc w:val="both"/>
      </w:pPr>
      <w:r>
        <w:rPr>
          <w:rFonts w:hint="eastAsia" w:ascii="仿宋_GB2312" w:hAnsi="仿宋_GB2312" w:eastAsia="仿宋_GB2312"/>
          <w:sz w:val="32"/>
          <w:lang w:eastAsia="zh-CN"/>
        </w:rPr>
        <w:t>5.</w:t>
      </w:r>
      <w:r>
        <w:rPr>
          <w:rFonts w:ascii="仿宋_GB2312" w:hAnsi="仿宋_GB2312" w:eastAsia="仿宋_GB2312"/>
          <w:sz w:val="32"/>
        </w:rPr>
        <w:t>指导县环境保护队伍建设；规划和组织全县环保系统在职人员岗位培训。</w:t>
      </w:r>
    </w:p>
    <w:p w14:paraId="2583DBA8">
      <w:pPr>
        <w:spacing w:line="580" w:lineRule="exact"/>
        <w:ind w:firstLine="640"/>
        <w:jc w:val="both"/>
      </w:pPr>
      <w:r>
        <w:rPr>
          <w:rFonts w:hint="eastAsia" w:ascii="仿宋_GB2312" w:hAnsi="仿宋_GB2312" w:eastAsia="仿宋_GB2312"/>
          <w:sz w:val="32"/>
          <w:lang w:eastAsia="zh-CN"/>
        </w:rPr>
        <w:t>6.</w:t>
      </w:r>
      <w:r>
        <w:rPr>
          <w:rFonts w:ascii="仿宋_GB2312" w:hAnsi="仿宋_GB2312" w:eastAsia="仿宋_GB2312"/>
          <w:sz w:val="32"/>
        </w:rPr>
        <w:t>承担县人民政府交办的其他事项。</w:t>
      </w:r>
    </w:p>
    <w:p w14:paraId="4E7A1EE1">
      <w:pPr>
        <w:spacing w:line="640" w:lineRule="exact"/>
        <w:ind w:firstLine="640"/>
        <w:jc w:val="both"/>
        <w:outlineLvl w:val="2"/>
      </w:pPr>
      <w:r>
        <w:rPr>
          <w:rFonts w:ascii="黑体" w:hAnsi="黑体" w:eastAsia="黑体"/>
          <w:sz w:val="32"/>
        </w:rPr>
        <w:t>二、机构设置及人员情况</w:t>
      </w:r>
    </w:p>
    <w:p w14:paraId="7131CF32">
      <w:pPr>
        <w:spacing w:line="580" w:lineRule="exact"/>
        <w:ind w:firstLine="640"/>
        <w:jc w:val="both"/>
      </w:pPr>
      <w:r>
        <w:rPr>
          <w:rFonts w:ascii="仿宋_GB2312" w:hAnsi="仿宋_GB2312" w:eastAsia="仿宋_GB2312"/>
          <w:sz w:val="32"/>
        </w:rPr>
        <w:t>昌吉回族自治州生态环境局呼图壁县分局2024年度，实有人数26人，其中：在职人员21人，增加11人；离休人员0人，增加0人；退休人员5人,增加5人。</w:t>
      </w:r>
    </w:p>
    <w:p w14:paraId="5DF4BDF7">
      <w:pPr>
        <w:spacing w:line="580" w:lineRule="exact"/>
        <w:ind w:firstLine="640"/>
        <w:jc w:val="both"/>
      </w:pPr>
      <w:r>
        <w:rPr>
          <w:rFonts w:ascii="仿宋_GB2312" w:hAnsi="仿宋_GB2312" w:eastAsia="仿宋_GB2312"/>
          <w:sz w:val="32"/>
        </w:rPr>
        <w:t>昌吉回族自治州生态环境局呼图壁县分局无下属预算单位，下设5个科室，分别是：呼图壁县环境监察大队、大气环境办公室、水与土壤生态环境办公室、行政办、财务室。</w:t>
      </w:r>
    </w:p>
    <w:p w14:paraId="2B254C08">
      <w:r>
        <w:br w:type="page"/>
      </w:r>
    </w:p>
    <w:p w14:paraId="0CED0DD5">
      <w:pPr>
        <w:spacing w:line="240" w:lineRule="auto"/>
        <w:jc w:val="center"/>
        <w:outlineLvl w:val="1"/>
      </w:pPr>
      <w:r>
        <w:rPr>
          <w:rFonts w:ascii="黑体" w:hAnsi="黑体" w:eastAsia="黑体"/>
          <w:sz w:val="32"/>
        </w:rPr>
        <w:t>第二部分 部门决算情况说明</w:t>
      </w:r>
    </w:p>
    <w:p w14:paraId="6D1996B4">
      <w:pPr>
        <w:spacing w:line="640" w:lineRule="exact"/>
        <w:ind w:firstLine="640"/>
        <w:jc w:val="both"/>
        <w:outlineLvl w:val="2"/>
      </w:pPr>
      <w:r>
        <w:rPr>
          <w:rFonts w:ascii="黑体" w:hAnsi="黑体" w:eastAsia="黑体"/>
          <w:sz w:val="32"/>
        </w:rPr>
        <w:t>一、收入支出决算总体情况说明</w:t>
      </w:r>
    </w:p>
    <w:p w14:paraId="2997631D">
      <w:pPr>
        <w:spacing w:line="580" w:lineRule="exact"/>
        <w:ind w:firstLine="640"/>
        <w:jc w:val="both"/>
      </w:pPr>
      <w:r>
        <w:rPr>
          <w:rFonts w:ascii="仿宋_GB2312" w:hAnsi="仿宋_GB2312" w:eastAsia="仿宋_GB2312"/>
          <w:b/>
          <w:sz w:val="32"/>
        </w:rPr>
        <w:t>2024年度收入总计780.41万元，</w:t>
      </w:r>
      <w:r>
        <w:rPr>
          <w:rFonts w:ascii="仿宋_GB2312" w:hAnsi="仿宋_GB2312" w:eastAsia="仿宋_GB2312"/>
          <w:b w:val="0"/>
          <w:sz w:val="32"/>
        </w:rPr>
        <w:t>其中：本年收入合计760.41万元，使用非财政拨款结余（含专用结余）0.00万元，年初结转和结余20.00万元。</w:t>
      </w:r>
    </w:p>
    <w:p w14:paraId="78757495">
      <w:pPr>
        <w:spacing w:line="580" w:lineRule="exact"/>
        <w:ind w:firstLine="640"/>
        <w:jc w:val="both"/>
      </w:pPr>
      <w:r>
        <w:rPr>
          <w:rFonts w:ascii="仿宋_GB2312" w:hAnsi="仿宋_GB2312" w:eastAsia="仿宋_GB2312"/>
          <w:b/>
          <w:sz w:val="32"/>
        </w:rPr>
        <w:t>2024年度支出总计780.41万元，</w:t>
      </w:r>
      <w:r>
        <w:rPr>
          <w:rFonts w:ascii="仿宋_GB2312" w:hAnsi="仿宋_GB2312" w:eastAsia="仿宋_GB2312"/>
          <w:b w:val="0"/>
          <w:sz w:val="32"/>
        </w:rPr>
        <w:t>其中：本年支出合计766.25万元，结余分配0.00万元，年末结转和结余14.16万元。</w:t>
      </w:r>
    </w:p>
    <w:p w14:paraId="2DEDD3C9">
      <w:pPr>
        <w:spacing w:line="580" w:lineRule="exact"/>
        <w:ind w:firstLine="640"/>
        <w:jc w:val="both"/>
      </w:pPr>
      <w:r>
        <w:rPr>
          <w:rFonts w:ascii="仿宋_GB2312" w:hAnsi="仿宋_GB2312" w:eastAsia="仿宋_GB2312"/>
          <w:b w:val="0"/>
          <w:sz w:val="32"/>
        </w:rPr>
        <w:t>收入支出总体与上年相比，增加624.01万元，增长398.98%，主要原因是：本年昌吉州生态环境局呼图壁县分局由呼图壁县上划至昌吉州垂管，与生态环境监测站合并，在职人员增加，人员工资调增，相关人员经费增加；增加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增加昌吉州生态环境局拨付用于维修费、人社局拨付用于办公费。</w:t>
      </w:r>
    </w:p>
    <w:p w14:paraId="2F6AF782">
      <w:pPr>
        <w:spacing w:line="640" w:lineRule="exact"/>
        <w:ind w:firstLine="640"/>
        <w:jc w:val="both"/>
        <w:outlineLvl w:val="2"/>
      </w:pPr>
      <w:r>
        <w:rPr>
          <w:rFonts w:ascii="黑体" w:hAnsi="黑体" w:eastAsia="黑体"/>
          <w:sz w:val="32"/>
        </w:rPr>
        <w:t>二、收入决算情况说明</w:t>
      </w:r>
    </w:p>
    <w:p w14:paraId="4E241563">
      <w:pPr>
        <w:spacing w:line="580" w:lineRule="exact"/>
        <w:ind w:firstLine="640"/>
        <w:jc w:val="both"/>
      </w:pPr>
      <w:r>
        <w:rPr>
          <w:rFonts w:ascii="仿宋_GB2312" w:hAnsi="仿宋_GB2312" w:eastAsia="仿宋_GB2312"/>
          <w:b/>
          <w:sz w:val="32"/>
        </w:rPr>
        <w:t>本年收入760.41万元，</w:t>
      </w:r>
      <w:r>
        <w:rPr>
          <w:rFonts w:ascii="仿宋_GB2312" w:hAnsi="仿宋_GB2312" w:eastAsia="仿宋_GB2312"/>
          <w:b w:val="0"/>
          <w:sz w:val="32"/>
        </w:rPr>
        <w:t>其中：财政拨款收入733.60万元，占96.47%；上级补助收入0.00万元，占0.00%；事业收入0.00万元，占0.00%；经营收入0.00万元，占0.00%；附属单位上缴收入0.00万元，占0.00%；其他收入26.81万元，占3.53%。</w:t>
      </w:r>
    </w:p>
    <w:p w14:paraId="25D0396A">
      <w:pPr>
        <w:spacing w:line="640" w:lineRule="exact"/>
        <w:ind w:firstLine="640"/>
        <w:jc w:val="both"/>
        <w:outlineLvl w:val="2"/>
      </w:pPr>
      <w:r>
        <w:rPr>
          <w:rFonts w:ascii="黑体" w:hAnsi="黑体" w:eastAsia="黑体"/>
          <w:sz w:val="32"/>
        </w:rPr>
        <w:t>三、支出决算情况说明</w:t>
      </w:r>
    </w:p>
    <w:p w14:paraId="78F64366">
      <w:pPr>
        <w:spacing w:line="580" w:lineRule="exact"/>
        <w:ind w:firstLine="640"/>
        <w:jc w:val="both"/>
      </w:pPr>
      <w:r>
        <w:rPr>
          <w:rFonts w:ascii="仿宋_GB2312" w:hAnsi="仿宋_GB2312" w:eastAsia="仿宋_GB2312"/>
          <w:b/>
          <w:sz w:val="32"/>
        </w:rPr>
        <w:t>本年支出766.25万元，</w:t>
      </w:r>
      <w:r>
        <w:rPr>
          <w:rFonts w:ascii="仿宋_GB2312" w:hAnsi="仿宋_GB2312" w:eastAsia="仿宋_GB2312"/>
          <w:b w:val="0"/>
          <w:sz w:val="32"/>
        </w:rPr>
        <w:t>其中：基本支出395.35万元，占51.60%；项目支出370.90万元，占48.40%；上缴上级支出0.00万元，占0.00%；经营支出0.00万元，占0.00%；对附属单位补助支出0.00万元，占0.00%。</w:t>
      </w:r>
    </w:p>
    <w:p w14:paraId="264B76FE">
      <w:pPr>
        <w:spacing w:line="640" w:lineRule="exact"/>
        <w:ind w:firstLine="640"/>
        <w:jc w:val="both"/>
        <w:outlineLvl w:val="2"/>
      </w:pPr>
      <w:r>
        <w:rPr>
          <w:rFonts w:ascii="黑体" w:hAnsi="黑体" w:eastAsia="黑体"/>
          <w:sz w:val="32"/>
        </w:rPr>
        <w:t>四、财政拨款收入支出决算总体情况说明</w:t>
      </w:r>
    </w:p>
    <w:p w14:paraId="359D8B99">
      <w:pPr>
        <w:spacing w:line="580" w:lineRule="exact"/>
        <w:ind w:firstLine="640"/>
        <w:jc w:val="both"/>
      </w:pPr>
      <w:r>
        <w:rPr>
          <w:rFonts w:ascii="仿宋_GB2312" w:hAnsi="仿宋_GB2312" w:eastAsia="仿宋_GB2312"/>
          <w:b/>
          <w:sz w:val="32"/>
        </w:rPr>
        <w:t>2024年度财政拨款收入总计733.60万元，</w:t>
      </w:r>
      <w:r>
        <w:rPr>
          <w:rFonts w:ascii="仿宋_GB2312" w:hAnsi="仿宋_GB2312" w:eastAsia="仿宋_GB2312"/>
          <w:b w:val="0"/>
          <w:sz w:val="32"/>
        </w:rPr>
        <w:t>其中：年初财政拨款结转和结余0.00万元，本年财政拨款收入733.60万元。</w:t>
      </w:r>
      <w:r>
        <w:rPr>
          <w:rFonts w:ascii="仿宋_GB2312" w:hAnsi="仿宋_GB2312" w:eastAsia="仿宋_GB2312"/>
          <w:b/>
          <w:sz w:val="32"/>
        </w:rPr>
        <w:t>财政拨款支出总计733.60万元，</w:t>
      </w:r>
      <w:r>
        <w:rPr>
          <w:rFonts w:ascii="仿宋_GB2312" w:hAnsi="仿宋_GB2312" w:eastAsia="仿宋_GB2312"/>
          <w:b w:val="0"/>
          <w:sz w:val="32"/>
        </w:rPr>
        <w:t>其中：年末财政拨款结转和结余0.00万元，本年财政拨款支出733.60万元。</w:t>
      </w:r>
    </w:p>
    <w:p w14:paraId="6F4F5B5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577.20万元，增长369.05%，主要原因是：本年昌吉州生态环境局呼图壁县分局由呼图壁县上划至昌吉州垂管，与生态环境监测站合并，在职人员增加，在职人员工资调增，相关人员经费增加，增加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w:t>
      </w:r>
      <w:r>
        <w:rPr>
          <w:rFonts w:ascii="仿宋_GB2312" w:hAnsi="仿宋_GB2312" w:eastAsia="仿宋_GB2312"/>
          <w:b/>
          <w:sz w:val="32"/>
        </w:rPr>
        <w:t>与年初预算相比，</w:t>
      </w:r>
      <w:r>
        <w:rPr>
          <w:rFonts w:ascii="仿宋_GB2312" w:hAnsi="仿宋_GB2312" w:eastAsia="仿宋_GB2312"/>
          <w:b w:val="0"/>
          <w:sz w:val="32"/>
        </w:rPr>
        <w:t>年初预算数312.72万元，决算数733.60万元，预决算差异率134.59%，主要原因是：本年昌吉州生态环境局呼图壁县分局由呼图壁县上划至昌吉州垂管，与生态环境监测站合并，在职人员增加，在职人员工资调增，年中追加人员经费及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w:t>
      </w:r>
    </w:p>
    <w:p w14:paraId="27DA3277">
      <w:pPr>
        <w:spacing w:line="640" w:lineRule="exact"/>
        <w:ind w:firstLine="640"/>
        <w:jc w:val="both"/>
        <w:outlineLvl w:val="2"/>
      </w:pPr>
      <w:r>
        <w:rPr>
          <w:rFonts w:ascii="黑体" w:hAnsi="黑体" w:eastAsia="黑体"/>
          <w:sz w:val="32"/>
        </w:rPr>
        <w:t>五、一般公共预算财政拨款支出决算情况说明</w:t>
      </w:r>
    </w:p>
    <w:p w14:paraId="471CBA64">
      <w:pPr>
        <w:spacing w:line="640" w:lineRule="exact"/>
        <w:ind w:firstLine="640"/>
        <w:jc w:val="both"/>
        <w:outlineLvl w:val="3"/>
      </w:pPr>
      <w:r>
        <w:rPr>
          <w:rFonts w:ascii="楷体_GB2312" w:hAnsi="楷体_GB2312" w:eastAsia="楷体_GB2312"/>
          <w:b/>
          <w:sz w:val="32"/>
        </w:rPr>
        <w:t>（一）一般公共预算财政拨款支出决算总体情况</w:t>
      </w:r>
    </w:p>
    <w:p w14:paraId="59DE95C7">
      <w:pPr>
        <w:spacing w:line="580" w:lineRule="exact"/>
        <w:ind w:firstLine="640"/>
        <w:jc w:val="both"/>
      </w:pPr>
      <w:r>
        <w:rPr>
          <w:rFonts w:ascii="仿宋_GB2312" w:hAnsi="仿宋_GB2312" w:eastAsia="仿宋_GB2312"/>
          <w:b/>
          <w:sz w:val="32"/>
        </w:rPr>
        <w:t>2024年度一般公共预算财政拨款支出671.10万元，</w:t>
      </w:r>
      <w:r>
        <w:rPr>
          <w:rFonts w:ascii="仿宋_GB2312" w:hAnsi="仿宋_GB2312" w:eastAsia="仿宋_GB2312"/>
          <w:b w:val="0"/>
          <w:sz w:val="32"/>
        </w:rPr>
        <w:t>占本年支出合计的87.58%。</w:t>
      </w:r>
      <w:r>
        <w:rPr>
          <w:rFonts w:ascii="仿宋_GB2312" w:hAnsi="仿宋_GB2312" w:eastAsia="仿宋_GB2312"/>
          <w:b/>
          <w:sz w:val="32"/>
        </w:rPr>
        <w:t>与上年相比，</w:t>
      </w:r>
      <w:r>
        <w:rPr>
          <w:rFonts w:ascii="仿宋_GB2312" w:hAnsi="仿宋_GB2312" w:eastAsia="仿宋_GB2312"/>
          <w:b w:val="0"/>
          <w:sz w:val="32"/>
        </w:rPr>
        <w:t>增加514.70万元，增长329.09%，主要原因是：本年昌吉州生态环境局呼图壁县分局由呼图壁县上划至昌吉州垂管，与生态环境监测站合并，在职人员增加，在职人员工资调增，相关人员经费增加，增加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w:t>
      </w:r>
      <w:r>
        <w:rPr>
          <w:rFonts w:ascii="仿宋_GB2312" w:hAnsi="仿宋_GB2312" w:eastAsia="仿宋_GB2312"/>
          <w:b/>
          <w:sz w:val="32"/>
        </w:rPr>
        <w:t>与年初预算相比,</w:t>
      </w:r>
      <w:r>
        <w:rPr>
          <w:rFonts w:ascii="仿宋_GB2312" w:hAnsi="仿宋_GB2312" w:eastAsia="仿宋_GB2312"/>
          <w:b w:val="0"/>
          <w:sz w:val="32"/>
        </w:rPr>
        <w:t>年初预算数312.72万元，决算数671.10万元，预决算差异率114.60%，主要原因是：本年昌吉州生态环境局呼图壁县分局由呼图壁县上划至昌吉州垂管，与生态环境监测站合并，在职人员增加，在职人员工资调增，年中追加人员经费及呼图壁县水污染防治执法监测应急监测项目、呼图壁县生态环境质量农村千吨万人饮用水委托监测项目、2023年中央大气污染防治资金（第二批）、环保管家服务项目、环境空气质量自动监测设备经费项目、雀尔沟镇景华社区污水处理站经费项目。</w:t>
      </w:r>
    </w:p>
    <w:p w14:paraId="791F8CE7">
      <w:pPr>
        <w:spacing w:line="640" w:lineRule="exact"/>
        <w:ind w:firstLine="640"/>
        <w:jc w:val="both"/>
        <w:outlineLvl w:val="3"/>
      </w:pPr>
      <w:r>
        <w:rPr>
          <w:rFonts w:ascii="楷体_GB2312" w:hAnsi="楷体_GB2312" w:eastAsia="楷体_GB2312"/>
          <w:b/>
          <w:sz w:val="32"/>
        </w:rPr>
        <w:t>（二）一般公共预算财政拨款支出决算结构情况</w:t>
      </w:r>
    </w:p>
    <w:p w14:paraId="4DCB698B">
      <w:pPr>
        <w:spacing w:line="580" w:lineRule="exact"/>
        <w:ind w:firstLine="640"/>
        <w:jc w:val="both"/>
      </w:pPr>
      <w:r>
        <w:rPr>
          <w:rFonts w:ascii="仿宋_GB2312" w:hAnsi="仿宋_GB2312" w:eastAsia="仿宋_GB2312"/>
          <w:b w:val="0"/>
          <w:sz w:val="32"/>
        </w:rPr>
        <w:t>1.社会保障和就业支出(类)31.83万元,占4.74%。</w:t>
      </w:r>
    </w:p>
    <w:p w14:paraId="16B2E237">
      <w:pPr>
        <w:spacing w:line="580" w:lineRule="exact"/>
        <w:ind w:firstLine="640"/>
        <w:jc w:val="both"/>
      </w:pPr>
      <w:r>
        <w:rPr>
          <w:rFonts w:ascii="仿宋_GB2312" w:hAnsi="仿宋_GB2312" w:eastAsia="仿宋_GB2312"/>
          <w:b w:val="0"/>
          <w:sz w:val="32"/>
        </w:rPr>
        <w:t>2.卫生健康支出(类)12.13万元,占1.81%。</w:t>
      </w:r>
    </w:p>
    <w:p w14:paraId="4BD1F264">
      <w:pPr>
        <w:spacing w:line="580" w:lineRule="exact"/>
        <w:ind w:firstLine="640"/>
        <w:jc w:val="both"/>
      </w:pPr>
      <w:r>
        <w:rPr>
          <w:rFonts w:ascii="仿宋_GB2312" w:hAnsi="仿宋_GB2312" w:eastAsia="仿宋_GB2312"/>
          <w:b w:val="0"/>
          <w:sz w:val="32"/>
        </w:rPr>
        <w:t>3.节能环保支出(类)609.64万元,占90.84%。</w:t>
      </w:r>
    </w:p>
    <w:p w14:paraId="416B856A">
      <w:pPr>
        <w:spacing w:line="580" w:lineRule="exact"/>
        <w:ind w:firstLine="640"/>
        <w:jc w:val="both"/>
      </w:pPr>
      <w:r>
        <w:rPr>
          <w:rFonts w:ascii="仿宋_GB2312" w:hAnsi="仿宋_GB2312" w:eastAsia="仿宋_GB2312"/>
          <w:b w:val="0"/>
          <w:sz w:val="32"/>
        </w:rPr>
        <w:t>4.住房保障支出(类)17.50万元,占2.61%。</w:t>
      </w:r>
    </w:p>
    <w:p w14:paraId="2DA8B49A">
      <w:pPr>
        <w:spacing w:line="640" w:lineRule="exact"/>
        <w:ind w:firstLine="640"/>
        <w:jc w:val="both"/>
        <w:outlineLvl w:val="3"/>
      </w:pPr>
      <w:r>
        <w:rPr>
          <w:rFonts w:ascii="楷体_GB2312" w:hAnsi="楷体_GB2312" w:eastAsia="楷体_GB2312"/>
          <w:b/>
          <w:sz w:val="32"/>
        </w:rPr>
        <w:t>（三）一般公共预算财政拨款支出决算具体情况</w:t>
      </w:r>
    </w:p>
    <w:p w14:paraId="66D56235">
      <w:pPr>
        <w:spacing w:line="580" w:lineRule="exact"/>
        <w:ind w:firstLine="640"/>
        <w:jc w:val="both"/>
      </w:pPr>
      <w:r>
        <w:rPr>
          <w:rFonts w:ascii="仿宋_GB2312" w:hAnsi="仿宋_GB2312" w:eastAsia="仿宋_GB2312"/>
          <w:b w:val="0"/>
          <w:sz w:val="32"/>
        </w:rPr>
        <w:t>1.一般公共服务支出(类)其他一般公共服务支出(款)其他一般公共服务支出(项):支出决算数为0.00万元，比上年决算减少5.70万元，下降100.00%,主要原因是：本年减少环境监测运转费。</w:t>
      </w:r>
    </w:p>
    <w:p w14:paraId="76A8A51F">
      <w:pPr>
        <w:spacing w:line="580" w:lineRule="exact"/>
        <w:ind w:firstLine="640"/>
        <w:jc w:val="both"/>
      </w:pPr>
      <w:r>
        <w:rPr>
          <w:rFonts w:ascii="仿宋_GB2312" w:hAnsi="仿宋_GB2312" w:eastAsia="仿宋_GB2312"/>
          <w:b w:val="0"/>
          <w:sz w:val="32"/>
        </w:rPr>
        <w:t>2.社会保障和就业支出(类)行政事业单位养老支出(款)行政单位离退休(项):支出决算数为3.36万元，比上年决算增加3.36万元，增长100.00%,主要原因是：本年昌吉州生态环境局呼图壁县分局由呼图壁县上划至昌吉州垂管，与生态环境监测站合并，退休人员增加，导致退休费增加。</w:t>
      </w:r>
    </w:p>
    <w:p w14:paraId="6776C3EE">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21.30万元，比上年决算增加9.33万元，增长77.94%,主要原因是：本年昌吉州生态环境局呼图壁县分局由呼图壁县上划至昌吉州垂管，与生态环境监测站合并，在职人员增加，在职人员工资调增，养老保险缴费增加。</w:t>
      </w:r>
    </w:p>
    <w:p w14:paraId="6B680DA6">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7.17万元，比上年决算增加1.24万元，增长20.91%,主要原因是：本年昌吉州生态环境局呼图壁县分局由呼图壁县上划至昌吉州垂管，与生态环境监测站合并，退休人员增加，导致职业年金缴费增加。</w:t>
      </w:r>
    </w:p>
    <w:p w14:paraId="46075A15">
      <w:pPr>
        <w:spacing w:line="580" w:lineRule="exact"/>
        <w:ind w:firstLine="640"/>
        <w:jc w:val="both"/>
      </w:pPr>
      <w:r>
        <w:rPr>
          <w:rFonts w:ascii="仿宋_GB2312" w:hAnsi="仿宋_GB2312" w:eastAsia="仿宋_GB2312"/>
          <w:b w:val="0"/>
          <w:sz w:val="32"/>
        </w:rPr>
        <w:t>5.卫生健康支出(类)行政事业单位医疗(款)行政单位医疗(项):支出决算数为3.48万元，比上年决算增加3.48万元，增长100.00%,主要原因是：本年昌吉州生态环境局呼图壁县分局由呼图壁县上划至昌吉州垂管，与生态环境监测站合并，在职人员增加，导致行政单位医疗缴费增加。</w:t>
      </w:r>
    </w:p>
    <w:p w14:paraId="7A9B26CD">
      <w:pPr>
        <w:spacing w:line="580" w:lineRule="exact"/>
        <w:ind w:firstLine="640"/>
        <w:jc w:val="both"/>
      </w:pPr>
      <w:r>
        <w:rPr>
          <w:rFonts w:ascii="仿宋_GB2312" w:hAnsi="仿宋_GB2312" w:eastAsia="仿宋_GB2312"/>
          <w:b w:val="0"/>
          <w:sz w:val="32"/>
        </w:rPr>
        <w:t>6.卫生健康支出(类)行政事业单位医疗(款)事业单位医疗(项):支出决算数为7.17万元，比上年决算增加1.34万元，增长22.98%,主要原因是：本年在职人员工资调增，事业单位医疗缴费增加。</w:t>
      </w:r>
    </w:p>
    <w:p w14:paraId="5AC97844">
      <w:pPr>
        <w:spacing w:line="580" w:lineRule="exact"/>
        <w:ind w:firstLine="640"/>
        <w:jc w:val="both"/>
      </w:pPr>
      <w:r>
        <w:rPr>
          <w:rFonts w:ascii="仿宋_GB2312" w:hAnsi="仿宋_GB2312" w:eastAsia="仿宋_GB2312"/>
          <w:b w:val="0"/>
          <w:sz w:val="32"/>
        </w:rPr>
        <w:t>7.卫生健康支出(类)行政事业单位医疗(款)公务员医疗补助(项):支出决算数为1.40万元，比上年决算增加1.02万元，增长268.42%,主要原因是：本年昌吉州生态环境局呼图壁县分局由呼图壁县上划至昌吉州垂管，与生态环境监测站合并，在职人员增加，导致单位医疗缴费增加。</w:t>
      </w:r>
    </w:p>
    <w:p w14:paraId="61F03208">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0.08万元，比上年决算增加0.04万元，增长100.00%,主要原因是：本年昌吉州生态环境局呼图壁县分局由呼图壁县上划至昌吉州垂管，与生态环境监测站合并，在职人员增加，导致单位医疗缴费增加。</w:t>
      </w:r>
    </w:p>
    <w:p w14:paraId="7272DE4B">
      <w:pPr>
        <w:spacing w:line="580" w:lineRule="exact"/>
        <w:ind w:firstLine="640"/>
        <w:jc w:val="both"/>
      </w:pPr>
      <w:r>
        <w:rPr>
          <w:rFonts w:ascii="仿宋_GB2312" w:hAnsi="仿宋_GB2312" w:eastAsia="仿宋_GB2312"/>
          <w:b w:val="0"/>
          <w:sz w:val="32"/>
        </w:rPr>
        <w:t>9.节能环保支出(类)环境保护管理事务(款)行政运行(项):支出决算数为160.43万元，比上年决算增加160.43万元，增长100.00%,主要原因是：本年昌吉州生态环境局呼图壁县分局由呼图壁县上划至昌吉州垂管，与生态环境监测站合并，在职人员增加，导致人员经费增加。</w:t>
      </w:r>
    </w:p>
    <w:p w14:paraId="26A772A7">
      <w:pPr>
        <w:spacing w:line="580" w:lineRule="exact"/>
        <w:ind w:firstLine="640"/>
        <w:jc w:val="both"/>
      </w:pPr>
      <w:r>
        <w:rPr>
          <w:rFonts w:ascii="仿宋_GB2312" w:hAnsi="仿宋_GB2312" w:eastAsia="仿宋_GB2312"/>
          <w:b w:val="0"/>
          <w:sz w:val="32"/>
        </w:rPr>
        <w:t>10.节能环保支出(类)环境保护管理事务(款)其他环境保护管理事务支出(项):支出决算数为30.00万元，比上年决算增加30.00万元，增长100.00%,主要原因是：本年增加环保管家服务项目。</w:t>
      </w:r>
    </w:p>
    <w:p w14:paraId="4C821225">
      <w:pPr>
        <w:spacing w:line="580" w:lineRule="exact"/>
        <w:ind w:firstLine="640"/>
        <w:jc w:val="both"/>
      </w:pPr>
      <w:r>
        <w:rPr>
          <w:rFonts w:ascii="仿宋_GB2312" w:hAnsi="仿宋_GB2312" w:eastAsia="仿宋_GB2312"/>
          <w:b w:val="0"/>
          <w:sz w:val="32"/>
        </w:rPr>
        <w:t>11.节能环保支出(类)污染防治(款)大气(项):支出决算数为248.40万元，比上年决算增加248.40万元，增长100.00%,主要原因是：本年增加中央大气污染防治资金（第二批）项目。</w:t>
      </w:r>
    </w:p>
    <w:p w14:paraId="1AE74038">
      <w:pPr>
        <w:spacing w:line="580" w:lineRule="exact"/>
        <w:ind w:firstLine="640"/>
        <w:jc w:val="both"/>
      </w:pPr>
      <w:r>
        <w:rPr>
          <w:rFonts w:ascii="仿宋_GB2312" w:hAnsi="仿宋_GB2312" w:eastAsia="仿宋_GB2312"/>
          <w:b w:val="0"/>
          <w:sz w:val="32"/>
        </w:rPr>
        <w:t>12.节能环保支出(类)污染防治(款)水体(项):支出决算数为8.00万元，比上年决算增加8.00万元，增长100.00%,主要原因是：本年增加呼图壁县生态环境质量农村千吨万人饮用水委托监测项目。</w:t>
      </w:r>
    </w:p>
    <w:p w14:paraId="3EF40BED">
      <w:pPr>
        <w:spacing w:line="580" w:lineRule="exact"/>
        <w:ind w:firstLine="640"/>
        <w:jc w:val="both"/>
      </w:pPr>
      <w:r>
        <w:rPr>
          <w:rFonts w:ascii="仿宋_GB2312" w:hAnsi="仿宋_GB2312" w:eastAsia="仿宋_GB2312"/>
          <w:b w:val="0"/>
          <w:sz w:val="32"/>
        </w:rPr>
        <w:t>13.节能环保支出(类)污染防治(款)其他污染防治支出(项):支出决算数为15.00万元，比上年决算增加15.00万元，增长100.00%,主要原因是：本年增加呼图壁县水污染防治执法监测、应急监测项目。</w:t>
      </w:r>
    </w:p>
    <w:p w14:paraId="5A7E2FEF">
      <w:pPr>
        <w:spacing w:line="580" w:lineRule="exact"/>
        <w:ind w:firstLine="640"/>
        <w:jc w:val="both"/>
      </w:pPr>
      <w:r>
        <w:rPr>
          <w:rFonts w:ascii="仿宋_GB2312" w:hAnsi="仿宋_GB2312" w:eastAsia="仿宋_GB2312"/>
          <w:b w:val="0"/>
          <w:sz w:val="32"/>
        </w:rPr>
        <w:t>14.节能环保支出(类)污染减排(款)生态环境监测与信息(项):支出决算数为147.82万元，比上年决算增加30.87万元，增长26.40%,主要原因是：本年在职人员工资调增，相关人员经费增加。</w:t>
      </w:r>
    </w:p>
    <w:p w14:paraId="204CBF8F">
      <w:pPr>
        <w:spacing w:line="580" w:lineRule="exact"/>
        <w:ind w:firstLine="640"/>
        <w:jc w:val="both"/>
      </w:pPr>
      <w:r>
        <w:rPr>
          <w:rFonts w:ascii="仿宋_GB2312" w:hAnsi="仿宋_GB2312" w:eastAsia="仿宋_GB2312"/>
          <w:b w:val="0"/>
          <w:sz w:val="32"/>
        </w:rPr>
        <w:t>15.住房保障支出(类)住房改革支出(款)住房公积金(项):支出决算数为17.50万元，比上年决算增加7.90万元，增长82.29%,主要原因是：本年昌吉州生态环境局呼图壁县分局由呼图壁县上划至昌吉州垂管，与生态环境监测站合并，在职人员增加，导致住房公积金缴费增加。</w:t>
      </w:r>
    </w:p>
    <w:p w14:paraId="74A080D1">
      <w:pPr>
        <w:spacing w:line="640" w:lineRule="exact"/>
        <w:ind w:firstLine="640"/>
        <w:jc w:val="both"/>
        <w:outlineLvl w:val="2"/>
      </w:pPr>
      <w:r>
        <w:rPr>
          <w:rFonts w:ascii="黑体" w:hAnsi="黑体" w:eastAsia="黑体"/>
          <w:sz w:val="32"/>
        </w:rPr>
        <w:t>六、一般公共预算财政拨款基本支出决算情况说明</w:t>
      </w:r>
    </w:p>
    <w:p w14:paraId="28E85388">
      <w:pPr>
        <w:spacing w:line="580" w:lineRule="exact"/>
        <w:ind w:firstLine="640"/>
        <w:jc w:val="both"/>
      </w:pPr>
      <w:r>
        <w:rPr>
          <w:rFonts w:ascii="仿宋_GB2312" w:hAnsi="仿宋_GB2312" w:eastAsia="仿宋_GB2312"/>
          <w:b w:val="0"/>
          <w:sz w:val="32"/>
        </w:rPr>
        <w:t>2024年度一般公共预算财政拨款基本支出362.70万元，其中：</w:t>
      </w:r>
      <w:r>
        <w:rPr>
          <w:rFonts w:ascii="仿宋_GB2312" w:hAnsi="仿宋_GB2312" w:eastAsia="仿宋_GB2312"/>
          <w:b/>
          <w:sz w:val="32"/>
        </w:rPr>
        <w:t>人员经费327.96万元，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18EFB0B7">
      <w:pPr>
        <w:spacing w:line="580" w:lineRule="exact"/>
        <w:ind w:firstLine="640"/>
        <w:jc w:val="both"/>
      </w:pPr>
      <w:r>
        <w:rPr>
          <w:rFonts w:ascii="仿宋_GB2312" w:hAnsi="仿宋_GB2312" w:eastAsia="仿宋_GB2312"/>
          <w:b/>
          <w:sz w:val="32"/>
        </w:rPr>
        <w:t>公用经费34.75万元，</w:t>
      </w:r>
      <w:r>
        <w:rPr>
          <w:rFonts w:ascii="仿宋_GB2312" w:hAnsi="仿宋_GB2312" w:eastAsia="仿宋_GB2312"/>
          <w:b w:val="0"/>
          <w:sz w:val="32"/>
        </w:rPr>
        <w:t>包括：办公费、水费、电费、邮电费、取暖费、差旅费、维修（护）费、租赁费、培训费、公务接待费、工会经费、福利费、公务用车运行维护费、其他交通费用、其他商品和服务支出。</w:t>
      </w:r>
    </w:p>
    <w:p w14:paraId="6A3ECFBA">
      <w:pPr>
        <w:spacing w:line="640" w:lineRule="exact"/>
        <w:ind w:firstLine="640"/>
        <w:jc w:val="both"/>
        <w:outlineLvl w:val="2"/>
      </w:pPr>
      <w:r>
        <w:rPr>
          <w:rFonts w:ascii="黑体" w:hAnsi="黑体" w:eastAsia="黑体"/>
          <w:sz w:val="32"/>
        </w:rPr>
        <w:t>七、政府性基金预算财政拨款收入支出决算情况说明</w:t>
      </w:r>
    </w:p>
    <w:p w14:paraId="302929C1">
      <w:pPr>
        <w:spacing w:line="580" w:lineRule="exact"/>
        <w:ind w:firstLine="640"/>
        <w:jc w:val="both"/>
      </w:pPr>
      <w:r>
        <w:rPr>
          <w:rFonts w:ascii="仿宋_GB2312" w:hAnsi="仿宋_GB2312" w:eastAsia="仿宋_GB2312"/>
          <w:b/>
          <w:sz w:val="32"/>
        </w:rPr>
        <w:t>2024年度政府性基金预算财政拨款收入总计62.50万元，</w:t>
      </w:r>
      <w:r>
        <w:rPr>
          <w:rFonts w:ascii="仿宋_GB2312" w:hAnsi="仿宋_GB2312" w:eastAsia="仿宋_GB2312"/>
          <w:b w:val="0"/>
          <w:sz w:val="32"/>
        </w:rPr>
        <w:t>其中：年初结转和结余0.00万元，本年收入62.50万元。</w:t>
      </w:r>
      <w:r>
        <w:rPr>
          <w:rFonts w:ascii="仿宋_GB2312" w:hAnsi="仿宋_GB2312" w:eastAsia="仿宋_GB2312"/>
          <w:b/>
          <w:sz w:val="32"/>
        </w:rPr>
        <w:t>政府性基金预算财政拨款支出总计62.50万元，</w:t>
      </w:r>
      <w:r>
        <w:rPr>
          <w:rFonts w:ascii="仿宋_GB2312" w:hAnsi="仿宋_GB2312" w:eastAsia="仿宋_GB2312"/>
          <w:b w:val="0"/>
          <w:sz w:val="32"/>
        </w:rPr>
        <w:t>其中：年末结转和结余0.00万元，本年支出62.50万元。</w:t>
      </w:r>
    </w:p>
    <w:p w14:paraId="765E9FFE">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增加62.50万元，增长100.00%，主要原因是：本年增加环境空气质量自动监测设备经费、雀尔沟镇景华社区污水处理站经费项目。</w:t>
      </w:r>
      <w:r>
        <w:rPr>
          <w:rFonts w:ascii="仿宋_GB2312" w:hAnsi="仿宋_GB2312" w:eastAsia="仿宋_GB2312"/>
          <w:b/>
          <w:sz w:val="32"/>
        </w:rPr>
        <w:t>与年初预算相比，</w:t>
      </w:r>
      <w:r>
        <w:rPr>
          <w:rFonts w:ascii="仿宋_GB2312" w:hAnsi="仿宋_GB2312" w:eastAsia="仿宋_GB2312"/>
          <w:b w:val="0"/>
          <w:sz w:val="32"/>
        </w:rPr>
        <w:t>年初预算数0.00万元，决算数62.50万元，预决算差异率100.00%，主要原因是：年中追加环境空气质量自动监测设备经费、雀尔沟镇景华社区污水处理站经费项目。</w:t>
      </w:r>
    </w:p>
    <w:p w14:paraId="2FDE54C0">
      <w:pPr>
        <w:spacing w:line="580" w:lineRule="exact"/>
        <w:ind w:firstLine="640"/>
        <w:jc w:val="both"/>
      </w:pPr>
      <w:r>
        <w:rPr>
          <w:rFonts w:ascii="仿宋_GB2312" w:hAnsi="仿宋_GB2312" w:eastAsia="仿宋_GB2312"/>
          <w:b w:val="0"/>
          <w:sz w:val="32"/>
        </w:rPr>
        <w:t>政府性基金预算财政拨款支出62.50万元。</w:t>
      </w:r>
    </w:p>
    <w:p w14:paraId="307D6F0D">
      <w:pPr>
        <w:spacing w:line="580" w:lineRule="exact"/>
        <w:ind w:firstLine="640"/>
        <w:jc w:val="both"/>
      </w:pPr>
      <w:r>
        <w:rPr>
          <w:rFonts w:ascii="仿宋_GB2312" w:hAnsi="仿宋_GB2312" w:eastAsia="仿宋_GB2312"/>
          <w:b w:val="0"/>
          <w:sz w:val="32"/>
        </w:rPr>
        <w:t>1.城乡社区支出(类)国有土地使用权出让收入安排的支出(款)其他国有土地使用权出让收入安排的支出(项):支出决算数为62.50万元，比上年决算增加62.50万元，增长100.00%,主要原因是：本年增加环境空气质量自动监测设备经费、雀尔沟镇景华社区污水处理站经费项目。</w:t>
      </w:r>
    </w:p>
    <w:p w14:paraId="1C41721F">
      <w:pPr>
        <w:spacing w:line="640" w:lineRule="exact"/>
        <w:ind w:firstLine="640"/>
        <w:jc w:val="both"/>
        <w:outlineLvl w:val="2"/>
      </w:pPr>
      <w:r>
        <w:rPr>
          <w:rFonts w:ascii="黑体" w:hAnsi="黑体" w:eastAsia="黑体"/>
          <w:sz w:val="32"/>
        </w:rPr>
        <w:t>八、国有资本经营预算财政拨款收入支出决算情况说明</w:t>
      </w:r>
    </w:p>
    <w:p w14:paraId="5A5925F1">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08A1B1DA">
      <w:pPr>
        <w:spacing w:line="640" w:lineRule="exact"/>
        <w:ind w:firstLine="640"/>
        <w:jc w:val="both"/>
        <w:outlineLvl w:val="2"/>
      </w:pPr>
      <w:r>
        <w:rPr>
          <w:rFonts w:ascii="黑体" w:hAnsi="黑体" w:eastAsia="黑体"/>
          <w:sz w:val="32"/>
        </w:rPr>
        <w:t>九、财政拨款“三公”经费支出决算情况说明</w:t>
      </w:r>
    </w:p>
    <w:p w14:paraId="28B90426">
      <w:pPr>
        <w:spacing w:line="580" w:lineRule="exact"/>
        <w:ind w:firstLine="640"/>
        <w:jc w:val="both"/>
      </w:pPr>
      <w:r>
        <w:rPr>
          <w:rFonts w:ascii="仿宋_GB2312" w:hAnsi="仿宋_GB2312" w:eastAsia="仿宋_GB2312"/>
          <w:b/>
          <w:sz w:val="32"/>
        </w:rPr>
        <w:t>2024年度财政拨款“三公”经费支出7.01万元，</w:t>
      </w:r>
      <w:r>
        <w:rPr>
          <w:rFonts w:ascii="仿宋_GB2312" w:hAnsi="仿宋_GB2312" w:eastAsia="仿宋_GB2312"/>
          <w:b w:val="0"/>
          <w:sz w:val="32"/>
        </w:rPr>
        <w:t>比上年增加2.96万元，增长73.09%，主要原因是：本年昌吉州生态环境局呼图壁县分局由呼图壁县上划至昌吉州垂管，与生态环境监测站合并，导致公务用车运行维护费增加。其中：因公出国（境）费支出0.00万元，占0.00%，比上年增加0.00万元，增长0.00%，主要原因是：2023年与2024年均未安排因公出国（境）费支出。公务用车购置及运行维护费支出6.92万元，占98.72%，比上年增加2.87万元，增长70.86%，主要原因是：本年昌吉州生态环境局呼图壁县分局由呼图壁县上划至昌吉州垂管，与生态环境监测站合并，导致公务用车运行维护费增加。公务接待费支出0.09万元，占1.28%，比上年增加0.09万元，增长100.00%，主要原因是：本年昌吉州生态环境局呼图壁县分局由呼图壁县上划至昌吉州垂管，与生态环境监测站合并，导致公务接待费增加。</w:t>
      </w:r>
    </w:p>
    <w:p w14:paraId="00314FA7">
      <w:pPr>
        <w:spacing w:line="580" w:lineRule="exact"/>
        <w:ind w:firstLine="640"/>
        <w:jc w:val="both"/>
      </w:pPr>
      <w:r>
        <w:rPr>
          <w:rFonts w:ascii="仿宋_GB2312" w:hAnsi="仿宋_GB2312" w:eastAsia="仿宋_GB2312"/>
          <w:b/>
          <w:sz w:val="32"/>
        </w:rPr>
        <w:t>具体情况如下：</w:t>
      </w:r>
    </w:p>
    <w:p w14:paraId="343B3C1E">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709F32C">
      <w:pPr>
        <w:spacing w:line="580" w:lineRule="exact"/>
        <w:ind w:firstLine="640"/>
        <w:jc w:val="both"/>
      </w:pPr>
      <w:r>
        <w:rPr>
          <w:rFonts w:ascii="仿宋_GB2312" w:hAnsi="仿宋_GB2312" w:eastAsia="仿宋_GB2312"/>
          <w:b w:val="0"/>
          <w:sz w:val="32"/>
        </w:rPr>
        <w:t>公务用车购置及运行维护费6.92万元，其中：公务用车购置费0.00万元，公务用车运行维护费6.92万元。公务用车运行维护费开支内容包括车辆保险费、维护维修费、燃油费。公务用车购置数0辆，公务用车保有量1辆。国有资产占用情况中固定资产车辆3辆，与公务用车保有量差异原因是：差异车辆为一般业务用车，预算未安排公务用车运行维护费。</w:t>
      </w:r>
    </w:p>
    <w:p w14:paraId="5AB60AE3">
      <w:pPr>
        <w:spacing w:line="580" w:lineRule="exact"/>
        <w:ind w:firstLine="640"/>
        <w:jc w:val="both"/>
      </w:pPr>
      <w:r>
        <w:rPr>
          <w:rFonts w:ascii="仿宋_GB2312" w:hAnsi="仿宋_GB2312" w:eastAsia="仿宋_GB2312"/>
          <w:b w:val="0"/>
          <w:sz w:val="32"/>
        </w:rPr>
        <w:t>公务接待费0.09万元，开支内容包括因生态环境交叉执法工作，接待工作小组执法检查产生的就餐费。单位全年安排的国内公务接待4批次，30人次。</w:t>
      </w:r>
    </w:p>
    <w:p w14:paraId="13D3321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7.01万元，决算数7.01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6.92万元，决算数6.92万元，预决算差异率0.00%，主要原因是：严格按照预算执行，预决算无差异。公务接待费全年预算数0.09万元，决算数0.09万元，预决算差异率0.00%，主要原因是：严格按照预算执行，预决算无差异。</w:t>
      </w:r>
    </w:p>
    <w:p w14:paraId="3D6A1559">
      <w:pPr>
        <w:spacing w:line="640" w:lineRule="exact"/>
        <w:ind w:firstLine="640"/>
        <w:jc w:val="both"/>
        <w:outlineLvl w:val="2"/>
      </w:pPr>
      <w:r>
        <w:rPr>
          <w:rFonts w:ascii="黑体" w:hAnsi="黑体" w:eastAsia="黑体"/>
          <w:sz w:val="32"/>
        </w:rPr>
        <w:t>十、其他重要事项的情况说明</w:t>
      </w:r>
    </w:p>
    <w:p w14:paraId="2C9B9889">
      <w:pPr>
        <w:spacing w:line="640" w:lineRule="exact"/>
        <w:ind w:firstLine="640"/>
        <w:jc w:val="both"/>
        <w:outlineLvl w:val="3"/>
      </w:pPr>
      <w:r>
        <w:rPr>
          <w:rFonts w:ascii="楷体_GB2312" w:hAnsi="楷体_GB2312" w:eastAsia="楷体_GB2312"/>
          <w:b/>
          <w:sz w:val="32"/>
        </w:rPr>
        <w:t>（一）机关运行经费及公用经费支出情况</w:t>
      </w:r>
    </w:p>
    <w:p w14:paraId="3556E3DF">
      <w:pPr>
        <w:spacing w:line="580" w:lineRule="exact"/>
        <w:ind w:firstLine="640"/>
        <w:jc w:val="both"/>
      </w:pPr>
      <w:r>
        <w:rPr>
          <w:rFonts w:ascii="仿宋_GB2312" w:hAnsi="仿宋_GB2312" w:eastAsia="仿宋_GB2312"/>
          <w:b w:val="0"/>
          <w:sz w:val="32"/>
        </w:rPr>
        <w:t>2024年度昌吉回族自治州生态环境局呼图壁县分局（行政单位和参照公务员法管理事业单位）机关运行经费支出34.75万元，比上年增加34.75万元，增长100.00%，主要原因是：本年昌吉州生态环境局呼图壁县分局由呼图壁县上划至昌吉州垂管，与生态环境监测站合并，导致机关运行经费增加。</w:t>
      </w:r>
    </w:p>
    <w:p w14:paraId="4485B12E">
      <w:pPr>
        <w:spacing w:line="640" w:lineRule="exact"/>
        <w:ind w:firstLine="640"/>
        <w:jc w:val="both"/>
        <w:outlineLvl w:val="3"/>
      </w:pPr>
      <w:r>
        <w:rPr>
          <w:rFonts w:ascii="楷体_GB2312" w:hAnsi="楷体_GB2312" w:eastAsia="楷体_GB2312"/>
          <w:b/>
          <w:sz w:val="32"/>
        </w:rPr>
        <w:t>（二）政府采购情况</w:t>
      </w:r>
    </w:p>
    <w:p w14:paraId="7568AA85">
      <w:pPr>
        <w:spacing w:line="580" w:lineRule="exact"/>
        <w:ind w:firstLine="640"/>
        <w:jc w:val="both"/>
      </w:pPr>
      <w:r>
        <w:rPr>
          <w:rFonts w:ascii="仿宋_GB2312" w:hAnsi="仿宋_GB2312" w:eastAsia="仿宋_GB2312"/>
          <w:b w:val="0"/>
          <w:sz w:val="32"/>
        </w:rPr>
        <w:t>2024年度政府采购支出总额163.87万元，其中：政府采购货物支出0.00万元、政府采购工程支出0.00万元、政府采购服务支出163.87万元。</w:t>
      </w:r>
    </w:p>
    <w:p w14:paraId="5D690BA3">
      <w:pPr>
        <w:spacing w:line="580" w:lineRule="exact"/>
        <w:ind w:firstLine="640"/>
        <w:jc w:val="both"/>
      </w:pPr>
      <w:r>
        <w:rPr>
          <w:rFonts w:ascii="仿宋_GB2312" w:hAnsi="仿宋_GB2312" w:eastAsia="仿宋_GB2312"/>
          <w:b w:val="0"/>
          <w:sz w:val="32"/>
        </w:rPr>
        <w:t>授予中小企业合同金额163.10万元，占政府采购支出总额的99.53%，其中：授予小微企业合同金额163.10万元，占政府采购支出总额的99.53%。</w:t>
      </w:r>
    </w:p>
    <w:p w14:paraId="7EEBA91D">
      <w:pPr>
        <w:spacing w:line="640" w:lineRule="exact"/>
        <w:ind w:firstLine="640"/>
        <w:jc w:val="both"/>
        <w:outlineLvl w:val="3"/>
      </w:pPr>
      <w:r>
        <w:rPr>
          <w:rFonts w:ascii="楷体_GB2312" w:hAnsi="楷体_GB2312" w:eastAsia="楷体_GB2312"/>
          <w:b/>
          <w:sz w:val="32"/>
        </w:rPr>
        <w:t>（三）国有资产占用情况说明</w:t>
      </w:r>
    </w:p>
    <w:p w14:paraId="1D2D3443">
      <w:pPr>
        <w:spacing w:line="580" w:lineRule="exact"/>
        <w:ind w:firstLine="640"/>
        <w:jc w:val="both"/>
        <w:rPr>
          <w:spacing w:val="-6"/>
          <w:sz w:val="32"/>
        </w:rPr>
      </w:pPr>
      <w:r>
        <w:rPr>
          <w:rFonts w:ascii="仿宋_GB2312" w:hAnsi="仿宋_GB2312" w:eastAsia="仿宋_GB2312"/>
          <w:b w:val="0"/>
          <w:spacing w:val="-6"/>
          <w:sz w:val="32"/>
        </w:rPr>
        <w:t>截至2024年12月31日，房屋1,698.22平方米，价值187.11万元。车辆3辆，价值59.09万元，其中：副部（省）级及以上领导用车0辆、主要负责人用车0辆、机要通信用车0辆、应急保障用车0辆、执法执勤用车3辆、特种专业技术用车0辆、离退休干部服务用车0辆、其他用车0辆，其他用车主要是：本单位无其他用车。单价100万元（含）以上设备（不含车辆）2台（套）。</w:t>
      </w:r>
    </w:p>
    <w:p w14:paraId="1D42516D">
      <w:pPr>
        <w:spacing w:line="640" w:lineRule="exact"/>
        <w:ind w:firstLine="640"/>
        <w:jc w:val="both"/>
        <w:outlineLvl w:val="2"/>
      </w:pPr>
      <w:r>
        <w:rPr>
          <w:rFonts w:ascii="黑体" w:hAnsi="黑体" w:eastAsia="黑体"/>
          <w:sz w:val="32"/>
        </w:rPr>
        <w:t>十一、预算绩效的情况说明</w:t>
      </w:r>
    </w:p>
    <w:p w14:paraId="16DBB2F4">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780.41万元，实际执行总额766.24万元；预算绩效评价项目3个，全年预算数30.00万元，全年执行数30.00万元。预算绩效管理取得的成效：一是强化管理推动落实部门主体责任据悉，通过完善制度、动态监控和结果应用等措施充分调动单位积极性，从源头上预防财政资源配置低效等问题。二是推动绩效指标科学合理化，公共检验检测中心逐步形成指标清晰、简单易行、科学标准的绩效指标体系。发现的问题及原因：一是部分业务人员绩效管理意识有待增强,未能全面深入认识理解绩效管理工作的意义。绩效管理经验不足，预算绩效管理工作有待</w:t>
      </w:r>
      <w:r>
        <w:rPr>
          <w:rFonts w:hint="eastAsia" w:ascii="仿宋_GB2312" w:hAnsi="仿宋_GB2312" w:eastAsia="仿宋_GB2312"/>
          <w:b w:val="0"/>
          <w:sz w:val="32"/>
          <w:lang w:eastAsia="zh-CN"/>
        </w:rPr>
        <w:t>进一</w:t>
      </w:r>
      <w:r>
        <w:rPr>
          <w:rFonts w:ascii="仿宋_GB2312" w:hAnsi="仿宋_GB2312" w:eastAsia="仿宋_GB2312"/>
          <w:b w:val="0"/>
          <w:sz w:val="32"/>
        </w:rPr>
        <w:t>步落实。二是绩效指标的明确性、可衡量性、相关性还需进一步提升。预算精细化管理还需完善，预算编制管理水平仍有进一步提升的空间。下一步改进措施：一是加强预算绩效目标管理工作。明确预算项目绩效目标编制要求，分类别建立科学合理、细化量化、可比可测预算绩效指标体系，突出结果导向，重点考核实绩。二是加强绩效业务学习及培训，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2C6BA8A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81F980">
        <w:tblPrEx>
          <w:tblCellMar>
            <w:top w:w="0" w:type="dxa"/>
            <w:left w:w="108" w:type="dxa"/>
            <w:bottom w:w="0" w:type="dxa"/>
            <w:right w:w="108" w:type="dxa"/>
          </w:tblCellMar>
        </w:tblPrEx>
        <w:tc>
          <w:tcPr>
            <w:tcW w:w="8847" w:type="dxa"/>
            <w:gridSpan w:val="9"/>
            <w:vAlign w:val="center"/>
          </w:tcPr>
          <w:p w14:paraId="2036F773">
            <w:pPr>
              <w:jc w:val="center"/>
            </w:pPr>
            <w:r>
              <w:rPr>
                <w:rFonts w:ascii="宋体" w:hAnsi="宋体" w:eastAsia="宋体"/>
                <w:sz w:val="24"/>
              </w:rPr>
              <w:t>单位整体支出绩效自评表</w:t>
            </w:r>
          </w:p>
        </w:tc>
      </w:tr>
      <w:tr w14:paraId="6C0FB4A7">
        <w:tblPrEx>
          <w:tblCellMar>
            <w:top w:w="0" w:type="dxa"/>
            <w:left w:w="108" w:type="dxa"/>
            <w:bottom w:w="0" w:type="dxa"/>
            <w:right w:w="108" w:type="dxa"/>
          </w:tblCellMar>
        </w:tblPrEx>
        <w:tc>
          <w:tcPr>
            <w:tcW w:w="8847" w:type="dxa"/>
            <w:gridSpan w:val="9"/>
            <w:vAlign w:val="center"/>
          </w:tcPr>
          <w:p w14:paraId="0108A74F">
            <w:pPr>
              <w:jc w:val="center"/>
            </w:pPr>
            <w:r>
              <w:rPr>
                <w:rFonts w:ascii="宋体" w:hAnsi="宋体" w:eastAsia="宋体"/>
                <w:sz w:val="24"/>
              </w:rPr>
              <w:t>（2024年度）</w:t>
            </w:r>
          </w:p>
        </w:tc>
      </w:tr>
      <w:tr w14:paraId="72E396B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CD7E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8A0D896">
            <w:pPr>
              <w:jc w:val="center"/>
            </w:pPr>
            <w:r>
              <w:rPr>
                <w:rFonts w:ascii="宋体" w:hAnsi="宋体" w:eastAsia="宋体"/>
                <w:sz w:val="16"/>
              </w:rPr>
              <w:t>昌吉回族自治州生态环境局呼图壁县分局</w:t>
            </w:r>
          </w:p>
        </w:tc>
      </w:tr>
      <w:tr w14:paraId="74B7B69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176DE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0787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E256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D8E3A2">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EE326">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ED35B">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B74C8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21BAB6">
            <w:pPr>
              <w:jc w:val="center"/>
            </w:pPr>
            <w:r>
              <w:rPr>
                <w:rFonts w:ascii="宋体" w:hAnsi="宋体" w:eastAsia="宋体"/>
                <w:sz w:val="16"/>
              </w:rPr>
              <w:t>得分</w:t>
            </w:r>
          </w:p>
        </w:tc>
      </w:tr>
      <w:tr w14:paraId="06DAA93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EEF6CD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F083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335058">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B8780F">
            <w:pPr>
              <w:jc w:val="center"/>
            </w:pPr>
            <w:r>
              <w:rPr>
                <w:rFonts w:ascii="宋体" w:hAnsi="宋体" w:eastAsia="宋体"/>
                <w:sz w:val="16"/>
              </w:rPr>
              <w:t>248.40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D443A2">
            <w:pPr>
              <w:jc w:val="center"/>
            </w:pPr>
            <w:r>
              <w:rPr>
                <w:rFonts w:ascii="宋体" w:hAnsi="宋体" w:eastAsia="宋体"/>
                <w:sz w:val="16"/>
              </w:rPr>
              <w:t>248.40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2BF0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856FA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7EAA3D">
            <w:pPr>
              <w:jc w:val="center"/>
            </w:pPr>
            <w:r>
              <w:rPr>
                <w:rFonts w:ascii="宋体" w:hAnsi="宋体" w:eastAsia="宋体"/>
                <w:sz w:val="16"/>
              </w:rPr>
              <w:t>-</w:t>
            </w:r>
          </w:p>
        </w:tc>
      </w:tr>
      <w:tr w14:paraId="4DE87F3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4DEE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4B52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270291">
            <w:pPr>
              <w:jc w:val="center"/>
            </w:pPr>
            <w:r>
              <w:rPr>
                <w:rFonts w:ascii="宋体" w:hAnsi="宋体" w:eastAsia="宋体"/>
                <w:sz w:val="16"/>
              </w:rPr>
              <w:t>159.75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8D642E">
            <w:pPr>
              <w:jc w:val="center"/>
            </w:pPr>
            <w:r>
              <w:rPr>
                <w:rFonts w:ascii="宋体" w:hAnsi="宋体" w:eastAsia="宋体"/>
                <w:sz w:val="16"/>
              </w:rPr>
              <w:t>485.20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1FC791">
            <w:pPr>
              <w:jc w:val="center"/>
            </w:pPr>
            <w:r>
              <w:rPr>
                <w:rFonts w:ascii="宋体" w:hAnsi="宋体" w:eastAsia="宋体"/>
                <w:sz w:val="16"/>
              </w:rPr>
              <w:t>485.20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1DD4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FF14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9B6D46">
            <w:pPr>
              <w:jc w:val="center"/>
            </w:pPr>
            <w:r>
              <w:rPr>
                <w:rFonts w:ascii="宋体" w:hAnsi="宋体" w:eastAsia="宋体"/>
                <w:sz w:val="16"/>
              </w:rPr>
              <w:t>-</w:t>
            </w:r>
          </w:p>
        </w:tc>
      </w:tr>
      <w:tr w14:paraId="3801543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1963F5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291032">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5A9FF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2321A5">
            <w:pPr>
              <w:jc w:val="center"/>
            </w:pPr>
            <w:r>
              <w:rPr>
                <w:rFonts w:ascii="宋体" w:hAnsi="宋体" w:eastAsia="宋体"/>
                <w:sz w:val="16"/>
              </w:rPr>
              <w:t>46.81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E36B5E">
            <w:pPr>
              <w:jc w:val="center"/>
            </w:pPr>
            <w:r>
              <w:rPr>
                <w:rFonts w:ascii="宋体" w:hAnsi="宋体" w:eastAsia="宋体"/>
                <w:sz w:val="16"/>
              </w:rPr>
              <w:t>32.64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0F7E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5626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6BD82A">
            <w:pPr>
              <w:jc w:val="center"/>
            </w:pPr>
            <w:r>
              <w:rPr>
                <w:rFonts w:ascii="宋体" w:hAnsi="宋体" w:eastAsia="宋体"/>
                <w:sz w:val="16"/>
              </w:rPr>
              <w:t>-</w:t>
            </w:r>
          </w:p>
        </w:tc>
      </w:tr>
      <w:tr w14:paraId="4664640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8384BE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D377FF">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BD8A71">
            <w:pPr>
              <w:jc w:val="center"/>
            </w:pPr>
            <w:r>
              <w:rPr>
                <w:rFonts w:ascii="宋体" w:hAnsi="宋体" w:eastAsia="宋体"/>
                <w:sz w:val="16"/>
              </w:rPr>
              <w:t>159.75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73EEFA">
            <w:pPr>
              <w:jc w:val="center"/>
            </w:pPr>
            <w:r>
              <w:rPr>
                <w:rFonts w:ascii="宋体" w:hAnsi="宋体" w:eastAsia="宋体"/>
                <w:sz w:val="16"/>
              </w:rPr>
              <w:t>780.41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E3C577">
            <w:pPr>
              <w:jc w:val="center"/>
            </w:pPr>
            <w:r>
              <w:rPr>
                <w:rFonts w:ascii="宋体" w:hAnsi="宋体" w:eastAsia="宋体"/>
                <w:sz w:val="16"/>
              </w:rPr>
              <w:t>766.24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340ED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91DE1A">
            <w:pPr>
              <w:jc w:val="center"/>
            </w:pPr>
            <w:r>
              <w:rPr>
                <w:rFonts w:ascii="宋体" w:hAnsi="宋体" w:eastAsia="宋体"/>
                <w:sz w:val="16"/>
              </w:rPr>
              <w:t>98.18%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3ED907">
            <w:pPr>
              <w:jc w:val="center"/>
            </w:pPr>
            <w:r>
              <w:rPr>
                <w:rFonts w:ascii="宋体" w:hAnsi="宋体" w:eastAsia="宋体"/>
                <w:sz w:val="16"/>
              </w:rPr>
              <w:t>9.82</w:t>
            </w:r>
          </w:p>
        </w:tc>
      </w:tr>
      <w:tr w14:paraId="3C56D90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56C0F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CBC4A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2EDFEE">
            <w:pPr>
              <w:jc w:val="center"/>
            </w:pPr>
            <w:r>
              <w:rPr>
                <w:rFonts w:ascii="宋体" w:hAnsi="宋体" w:eastAsia="宋体"/>
                <w:sz w:val="16"/>
              </w:rPr>
              <w:t>实际完成情况</w:t>
            </w:r>
          </w:p>
        </w:tc>
      </w:tr>
      <w:tr w14:paraId="6081BF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92C666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6FD7F6">
            <w:pPr>
              <w:jc w:val="both"/>
            </w:pPr>
            <w:r>
              <w:rPr>
                <w:rFonts w:ascii="宋体" w:hAnsi="宋体" w:eastAsia="宋体"/>
                <w:sz w:val="16"/>
              </w:rPr>
              <w:t>按照国家政策法规规定和单位实际情况，建立健全财务基础管理制度和约束机制，依法、有效地使用财政资金，提高财政资金使用效率，在完成部门职能目标中合理分配人，财、物，使这达到较高的工作效率和水平，促进我县保</w:t>
            </w:r>
            <w:r>
              <w:rPr>
                <w:rFonts w:hint="eastAsia" w:ascii="宋体" w:hAnsi="宋体"/>
                <w:sz w:val="16"/>
                <w:lang w:eastAsia="zh-CN"/>
              </w:rPr>
              <w:t>障和</w:t>
            </w:r>
            <w:r>
              <w:rPr>
                <w:rFonts w:ascii="宋体" w:hAnsi="宋体" w:eastAsia="宋体"/>
                <w:sz w:val="16"/>
              </w:rPr>
              <w:t>保护生态环境工作得到显著提升。最终达到独立承担辖区范围内执法监测和生态环境应急监测任务的目的。同时按照计划要求正常</w:t>
            </w:r>
            <w:r>
              <w:rPr>
                <w:rFonts w:hint="eastAsia" w:ascii="宋体" w:hAnsi="宋体"/>
                <w:sz w:val="16"/>
                <w:lang w:eastAsia="zh-CN"/>
              </w:rPr>
              <w:t>开展</w:t>
            </w:r>
            <w:r>
              <w:rPr>
                <w:rFonts w:ascii="宋体" w:hAnsi="宋体" w:eastAsia="宋体"/>
                <w:sz w:val="16"/>
              </w:rPr>
              <w:t>水与土壤的采样、噪声、</w:t>
            </w:r>
            <w:r>
              <w:rPr>
                <w:rFonts w:hint="eastAsia" w:ascii="宋体" w:hAnsi="宋体"/>
                <w:sz w:val="16"/>
                <w:lang w:eastAsia="zh-CN"/>
              </w:rPr>
              <w:t>废气</w:t>
            </w:r>
            <w:r>
              <w:rPr>
                <w:rFonts w:ascii="宋体" w:hAnsi="宋体" w:eastAsia="宋体"/>
                <w:sz w:val="16"/>
              </w:rPr>
              <w:t>监测工作。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F29A8A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全年预算数为780.41万元，全年执行数为766.24万元，总预算执行率为98.18%。2024年</w:t>
            </w:r>
            <w:r>
              <w:rPr>
                <w:rFonts w:hint="eastAsia" w:ascii="宋体" w:hAnsi="宋体"/>
                <w:sz w:val="16"/>
                <w:lang w:eastAsia="zh-CN"/>
              </w:rPr>
              <w:t>本单位</w:t>
            </w:r>
            <w:r>
              <w:rPr>
                <w:rFonts w:ascii="宋体" w:hAnsi="宋体" w:eastAsia="宋体"/>
                <w:sz w:val="16"/>
              </w:rPr>
              <w:t>完成以下工作内容：1. 对呼图壁县博物馆、下三工村委会开展降尘量监测12次；2对呼图壁县千吨万人水源地开展水源地水质监测4次；3.对呼图壁县二水厂水源地开展水源地水质监测工作2次；4.开展噪声监测4次；5.对呼图壁县开展质量样地草地、荒漠点位监测1次；6.对呼图壁河灌区、军塘湖河灌区、廿十里店灌区及石梯子灌区开展农田灌区监测工作2次；7.完成实验室认证工作，监测人员均持证上岗；8.空气自动站正常稳定运行且数据连续有效。通过以上工作的实施，保障呼图壁县县域内生态环境的稳定，提升呼图壁县</w:t>
            </w:r>
            <w:r>
              <w:rPr>
                <w:rFonts w:hint="eastAsia" w:ascii="宋体" w:hAnsi="宋体"/>
                <w:sz w:val="16"/>
                <w:lang w:eastAsia="zh-CN"/>
              </w:rPr>
              <w:t>对</w:t>
            </w:r>
            <w:r>
              <w:rPr>
                <w:rFonts w:ascii="宋体" w:hAnsi="宋体" w:eastAsia="宋体"/>
                <w:sz w:val="16"/>
              </w:rPr>
              <w:t>应急监测事件的处理能力，保障呼图壁县环境空气质量持续向好。</w:t>
            </w:r>
          </w:p>
        </w:tc>
      </w:tr>
      <w:tr w14:paraId="77235DA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F4AE0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4D612">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C64A">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9CAEFE">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6AF93">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A6A83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504375">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72DDAD">
            <w:pPr>
              <w:jc w:val="center"/>
            </w:pPr>
            <w:r>
              <w:rPr>
                <w:rFonts w:ascii="宋体" w:hAnsi="宋体" w:eastAsia="宋体"/>
                <w:sz w:val="16"/>
              </w:rPr>
              <w:t>得分</w:t>
            </w:r>
          </w:p>
        </w:tc>
      </w:tr>
      <w:tr w14:paraId="30097CF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C4268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572F94">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E4542">
            <w:pPr>
              <w:jc w:val="center"/>
            </w:pPr>
            <w:r>
              <w:rPr>
                <w:rFonts w:ascii="宋体" w:hAnsi="宋体" w:eastAsia="宋体"/>
                <w:sz w:val="16"/>
              </w:rPr>
              <w:t>每月对呼图壁县博物馆、下三工村委会开展降尘量监测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CEDB93">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61163">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18C8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3D515">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F5893C">
            <w:pPr>
              <w:jc w:val="center"/>
            </w:pPr>
            <w:r>
              <w:rPr>
                <w:rFonts w:ascii="宋体" w:hAnsi="宋体" w:eastAsia="宋体"/>
                <w:sz w:val="16"/>
              </w:rPr>
              <w:t>15</w:t>
            </w:r>
          </w:p>
        </w:tc>
      </w:tr>
      <w:tr w14:paraId="538C1F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2243D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9671D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E7660">
            <w:pPr>
              <w:jc w:val="center"/>
            </w:pPr>
            <w:r>
              <w:rPr>
                <w:rFonts w:ascii="宋体" w:hAnsi="宋体" w:eastAsia="宋体"/>
                <w:sz w:val="16"/>
              </w:rPr>
              <w:t>每季度对呼图壁县千吨万人水源地开展水源地水质监测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363F66">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6267B2">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E8E7BA2">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3E494">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7F7A6">
            <w:pPr>
              <w:jc w:val="center"/>
            </w:pPr>
            <w:r>
              <w:rPr>
                <w:rFonts w:ascii="宋体" w:hAnsi="宋体" w:eastAsia="宋体"/>
                <w:sz w:val="16"/>
              </w:rPr>
              <w:t>15</w:t>
            </w:r>
          </w:p>
        </w:tc>
      </w:tr>
      <w:tr w14:paraId="4CFAD0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EF8799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BF453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DFDABF">
            <w:pPr>
              <w:jc w:val="center"/>
            </w:pPr>
            <w:r>
              <w:rPr>
                <w:rFonts w:ascii="宋体" w:hAnsi="宋体" w:eastAsia="宋体"/>
                <w:sz w:val="16"/>
              </w:rPr>
              <w:t>每半年对呼图壁县二水厂水源地开展水源地水质监测工作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EDD3F">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D379C">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ECCAE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C700F7">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462FDE">
            <w:pPr>
              <w:jc w:val="center"/>
            </w:pPr>
            <w:r>
              <w:rPr>
                <w:rFonts w:ascii="宋体" w:hAnsi="宋体" w:eastAsia="宋体"/>
                <w:sz w:val="16"/>
              </w:rPr>
              <w:t>10</w:t>
            </w:r>
          </w:p>
        </w:tc>
      </w:tr>
      <w:tr w14:paraId="3301B46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C6973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CBF67D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228E0A">
            <w:pPr>
              <w:jc w:val="center"/>
            </w:pPr>
            <w:r>
              <w:rPr>
                <w:rFonts w:ascii="宋体" w:hAnsi="宋体" w:eastAsia="宋体"/>
                <w:sz w:val="16"/>
              </w:rPr>
              <w:t>每季度开展噪声监测工作完成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25DCC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A1CE06">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49034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65426">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0F157">
            <w:pPr>
              <w:jc w:val="center"/>
            </w:pPr>
            <w:r>
              <w:rPr>
                <w:rFonts w:ascii="宋体" w:hAnsi="宋体" w:eastAsia="宋体"/>
                <w:sz w:val="16"/>
              </w:rPr>
              <w:t>10</w:t>
            </w:r>
          </w:p>
        </w:tc>
      </w:tr>
      <w:tr w14:paraId="7D586B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9DCA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985D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A65FF">
            <w:pPr>
              <w:jc w:val="center"/>
            </w:pPr>
            <w:r>
              <w:rPr>
                <w:rFonts w:ascii="宋体" w:hAnsi="宋体" w:eastAsia="宋体"/>
                <w:sz w:val="16"/>
              </w:rPr>
              <w:t>每年对呼图壁县开展质量样地草地、荒漠点位监测</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55D62">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F3E91D">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0D2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8B37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863D1A">
            <w:pPr>
              <w:jc w:val="center"/>
            </w:pPr>
            <w:r>
              <w:rPr>
                <w:rFonts w:ascii="宋体" w:hAnsi="宋体" w:eastAsia="宋体"/>
                <w:sz w:val="16"/>
              </w:rPr>
              <w:t>10</w:t>
            </w:r>
          </w:p>
        </w:tc>
      </w:tr>
      <w:tr w14:paraId="24DFCE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FCDA3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98D77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C62CD9">
            <w:pPr>
              <w:jc w:val="center"/>
            </w:pPr>
            <w:r>
              <w:rPr>
                <w:rFonts w:ascii="宋体" w:hAnsi="宋体" w:eastAsia="宋体"/>
                <w:sz w:val="16"/>
              </w:rPr>
              <w:t>每半年对呼图壁河灌区、军塘湖河灌区、廿十里店灌区及石梯子灌区开展农田灌区监测工作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73868E">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4E816">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61F71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9E93FC">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90C589">
            <w:pPr>
              <w:jc w:val="center"/>
            </w:pPr>
            <w:r>
              <w:rPr>
                <w:rFonts w:ascii="宋体" w:hAnsi="宋体" w:eastAsia="宋体"/>
                <w:sz w:val="16"/>
              </w:rPr>
              <w:t>10</w:t>
            </w:r>
          </w:p>
        </w:tc>
      </w:tr>
      <w:tr w14:paraId="2D55E85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3AD4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68407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5CB03E">
            <w:pPr>
              <w:jc w:val="center"/>
            </w:pPr>
            <w:r>
              <w:rPr>
                <w:rFonts w:ascii="宋体" w:hAnsi="宋体" w:eastAsia="宋体"/>
                <w:sz w:val="16"/>
              </w:rPr>
              <w:t>完成实验室认证工作，提升实验室能力，确保监测人员均持证上岗</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024F2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4ECD0A">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9BF90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E9FE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6084B8">
            <w:pPr>
              <w:jc w:val="center"/>
            </w:pPr>
            <w:r>
              <w:rPr>
                <w:rFonts w:ascii="宋体" w:hAnsi="宋体" w:eastAsia="宋体"/>
                <w:sz w:val="16"/>
              </w:rPr>
              <w:t>10</w:t>
            </w:r>
          </w:p>
        </w:tc>
      </w:tr>
      <w:tr w14:paraId="3AC546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EAA1A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DA42B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9B739D">
            <w:pPr>
              <w:jc w:val="center"/>
            </w:pPr>
            <w:r>
              <w:rPr>
                <w:rFonts w:ascii="宋体" w:hAnsi="宋体" w:eastAsia="宋体"/>
                <w:sz w:val="16"/>
              </w:rPr>
              <w:t>保证空气自动站正常稳定运行，监测数据连续有效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560C7B">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22D25F">
            <w:pPr>
              <w:jc w:val="center"/>
            </w:pPr>
            <w:r>
              <w:rPr>
                <w:rFonts w:ascii="宋体" w:hAnsi="宋体" w:eastAsia="宋体"/>
                <w:sz w:val="16"/>
              </w:rPr>
              <w:t>《2023年昌吉州生态环境监测方案》</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F38637">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32F37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5B5DD">
            <w:pPr>
              <w:jc w:val="center"/>
            </w:pPr>
            <w:r>
              <w:rPr>
                <w:rFonts w:ascii="宋体" w:hAnsi="宋体" w:eastAsia="宋体"/>
                <w:sz w:val="16"/>
              </w:rPr>
              <w:t>10</w:t>
            </w:r>
          </w:p>
        </w:tc>
      </w:tr>
    </w:tbl>
    <w:p w14:paraId="5D897B6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795"/>
        <w:gridCol w:w="469"/>
        <w:gridCol w:w="632"/>
        <w:gridCol w:w="632"/>
        <w:gridCol w:w="776"/>
        <w:gridCol w:w="632"/>
        <w:gridCol w:w="632"/>
        <w:gridCol w:w="632"/>
        <w:gridCol w:w="632"/>
        <w:gridCol w:w="550"/>
        <w:gridCol w:w="778"/>
      </w:tblGrid>
      <w:tr w14:paraId="5BCA2C7D">
        <w:tblPrEx>
          <w:tblCellMar>
            <w:top w:w="0" w:type="dxa"/>
            <w:left w:w="108" w:type="dxa"/>
            <w:bottom w:w="0" w:type="dxa"/>
            <w:right w:w="108" w:type="dxa"/>
          </w:tblCellMar>
        </w:tblPrEx>
        <w:tc>
          <w:tcPr>
            <w:tcW w:w="9056" w:type="dxa"/>
            <w:gridSpan w:val="14"/>
            <w:vAlign w:val="center"/>
          </w:tcPr>
          <w:p w14:paraId="7508F73A">
            <w:pPr>
              <w:jc w:val="center"/>
            </w:pPr>
            <w:r>
              <w:rPr>
                <w:rFonts w:ascii="宋体" w:hAnsi="宋体" w:eastAsia="宋体"/>
                <w:sz w:val="24"/>
              </w:rPr>
              <w:t>项目支出绩效自评表</w:t>
            </w:r>
          </w:p>
        </w:tc>
      </w:tr>
      <w:tr w14:paraId="545506E3">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34E392">
            <w:pPr>
              <w:jc w:val="center"/>
            </w:pPr>
            <w:r>
              <w:rPr>
                <w:rFonts w:ascii="宋体" w:hAnsi="宋体" w:eastAsia="宋体"/>
                <w:sz w:val="24"/>
              </w:rPr>
              <w:t>(2024年度)</w:t>
            </w:r>
          </w:p>
        </w:tc>
      </w:tr>
      <w:tr w14:paraId="375D0C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76935">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8072EE">
            <w:pPr>
              <w:jc w:val="center"/>
            </w:pPr>
            <w:r>
              <w:rPr>
                <w:rFonts w:ascii="宋体" w:hAnsi="宋体" w:eastAsia="宋体"/>
                <w:sz w:val="16"/>
              </w:rPr>
              <w:t>呼图壁县生态环境质量农村千吨万人饮用水委托监测项目</w:t>
            </w:r>
          </w:p>
        </w:tc>
      </w:tr>
      <w:tr w14:paraId="4F8B09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4ED9F">
            <w:pPr>
              <w:jc w:val="center"/>
            </w:pPr>
            <w:r>
              <w:rPr>
                <w:rFonts w:ascii="宋体" w:hAnsi="宋体" w:eastAsia="宋体"/>
                <w:sz w:val="16"/>
              </w:rPr>
              <w:t>主管部门</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42DD65">
            <w:pPr>
              <w:jc w:val="center"/>
            </w:pPr>
            <w:r>
              <w:rPr>
                <w:rFonts w:ascii="宋体" w:hAnsi="宋体" w:eastAsia="宋体"/>
                <w:sz w:val="16"/>
              </w:rPr>
              <w:t>昌吉回族自治州生态环境局呼图壁县分局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8B208">
            <w:pPr>
              <w:jc w:val="center"/>
            </w:pPr>
            <w:r>
              <w:rPr>
                <w:rFonts w:ascii="宋体" w:hAnsi="宋体" w:eastAsia="宋体"/>
                <w:sz w:val="16"/>
              </w:rPr>
              <w:t>实施单位</w:t>
            </w:r>
          </w:p>
        </w:tc>
        <w:tc>
          <w:tcPr>
            <w:tcW w:w="3224"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75C907D">
            <w:pPr>
              <w:jc w:val="center"/>
            </w:pPr>
            <w:r>
              <w:rPr>
                <w:rFonts w:ascii="宋体" w:hAnsi="宋体" w:eastAsia="宋体"/>
                <w:sz w:val="16"/>
              </w:rPr>
              <w:t>昌吉回族自治州生态环境局呼图壁县分局</w:t>
            </w:r>
          </w:p>
        </w:tc>
      </w:tr>
      <w:tr w14:paraId="45CF46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D2E5E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24304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AEB47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AA44E">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897DE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0F042">
            <w:pPr>
              <w:jc w:val="center"/>
            </w:pPr>
            <w:r>
              <w:rPr>
                <w:rFonts w:ascii="宋体" w:hAnsi="宋体" w:eastAsia="宋体"/>
                <w:sz w:val="16"/>
              </w:rPr>
              <w:t>分值</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807F4">
            <w:pPr>
              <w:jc w:val="center"/>
            </w:pPr>
            <w:r>
              <w:rPr>
                <w:rFonts w:ascii="宋体" w:hAnsi="宋体" w:eastAsia="宋体"/>
                <w:sz w:val="16"/>
              </w:rPr>
              <w:t>执行率</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1FA81745">
            <w:pPr>
              <w:jc w:val="center"/>
            </w:pPr>
            <w:r>
              <w:rPr>
                <w:rFonts w:ascii="宋体" w:hAnsi="宋体" w:eastAsia="宋体"/>
                <w:sz w:val="16"/>
              </w:rPr>
              <w:t>得分</w:t>
            </w:r>
          </w:p>
        </w:tc>
      </w:tr>
      <w:tr w14:paraId="7EC307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9C93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B690A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157063">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47C019">
            <w:pPr>
              <w:jc w:val="center"/>
            </w:pPr>
            <w:r>
              <w:rPr>
                <w:rFonts w:ascii="宋体" w:hAnsi="宋体" w:eastAsia="宋体"/>
                <w:sz w:val="16"/>
              </w:rPr>
              <w:t>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7651C">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18E53">
            <w:pPr>
              <w:jc w:val="center"/>
            </w:pPr>
            <w:r>
              <w:rPr>
                <w:rFonts w:ascii="宋体" w:hAnsi="宋体" w:eastAsia="宋体"/>
                <w:sz w:val="16"/>
              </w:rPr>
              <w:t>10</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3DD86">
            <w:pPr>
              <w:jc w:val="center"/>
            </w:pPr>
            <w:r>
              <w:rPr>
                <w:rFonts w:ascii="宋体" w:hAnsi="宋体" w:eastAsia="宋体"/>
                <w:sz w:val="16"/>
              </w:rPr>
              <w:t>100.00%</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F25FB10">
            <w:pPr>
              <w:jc w:val="center"/>
            </w:pPr>
            <w:r>
              <w:rPr>
                <w:rFonts w:ascii="宋体" w:hAnsi="宋体" w:eastAsia="宋体"/>
                <w:sz w:val="16"/>
              </w:rPr>
              <w:t>10.00</w:t>
            </w:r>
          </w:p>
        </w:tc>
      </w:tr>
      <w:tr w14:paraId="22AF03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6A0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7A2C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5F92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B58E3">
            <w:pPr>
              <w:jc w:val="center"/>
            </w:pPr>
            <w:r>
              <w:rPr>
                <w:rFonts w:ascii="宋体" w:hAnsi="宋体" w:eastAsia="宋体"/>
                <w:sz w:val="16"/>
              </w:rPr>
              <w:t>8.00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81AF1B">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46F621">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6C7AE">
            <w:pPr>
              <w:jc w:val="center"/>
            </w:pPr>
            <w:r>
              <w:rPr>
                <w:rFonts w:ascii="宋体" w:hAnsi="宋体" w:eastAsia="宋体"/>
                <w:sz w:val="16"/>
              </w:rPr>
              <w:t>—</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1FBA7181">
            <w:pPr>
              <w:jc w:val="center"/>
            </w:pPr>
            <w:r>
              <w:rPr>
                <w:rFonts w:ascii="宋体" w:hAnsi="宋体" w:eastAsia="宋体"/>
                <w:sz w:val="16"/>
              </w:rPr>
              <w:t>—</w:t>
            </w:r>
          </w:p>
        </w:tc>
      </w:tr>
      <w:tr w14:paraId="03AA71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54C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72E7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FE9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1061D">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6FB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5821ED">
            <w:pPr>
              <w:jc w:val="center"/>
            </w:pPr>
            <w:r>
              <w:rPr>
                <w:rFonts w:ascii="宋体" w:hAnsi="宋体" w:eastAsia="宋体"/>
                <w:sz w:val="16"/>
              </w:rPr>
              <w:t>—</w:t>
            </w:r>
          </w:p>
        </w:tc>
        <w:tc>
          <w:tcPr>
            <w:tcW w:w="118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A3E46">
            <w:pPr>
              <w:jc w:val="center"/>
            </w:pPr>
            <w:r>
              <w:rPr>
                <w:rFonts w:ascii="宋体" w:hAnsi="宋体" w:eastAsia="宋体"/>
                <w:sz w:val="16"/>
              </w:rPr>
              <w:t>—</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3C2D0315">
            <w:pPr>
              <w:jc w:val="center"/>
            </w:pPr>
            <w:r>
              <w:rPr>
                <w:rFonts w:ascii="宋体" w:hAnsi="宋体" w:eastAsia="宋体"/>
                <w:sz w:val="16"/>
              </w:rPr>
              <w:t>—</w:t>
            </w:r>
          </w:p>
        </w:tc>
      </w:tr>
      <w:tr w14:paraId="1DE18B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01C4A2">
            <w:pPr>
              <w:jc w:val="center"/>
            </w:pPr>
            <w:r>
              <w:rPr>
                <w:rFonts w:ascii="宋体" w:hAnsi="宋体" w:eastAsia="宋体"/>
                <w:sz w:val="16"/>
              </w:rPr>
              <w:t>年度总体目标</w:t>
            </w:r>
          </w:p>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854CB1">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6BA6B2A">
            <w:pPr>
              <w:jc w:val="center"/>
            </w:pPr>
            <w:r>
              <w:rPr>
                <w:rFonts w:ascii="宋体" w:hAnsi="宋体" w:eastAsia="宋体"/>
                <w:sz w:val="16"/>
              </w:rPr>
              <w:t>实际完成情况</w:t>
            </w:r>
          </w:p>
        </w:tc>
      </w:tr>
      <w:tr w14:paraId="77D3C1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BE8B71"/>
        </w:tc>
        <w:tc>
          <w:tcPr>
            <w:tcW w:w="456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CB7E15">
            <w:pPr>
              <w:jc w:val="both"/>
            </w:pPr>
            <w:r>
              <w:rPr>
                <w:rFonts w:ascii="宋体" w:hAnsi="宋体" w:eastAsia="宋体"/>
                <w:sz w:val="16"/>
              </w:rPr>
              <w:t>2024年该项目计划完成农村县域河流湖库监测断面4次，千吨万人地下水饮用水水源地、农田灌溉水监测2次，生活污水处理设施出水水质监测2次，农业面源控制断面监测4次。项目计划于2024年12月10日完成。项目预计支出8万元。通过该项目的实施，提升监测人员业务能力。</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F431DD9">
            <w:pPr>
              <w:jc w:val="both"/>
            </w:pPr>
            <w:r>
              <w:rPr>
                <w:rFonts w:ascii="宋体" w:hAnsi="宋体" w:eastAsia="宋体"/>
                <w:sz w:val="16"/>
              </w:rPr>
              <w:t>截至2025年8月31日，本项目已支出8.00万元，预算执行率为100.00%,本项目已完成农村县域河流湖库监测断面3次，千吨万人地下水饮用水水源地、农田灌溉水监测2次，生活污水处理设施出水水质监测2次，农业面源控制断面监测3次。通过实施本项目，提升了呼图壁县监测能力。保障了居民用水安全。</w:t>
            </w:r>
          </w:p>
        </w:tc>
      </w:tr>
      <w:tr w14:paraId="06B6A1B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DBE6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40A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3BEE2C">
            <w:pPr>
              <w:jc w:val="center"/>
            </w:pPr>
            <w:r>
              <w:rPr>
                <w:rFonts w:ascii="宋体" w:hAnsi="宋体" w:eastAsia="宋体"/>
                <w:sz w:val="16"/>
              </w:rPr>
              <w:t>二级指标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DC72B33">
            <w:pPr>
              <w:jc w:val="center"/>
            </w:pPr>
            <w:r>
              <w:rPr>
                <w:rFonts w:ascii="宋体" w:hAnsi="宋体" w:eastAsia="宋体"/>
                <w:sz w:val="16"/>
              </w:rPr>
              <w:t>三级指标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898CFD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06D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45E1B">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22E1D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E66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CEF2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905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C1D83">
            <w:pPr>
              <w:jc w:val="center"/>
            </w:pPr>
            <w:r>
              <w:rPr>
                <w:rFonts w:ascii="宋体" w:hAnsi="宋体" w:eastAsia="宋体"/>
                <w:sz w:val="16"/>
              </w:rPr>
              <w:t>赋分规则</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3D09DC38">
            <w:pPr>
              <w:jc w:val="center"/>
            </w:pPr>
            <w:r>
              <w:rPr>
                <w:rFonts w:ascii="宋体" w:hAnsi="宋体" w:eastAsia="宋体"/>
                <w:sz w:val="16"/>
              </w:rPr>
              <w:t>佐证资料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5CBE4E6D">
            <w:pPr>
              <w:jc w:val="center"/>
            </w:pPr>
            <w:r>
              <w:rPr>
                <w:rFonts w:ascii="宋体" w:hAnsi="宋体" w:eastAsia="宋体"/>
                <w:sz w:val="16"/>
              </w:rPr>
              <w:t>偏差原因分析及改进措施</w:t>
            </w:r>
          </w:p>
        </w:tc>
      </w:tr>
      <w:tr w14:paraId="4C29F2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B8725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E81BA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CE0B7D">
            <w:pPr>
              <w:jc w:val="center"/>
            </w:pPr>
            <w:r>
              <w:rPr>
                <w:rFonts w:ascii="宋体" w:hAnsi="宋体" w:eastAsia="宋体"/>
                <w:sz w:val="16"/>
              </w:rPr>
              <w:t>数量指标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BCE3707">
            <w:pPr>
              <w:jc w:val="center"/>
            </w:pPr>
            <w:r>
              <w:rPr>
                <w:rFonts w:ascii="宋体" w:hAnsi="宋体" w:eastAsia="宋体"/>
                <w:sz w:val="16"/>
              </w:rPr>
              <w:t>农村县域河流湖库监测断面监测次数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1FDDD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1AEAD">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78C00">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B17A679">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FF034">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F4E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7A0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DEDDC">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71CBC6A">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5DDCE113">
            <w:pPr>
              <w:jc w:val="center"/>
            </w:pPr>
            <w:r>
              <w:rPr>
                <w:rFonts w:ascii="宋体" w:hAnsi="宋体" w:eastAsia="宋体"/>
                <w:sz w:val="16"/>
              </w:rPr>
              <w:t>农村县域河流湖库监测断面监测工作按照时间季度开展监测工作，</w:t>
            </w:r>
            <w:r>
              <w:rPr>
                <w:rFonts w:hint="eastAsia" w:ascii="宋体" w:hAnsi="宋体"/>
                <w:sz w:val="16"/>
                <w:lang w:eastAsia="zh-CN"/>
              </w:rPr>
              <w:t>截至</w:t>
            </w:r>
            <w:r>
              <w:rPr>
                <w:rFonts w:ascii="宋体" w:hAnsi="宋体" w:eastAsia="宋体"/>
                <w:sz w:val="16"/>
              </w:rPr>
              <w:t>2025年8月31日，第一至三季度已按时完成，第四季度农村县域河流湖库监测断面监测工作未到时间节点，工作未开展。</w:t>
            </w:r>
          </w:p>
        </w:tc>
      </w:tr>
      <w:tr w14:paraId="5A97AC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3B6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774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497D62"/>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0B85F85">
            <w:pPr>
              <w:jc w:val="center"/>
            </w:pPr>
            <w:r>
              <w:rPr>
                <w:rFonts w:ascii="宋体" w:hAnsi="宋体" w:eastAsia="宋体"/>
                <w:sz w:val="16"/>
              </w:rPr>
              <w:t>千吨万人地下水饮用水水源地、农田灌溉水监测次数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5C9F7B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8276">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93C88">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7B9DD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F3D4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7F4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473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8A9BE">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25F7930">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43EB01FC">
            <w:pPr>
              <w:jc w:val="center"/>
            </w:pPr>
          </w:p>
        </w:tc>
      </w:tr>
      <w:tr w14:paraId="23C2B9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1AE47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F88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AD421"/>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BAD94B8">
            <w:pPr>
              <w:jc w:val="center"/>
            </w:pPr>
            <w:r>
              <w:rPr>
                <w:rFonts w:ascii="宋体" w:hAnsi="宋体" w:eastAsia="宋体"/>
                <w:sz w:val="16"/>
              </w:rPr>
              <w:t>生活污水处理设施出水水质监测次数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667B10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C573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A1081">
            <w:pPr>
              <w:jc w:val="center"/>
            </w:pPr>
            <w:r>
              <w:rPr>
                <w:rFonts w:ascii="宋体" w:hAnsi="宋体" w:eastAsia="宋体"/>
                <w:sz w:val="16"/>
              </w:rPr>
              <w:t>=2次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BBC4D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67A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01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FC7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B2DCA">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E5F469D">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4BAEC39A">
            <w:pPr>
              <w:jc w:val="center"/>
            </w:pPr>
          </w:p>
        </w:tc>
      </w:tr>
      <w:tr w14:paraId="1B5EC0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A36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B0E1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92BE71"/>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388E33FA">
            <w:pPr>
              <w:jc w:val="center"/>
            </w:pPr>
            <w:r>
              <w:rPr>
                <w:rFonts w:ascii="宋体" w:hAnsi="宋体" w:eastAsia="宋体"/>
                <w:sz w:val="16"/>
              </w:rPr>
              <w:t>农业面源控制断面监测次数</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1B1C06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B9C13">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9257C">
            <w:pPr>
              <w:jc w:val="center"/>
            </w:pPr>
            <w:r>
              <w:rPr>
                <w:rFonts w:ascii="宋体" w:hAnsi="宋体" w:eastAsia="宋体"/>
                <w:sz w:val="16"/>
              </w:rPr>
              <w:t>=3次</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378715E">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DA114">
            <w:pPr>
              <w:jc w:val="center"/>
            </w:pPr>
            <w:r>
              <w:rPr>
                <w:rFonts w:ascii="宋体" w:hAnsi="宋体" w:eastAsia="宋体"/>
                <w:sz w:val="16"/>
              </w:rPr>
              <w:t>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FA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27D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E3E41">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F185AC9">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0D47E5F6">
            <w:pPr>
              <w:jc w:val="center"/>
            </w:pPr>
            <w:r>
              <w:rPr>
                <w:rFonts w:ascii="宋体" w:hAnsi="宋体" w:eastAsia="宋体"/>
                <w:sz w:val="16"/>
              </w:rPr>
              <w:t>农业面源控制断面监测工作按照时间季度开展监测工作，</w:t>
            </w:r>
            <w:r>
              <w:rPr>
                <w:rFonts w:hint="eastAsia" w:ascii="宋体" w:hAnsi="宋体"/>
                <w:sz w:val="16"/>
                <w:lang w:eastAsia="zh-CN"/>
              </w:rPr>
              <w:t>截至</w:t>
            </w:r>
            <w:r>
              <w:rPr>
                <w:rFonts w:ascii="宋体" w:hAnsi="宋体" w:eastAsia="宋体"/>
                <w:sz w:val="16"/>
              </w:rPr>
              <w:t>2025年8月31日，第一至三季度已按时完成，第四季度农业面源控制断面监测工作未到时间节点，工作未开展。</w:t>
            </w:r>
          </w:p>
        </w:tc>
      </w:tr>
      <w:tr w14:paraId="15173FF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93E2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0CE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16A19">
            <w:pPr>
              <w:jc w:val="center"/>
            </w:pPr>
            <w:r>
              <w:rPr>
                <w:rFonts w:ascii="宋体" w:hAnsi="宋体" w:eastAsia="宋体"/>
                <w:sz w:val="16"/>
              </w:rPr>
              <w:t>质量指标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52797B90">
            <w:pPr>
              <w:jc w:val="center"/>
            </w:pPr>
            <w:r>
              <w:rPr>
                <w:rFonts w:ascii="宋体" w:hAnsi="宋体" w:eastAsia="宋体"/>
                <w:sz w:val="16"/>
              </w:rPr>
              <w:t>生态环境监测数据准确率</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675A4A4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88F2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3ABC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B2EC35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BC51E">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816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177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ED660">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20B221BB">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549190E5">
            <w:pPr>
              <w:jc w:val="center"/>
            </w:pPr>
            <w:r>
              <w:rPr>
                <w:rFonts w:hint="eastAsia" w:ascii="宋体" w:hAnsi="宋体"/>
                <w:sz w:val="16"/>
                <w:lang w:eastAsia="zh-CN"/>
              </w:rPr>
              <w:t>截至</w:t>
            </w:r>
            <w:r>
              <w:rPr>
                <w:rFonts w:ascii="宋体" w:hAnsi="宋体" w:eastAsia="宋体"/>
                <w:sz w:val="16"/>
              </w:rPr>
              <w:t>2025年8月31日，第一至三季度已按时完成，监测数据准确并出具监测报告。</w:t>
            </w:r>
          </w:p>
        </w:tc>
      </w:tr>
      <w:tr w14:paraId="6C9A2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C9F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21D5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28A1F1">
            <w:pPr>
              <w:jc w:val="center"/>
            </w:pPr>
            <w:r>
              <w:rPr>
                <w:rFonts w:ascii="宋体" w:hAnsi="宋体" w:eastAsia="宋体"/>
                <w:sz w:val="16"/>
              </w:rPr>
              <w:t>时效指标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0A6848C9">
            <w:pPr>
              <w:jc w:val="center"/>
            </w:pPr>
            <w:r>
              <w:rPr>
                <w:rFonts w:ascii="宋体" w:hAnsi="宋体" w:eastAsia="宋体"/>
                <w:sz w:val="16"/>
              </w:rPr>
              <w:t>项目完成时间</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54D9DFA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F436D">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2886">
            <w:pPr>
              <w:jc w:val="center"/>
            </w:pPr>
            <w:r>
              <w:rPr>
                <w:rFonts w:ascii="宋体" w:hAnsi="宋体" w:eastAsia="宋体"/>
                <w:sz w:val="16"/>
              </w:rPr>
              <w:t>2025年8月31日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538AFB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005B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5E0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935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7C1EA">
            <w:pPr>
              <w:jc w:val="center"/>
            </w:pPr>
            <w:r>
              <w:rPr>
                <w:rFonts w:ascii="宋体" w:hAnsi="宋体" w:eastAsia="宋体"/>
                <w:sz w:val="16"/>
              </w:rPr>
              <w:t>直接赋分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FE9911F">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1220168">
            <w:pPr>
              <w:jc w:val="center"/>
            </w:pPr>
            <w:r>
              <w:rPr>
                <w:rFonts w:ascii="宋体" w:hAnsi="宋体" w:eastAsia="宋体"/>
                <w:sz w:val="16"/>
              </w:rPr>
              <w:t>该项目为2024年延期自评项目，本指标设置时间节点至2024年12月，未考虑延期自评时完成时间，导致本指标偏差率达100%。</w:t>
            </w:r>
          </w:p>
        </w:tc>
      </w:tr>
      <w:tr w14:paraId="6B87570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D590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CEF0A">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1D92C">
            <w:pPr>
              <w:jc w:val="center"/>
            </w:pPr>
            <w:r>
              <w:rPr>
                <w:rFonts w:ascii="宋体" w:hAnsi="宋体" w:eastAsia="宋体"/>
                <w:sz w:val="16"/>
              </w:rPr>
              <w:t>经济成本指标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406B3D6">
            <w:pPr>
              <w:jc w:val="center"/>
            </w:pPr>
            <w:r>
              <w:rPr>
                <w:rFonts w:ascii="宋体" w:hAnsi="宋体" w:eastAsia="宋体"/>
                <w:sz w:val="16"/>
              </w:rPr>
              <w:t>生态环境监测成本</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3FEDCE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C5A7A">
            <w:pPr>
              <w:jc w:val="center"/>
            </w:pPr>
            <w:r>
              <w:rPr>
                <w:rFonts w:ascii="宋体" w:hAnsi="宋体" w:eastAsia="宋体"/>
                <w:sz w:val="16"/>
              </w:rPr>
              <w:t>&lt;=8万元/年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8A6B7A">
            <w:pPr>
              <w:jc w:val="center"/>
            </w:pPr>
            <w:r>
              <w:rPr>
                <w:rFonts w:ascii="宋体" w:hAnsi="宋体" w:eastAsia="宋体"/>
                <w:sz w:val="16"/>
              </w:rPr>
              <w:t>=8万元/年</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6AAB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083D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E53C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E4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D663F">
            <w:pPr>
              <w:jc w:val="center"/>
            </w:pPr>
            <w:r>
              <w:rPr>
                <w:rFonts w:ascii="宋体" w:hAnsi="宋体" w:eastAsia="宋体"/>
                <w:sz w:val="16"/>
              </w:rPr>
              <w:t>按照完成比例赋分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1E4627A4">
            <w:pPr>
              <w:jc w:val="center"/>
            </w:pPr>
            <w:r>
              <w:rPr>
                <w:rFonts w:ascii="宋体" w:hAnsi="宋体" w:eastAsia="宋体"/>
                <w:sz w:val="16"/>
              </w:rPr>
              <w:t>原始凭证</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76B8BC82">
            <w:pPr>
              <w:jc w:val="center"/>
            </w:pPr>
          </w:p>
        </w:tc>
      </w:tr>
      <w:tr w14:paraId="49210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08B7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076E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9DA75">
            <w:pPr>
              <w:jc w:val="center"/>
            </w:pPr>
            <w:r>
              <w:rPr>
                <w:rFonts w:ascii="宋体" w:hAnsi="宋体" w:eastAsia="宋体"/>
                <w:sz w:val="16"/>
              </w:rPr>
              <w:t>社会效益指标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2C4BA698">
            <w:pPr>
              <w:jc w:val="center"/>
            </w:pPr>
            <w:r>
              <w:rPr>
                <w:rFonts w:ascii="宋体" w:hAnsi="宋体" w:eastAsia="宋体"/>
                <w:sz w:val="16"/>
              </w:rPr>
              <w:t>提升监测人员业务能力</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7642C1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CD17">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D06B7">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94A3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9963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321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48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C0094">
            <w:pPr>
              <w:jc w:val="center"/>
            </w:pPr>
            <w:r>
              <w:rPr>
                <w:rFonts w:ascii="宋体" w:hAnsi="宋体" w:eastAsia="宋体"/>
                <w:sz w:val="16"/>
              </w:rPr>
              <w:t>按评判等级赋分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7FB9D1A3">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458C9350">
            <w:pPr>
              <w:jc w:val="center"/>
            </w:pPr>
          </w:p>
        </w:tc>
      </w:tr>
      <w:tr w14:paraId="1E7F09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09B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15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23EBF">
            <w:pPr>
              <w:jc w:val="center"/>
            </w:pPr>
            <w:r>
              <w:rPr>
                <w:rFonts w:ascii="宋体" w:hAnsi="宋体" w:eastAsia="宋体"/>
                <w:sz w:val="16"/>
              </w:rPr>
              <w:t>满意度指标</w:t>
            </w:r>
          </w:p>
        </w:tc>
        <w:tc>
          <w:tcPr>
            <w:tcW w:w="795" w:type="dxa"/>
            <w:tcBorders>
              <w:top w:val="single" w:color="auto" w:sz="10" w:space="0"/>
              <w:left w:val="single" w:color="auto" w:sz="10" w:space="0"/>
              <w:bottom w:val="single" w:color="auto" w:sz="10" w:space="0"/>
              <w:right w:val="single" w:color="auto" w:sz="10" w:space="0"/>
              <w:insideV w:val="single" w:sz="10" w:space="0"/>
            </w:tcBorders>
            <w:vAlign w:val="center"/>
          </w:tcPr>
          <w:p w14:paraId="61094E6F">
            <w:pPr>
              <w:jc w:val="center"/>
            </w:pPr>
            <w:r>
              <w:rPr>
                <w:rFonts w:ascii="宋体" w:hAnsi="宋体" w:eastAsia="宋体"/>
                <w:sz w:val="16"/>
              </w:rPr>
              <w:t>工作人员满意度</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2B2DE8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F47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09856B">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9265985">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0F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B37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FD7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41F6E">
            <w:pPr>
              <w:jc w:val="center"/>
            </w:pPr>
            <w:r>
              <w:rPr>
                <w:rFonts w:ascii="宋体" w:hAnsi="宋体" w:eastAsia="宋体"/>
                <w:sz w:val="16"/>
              </w:rPr>
              <w:t>满意度赋分</w:t>
            </w:r>
          </w:p>
        </w:tc>
        <w:tc>
          <w:tcPr>
            <w:tcW w:w="550" w:type="dxa"/>
            <w:tcBorders>
              <w:top w:val="single" w:color="auto" w:sz="10" w:space="0"/>
              <w:left w:val="single" w:color="auto" w:sz="10" w:space="0"/>
              <w:bottom w:val="single" w:color="auto" w:sz="10" w:space="0"/>
              <w:right w:val="single" w:color="auto" w:sz="10" w:space="0"/>
              <w:insideV w:val="single" w:sz="10" w:space="0"/>
            </w:tcBorders>
            <w:vAlign w:val="center"/>
          </w:tcPr>
          <w:p w14:paraId="42A64879">
            <w:pPr>
              <w:jc w:val="center"/>
            </w:pPr>
            <w:r>
              <w:rPr>
                <w:rFonts w:ascii="宋体" w:hAnsi="宋体" w:eastAsia="宋体"/>
                <w:sz w:val="16"/>
              </w:rPr>
              <w:t>工作资料</w:t>
            </w:r>
          </w:p>
        </w:tc>
        <w:tc>
          <w:tcPr>
            <w:tcW w:w="778" w:type="dxa"/>
            <w:tcBorders>
              <w:top w:val="single" w:color="auto" w:sz="10" w:space="0"/>
              <w:left w:val="single" w:color="auto" w:sz="10" w:space="0"/>
              <w:bottom w:val="single" w:color="auto" w:sz="10" w:space="0"/>
              <w:right w:val="single" w:color="auto" w:sz="10" w:space="0"/>
              <w:insideV w:val="single" w:sz="10" w:space="0"/>
            </w:tcBorders>
            <w:vAlign w:val="center"/>
          </w:tcPr>
          <w:p w14:paraId="6B6ECB5D">
            <w:pPr>
              <w:jc w:val="center"/>
            </w:pPr>
            <w:r>
              <w:rPr>
                <w:rFonts w:hint="eastAsia" w:ascii="宋体" w:hAnsi="宋体"/>
                <w:sz w:val="16"/>
                <w:lang w:eastAsia="zh-CN"/>
              </w:rPr>
              <w:t>截至</w:t>
            </w:r>
            <w:r>
              <w:rPr>
                <w:rFonts w:ascii="宋体" w:hAnsi="宋体" w:eastAsia="宋体"/>
                <w:sz w:val="16"/>
              </w:rPr>
              <w:t>2025年8月31日，第三方监测机构按时完成监测工作，</w:t>
            </w:r>
            <w:r>
              <w:rPr>
                <w:rFonts w:hint="eastAsia" w:ascii="宋体" w:hAnsi="宋体"/>
                <w:sz w:val="16"/>
                <w:lang w:eastAsia="zh-CN"/>
              </w:rPr>
              <w:t>本单位</w:t>
            </w:r>
            <w:r>
              <w:rPr>
                <w:rFonts w:ascii="宋体" w:hAnsi="宋体" w:eastAsia="宋体"/>
                <w:sz w:val="16"/>
              </w:rPr>
              <w:t>工作人员对其工作质量、效率、态度十分满意，故而满意度较高。</w:t>
            </w:r>
          </w:p>
        </w:tc>
      </w:tr>
      <w:tr w14:paraId="34F081D8">
        <w:tblPrEx>
          <w:tblCellMar>
            <w:top w:w="0" w:type="dxa"/>
            <w:left w:w="108" w:type="dxa"/>
            <w:bottom w:w="0" w:type="dxa"/>
            <w:right w:w="108" w:type="dxa"/>
          </w:tblCellMar>
        </w:tblPrEx>
        <w:tc>
          <w:tcPr>
            <w:tcW w:w="2691"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B2D098">
            <w:pPr>
              <w:jc w:val="center"/>
            </w:pPr>
            <w:r>
              <w:rPr>
                <w:rFonts w:ascii="宋体" w:hAnsi="宋体" w:eastAsia="宋体"/>
                <w:sz w:val="16"/>
              </w:rPr>
              <w:t>总分</w:t>
            </w:r>
          </w:p>
        </w:tc>
        <w:tc>
          <w:tcPr>
            <w:tcW w:w="469" w:type="dxa"/>
            <w:tcBorders>
              <w:top w:val="single" w:color="auto" w:sz="10" w:space="0"/>
              <w:left w:val="single" w:color="auto" w:sz="10" w:space="0"/>
              <w:bottom w:val="single" w:color="auto" w:sz="10" w:space="0"/>
              <w:right w:val="single" w:color="auto" w:sz="10" w:space="0"/>
              <w:insideV w:val="single" w:sz="10" w:space="0"/>
            </w:tcBorders>
            <w:vAlign w:val="center"/>
          </w:tcPr>
          <w:p w14:paraId="0F9E7A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76A6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155427B"/>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21F80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79634">
            <w:pPr>
              <w:jc w:val="center"/>
            </w:pPr>
            <w:r>
              <w:rPr>
                <w:rFonts w:ascii="宋体" w:hAnsi="宋体" w:eastAsia="宋体"/>
                <w:sz w:val="16"/>
              </w:rPr>
              <w:t>81.94分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CE74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5260D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7CE8B5"/>
        </w:tc>
        <w:tc>
          <w:tcPr>
            <w:tcW w:w="550" w:type="dxa"/>
            <w:tcBorders>
              <w:top w:val="single" w:color="auto" w:sz="10" w:space="0"/>
              <w:left w:val="single" w:color="auto" w:sz="10" w:space="0"/>
              <w:bottom w:val="single" w:color="auto" w:sz="10" w:space="0"/>
              <w:right w:val="single" w:color="auto" w:sz="10" w:space="0"/>
              <w:insideV w:val="single" w:sz="10" w:space="0"/>
            </w:tcBorders>
          </w:tcPr>
          <w:p w14:paraId="3A91DBC2"/>
        </w:tc>
        <w:tc>
          <w:tcPr>
            <w:tcW w:w="778" w:type="dxa"/>
            <w:tcBorders>
              <w:top w:val="single" w:color="auto" w:sz="10" w:space="0"/>
              <w:left w:val="single" w:color="auto" w:sz="10" w:space="0"/>
              <w:bottom w:val="single" w:color="auto" w:sz="10" w:space="0"/>
              <w:right w:val="single" w:color="auto" w:sz="10" w:space="0"/>
              <w:insideV w:val="single" w:sz="10" w:space="0"/>
            </w:tcBorders>
          </w:tcPr>
          <w:p w14:paraId="006E288A"/>
        </w:tc>
      </w:tr>
    </w:tbl>
    <w:p w14:paraId="2FCFB6B4">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0C3D1799">
        <w:tblPrEx>
          <w:tblCellMar>
            <w:top w:w="0" w:type="dxa"/>
            <w:left w:w="108" w:type="dxa"/>
            <w:bottom w:w="0" w:type="dxa"/>
            <w:right w:w="108" w:type="dxa"/>
          </w:tblCellMar>
        </w:tblPrEx>
        <w:tc>
          <w:tcPr>
            <w:tcW w:w="8848" w:type="dxa"/>
            <w:gridSpan w:val="14"/>
            <w:vAlign w:val="center"/>
          </w:tcPr>
          <w:p w14:paraId="5ED9AD17">
            <w:pPr>
              <w:jc w:val="center"/>
            </w:pPr>
            <w:r>
              <w:rPr>
                <w:rFonts w:ascii="宋体" w:hAnsi="宋体" w:eastAsia="宋体"/>
                <w:sz w:val="24"/>
              </w:rPr>
              <w:t>项目支出绩效自评表</w:t>
            </w:r>
          </w:p>
        </w:tc>
      </w:tr>
      <w:tr w14:paraId="5ABB176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94AF06E">
            <w:pPr>
              <w:jc w:val="center"/>
            </w:pPr>
            <w:r>
              <w:rPr>
                <w:rFonts w:ascii="宋体" w:hAnsi="宋体" w:eastAsia="宋体"/>
                <w:sz w:val="24"/>
              </w:rPr>
              <w:t>(2024年度)</w:t>
            </w:r>
          </w:p>
        </w:tc>
      </w:tr>
      <w:tr w14:paraId="33E7681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3E7C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FB4124">
            <w:pPr>
              <w:jc w:val="center"/>
            </w:pPr>
            <w:r>
              <w:rPr>
                <w:rFonts w:ascii="宋体" w:hAnsi="宋体" w:eastAsia="宋体"/>
                <w:sz w:val="16"/>
              </w:rPr>
              <w:t>呼图壁县水污染防治执法监测、应急监测项目</w:t>
            </w:r>
          </w:p>
        </w:tc>
      </w:tr>
      <w:tr w14:paraId="21F1BD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132B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5804FB">
            <w:pPr>
              <w:jc w:val="center"/>
            </w:pPr>
            <w:r>
              <w:rPr>
                <w:rFonts w:ascii="宋体" w:hAnsi="宋体" w:eastAsia="宋体"/>
                <w:sz w:val="16"/>
              </w:rPr>
              <w:t>昌吉回族自治州生态环境局呼图壁县分局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C77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BBBF52">
            <w:pPr>
              <w:jc w:val="center"/>
            </w:pPr>
            <w:r>
              <w:rPr>
                <w:rFonts w:ascii="宋体" w:hAnsi="宋体" w:eastAsia="宋体"/>
                <w:sz w:val="16"/>
              </w:rPr>
              <w:t>昌吉回族自治州生态环境局呼图壁县分局</w:t>
            </w:r>
          </w:p>
        </w:tc>
      </w:tr>
      <w:tr w14:paraId="05F592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A03C8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D64B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EF554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316F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6803E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C1981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94B01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0ACD">
            <w:pPr>
              <w:jc w:val="center"/>
            </w:pPr>
            <w:r>
              <w:rPr>
                <w:rFonts w:ascii="宋体" w:hAnsi="宋体" w:eastAsia="宋体"/>
                <w:sz w:val="16"/>
              </w:rPr>
              <w:t>得分</w:t>
            </w:r>
          </w:p>
        </w:tc>
      </w:tr>
      <w:tr w14:paraId="64AC1A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4979F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DD8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AC54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3E35A1">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1E32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BBAB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680BF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07D31">
            <w:pPr>
              <w:jc w:val="center"/>
            </w:pPr>
            <w:r>
              <w:rPr>
                <w:rFonts w:ascii="宋体" w:hAnsi="宋体" w:eastAsia="宋体"/>
                <w:sz w:val="16"/>
              </w:rPr>
              <w:t>10.00</w:t>
            </w:r>
          </w:p>
        </w:tc>
      </w:tr>
      <w:tr w14:paraId="55FD69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B1E5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62F68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3A934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1A292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DA770E">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5A45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070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8748C">
            <w:pPr>
              <w:jc w:val="center"/>
            </w:pPr>
            <w:r>
              <w:rPr>
                <w:rFonts w:ascii="宋体" w:hAnsi="宋体" w:eastAsia="宋体"/>
                <w:sz w:val="16"/>
              </w:rPr>
              <w:t>—</w:t>
            </w:r>
          </w:p>
        </w:tc>
      </w:tr>
      <w:tr w14:paraId="5F3A1D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505C0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231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A7414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22D9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E6ED8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607C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0B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C967">
            <w:pPr>
              <w:jc w:val="center"/>
            </w:pPr>
            <w:r>
              <w:rPr>
                <w:rFonts w:ascii="宋体" w:hAnsi="宋体" w:eastAsia="宋体"/>
                <w:sz w:val="16"/>
              </w:rPr>
              <w:t>—</w:t>
            </w:r>
          </w:p>
        </w:tc>
      </w:tr>
      <w:tr w14:paraId="75F47F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6F60D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FAF94B">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231B8B4">
            <w:pPr>
              <w:jc w:val="center"/>
            </w:pPr>
            <w:r>
              <w:rPr>
                <w:rFonts w:ascii="宋体" w:hAnsi="宋体" w:eastAsia="宋体"/>
                <w:sz w:val="16"/>
              </w:rPr>
              <w:t>实际完成情况</w:t>
            </w:r>
          </w:p>
        </w:tc>
      </w:tr>
      <w:tr w14:paraId="0172DF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AB062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98B7217">
            <w:pPr>
              <w:jc w:val="both"/>
            </w:pPr>
            <w:r>
              <w:rPr>
                <w:rFonts w:ascii="宋体" w:hAnsi="宋体" w:eastAsia="宋体"/>
                <w:sz w:val="16"/>
              </w:rPr>
              <w:t>2024年该项目计划完成执法监测10次，开展监测上岗培训1次，购入实验所需药剂1批，购入保障监测及实验开展办公用品1批，实验设备维修维护1次。项目计划于2024年12月10日完成。项目预计支出15万元，其中开展培训、购置实验药剂、维护设备等费用5万元，开展执法监测费用4万元，保障实验室基本运转及实验室维修费用6万元。通过该项目的实施，提升监测人员业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E1AAB27">
            <w:pPr>
              <w:jc w:val="both"/>
            </w:pPr>
            <w:r>
              <w:rPr>
                <w:rFonts w:ascii="宋体" w:hAnsi="宋体" w:eastAsia="宋体"/>
                <w:sz w:val="16"/>
              </w:rPr>
              <w:t>截至2024年1</w:t>
            </w:r>
            <w:bookmarkStart w:id="0" w:name="_GoBack"/>
            <w:r>
              <w:rPr>
                <w:rFonts w:ascii="宋体" w:hAnsi="宋体" w:eastAsia="宋体"/>
                <w:sz w:val="16"/>
              </w:rPr>
              <w:t>2月31日</w:t>
            </w:r>
            <w:bookmarkEnd w:id="0"/>
            <w:r>
              <w:rPr>
                <w:rFonts w:ascii="宋体" w:hAnsi="宋体" w:eastAsia="宋体"/>
                <w:sz w:val="16"/>
              </w:rPr>
              <w:t>，该项目实际完成执法监测13次，开展监测上岗培训1次，购入实验所需药剂1批，购入保障监测及实验开展办公用品1批，实验设备维修维护1次，项目于2024年12月10日完成。项目支出15万元，其中开展培训、购置实验药剂、维护设备等费用5万元，开展执法监测费用4万元，保障实验室基本运转及实验室维修费用6万元。通过该项目的实施，提升干部工作积极性，提高了监测人员业务能力水平，保障了实验室正常运行。</w:t>
            </w:r>
          </w:p>
        </w:tc>
      </w:tr>
      <w:tr w14:paraId="0F77E4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55D75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9E7B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F07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BFC3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3DA2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ED56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D049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83D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8E85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17C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B681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F25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A12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025DF">
            <w:pPr>
              <w:jc w:val="center"/>
            </w:pPr>
            <w:r>
              <w:rPr>
                <w:rFonts w:ascii="宋体" w:hAnsi="宋体" w:eastAsia="宋体"/>
                <w:sz w:val="16"/>
              </w:rPr>
              <w:t>偏差原因分析及改进措施</w:t>
            </w:r>
          </w:p>
        </w:tc>
      </w:tr>
      <w:tr w14:paraId="730F02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5191E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01173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9E82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69E3E">
            <w:pPr>
              <w:jc w:val="center"/>
            </w:pPr>
            <w:r>
              <w:rPr>
                <w:rFonts w:ascii="宋体" w:hAnsi="宋体" w:eastAsia="宋体"/>
                <w:sz w:val="16"/>
              </w:rPr>
              <w:t>开展执法监测次数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0582A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28B1B">
            <w:pPr>
              <w:jc w:val="center"/>
            </w:pPr>
            <w:r>
              <w:rPr>
                <w:rFonts w:ascii="宋体" w:hAnsi="宋体" w:eastAsia="宋体"/>
                <w:sz w:val="16"/>
              </w:rPr>
              <w:t>&gt;=10次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1BD22">
            <w:pPr>
              <w:jc w:val="center"/>
            </w:pPr>
            <w:r>
              <w:rPr>
                <w:rFonts w:ascii="宋体" w:hAnsi="宋体" w:eastAsia="宋体"/>
                <w:sz w:val="16"/>
              </w:rPr>
              <w:t>=13次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21CFB">
            <w:pPr>
              <w:jc w:val="center"/>
            </w:pPr>
            <w:r>
              <w:rPr>
                <w:rFonts w:ascii="宋体" w:hAnsi="宋体" w:eastAsia="宋体"/>
                <w:sz w:val="16"/>
              </w:rPr>
              <w:t>130%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26BBA">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32C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6E9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C59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7E8C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937F7">
            <w:pPr>
              <w:jc w:val="center"/>
            </w:pPr>
            <w:r>
              <w:rPr>
                <w:rFonts w:ascii="宋体" w:hAnsi="宋体" w:eastAsia="宋体"/>
                <w:sz w:val="16"/>
              </w:rPr>
              <w:t>计划完成10执法监测次，</w:t>
            </w:r>
            <w:r>
              <w:rPr>
                <w:rFonts w:hint="eastAsia" w:ascii="宋体" w:hAnsi="宋体"/>
                <w:sz w:val="16"/>
                <w:lang w:eastAsia="zh-CN"/>
              </w:rPr>
              <w:t>其间</w:t>
            </w:r>
            <w:r>
              <w:rPr>
                <w:rFonts w:ascii="宋体" w:hAnsi="宋体" w:eastAsia="宋体"/>
                <w:sz w:val="16"/>
              </w:rPr>
              <w:t>按要求开展临时检查，实际完成13次，超计划完成，出现偏差率。</w:t>
            </w:r>
          </w:p>
        </w:tc>
      </w:tr>
      <w:tr w14:paraId="72FF79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6BD0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3142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CF29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FD38">
            <w:pPr>
              <w:jc w:val="center"/>
            </w:pPr>
            <w:r>
              <w:rPr>
                <w:rFonts w:ascii="宋体" w:hAnsi="宋体" w:eastAsia="宋体"/>
                <w:sz w:val="16"/>
              </w:rPr>
              <w:t>开展监测上岗培训次数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E67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CA8C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65AF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39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47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E8F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9705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DF1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481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BD2C5">
            <w:pPr>
              <w:jc w:val="center"/>
            </w:pPr>
          </w:p>
        </w:tc>
      </w:tr>
      <w:tr w14:paraId="6D1AAA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373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09E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EC78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84DFB">
            <w:pPr>
              <w:jc w:val="center"/>
            </w:pPr>
            <w:r>
              <w:rPr>
                <w:rFonts w:ascii="宋体" w:hAnsi="宋体" w:eastAsia="宋体"/>
                <w:sz w:val="16"/>
              </w:rPr>
              <w:t>购入保障监测及实验开展办公用品次数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DE6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83337">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A6BAF">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E01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6D5F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91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339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4F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BE6B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3B9D5">
            <w:pPr>
              <w:jc w:val="center"/>
            </w:pPr>
          </w:p>
        </w:tc>
      </w:tr>
      <w:tr w14:paraId="2336B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FFAEF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EFC5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752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1252C">
            <w:pPr>
              <w:jc w:val="center"/>
            </w:pPr>
            <w:r>
              <w:rPr>
                <w:rFonts w:ascii="宋体" w:hAnsi="宋体" w:eastAsia="宋体"/>
                <w:sz w:val="16"/>
              </w:rPr>
              <w:t>实验设备维修维护次数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8D3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F30FB">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82DD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80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F2B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D20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E34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FF5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95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048E6">
            <w:pPr>
              <w:jc w:val="center"/>
            </w:pPr>
          </w:p>
        </w:tc>
      </w:tr>
      <w:tr w14:paraId="52EAB1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A681B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883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D9EA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B1447">
            <w:pPr>
              <w:jc w:val="center"/>
            </w:pPr>
            <w:r>
              <w:rPr>
                <w:rFonts w:ascii="宋体" w:hAnsi="宋体" w:eastAsia="宋体"/>
                <w:sz w:val="16"/>
              </w:rPr>
              <w:t>购入实验所需药剂次数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EAAD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6952">
            <w:pPr>
              <w:jc w:val="center"/>
            </w:pPr>
            <w:r>
              <w:rPr>
                <w:rFonts w:ascii="宋体" w:hAnsi="宋体" w:eastAsia="宋体"/>
                <w:sz w:val="16"/>
              </w:rPr>
              <w:t>&gt;=1批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76AA7">
            <w:pPr>
              <w:jc w:val="center"/>
            </w:pPr>
            <w:r>
              <w:rPr>
                <w:rFonts w:ascii="宋体" w:hAnsi="宋体" w:eastAsia="宋体"/>
                <w:sz w:val="16"/>
              </w:rPr>
              <w:t>=1批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71D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5118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2D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AC5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C541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5634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DD2A0">
            <w:pPr>
              <w:jc w:val="center"/>
            </w:pPr>
          </w:p>
        </w:tc>
      </w:tr>
      <w:tr w14:paraId="321BFB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8B25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E69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7F4E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94750">
            <w:pPr>
              <w:jc w:val="center"/>
            </w:pPr>
            <w:r>
              <w:rPr>
                <w:rFonts w:ascii="宋体" w:hAnsi="宋体" w:eastAsia="宋体"/>
                <w:sz w:val="16"/>
              </w:rPr>
              <w:t>生态环境监测数据准确率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BD3B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389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1E9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A939">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BD84E">
            <w:pPr>
              <w:jc w:val="center"/>
            </w:pPr>
            <w:r>
              <w:rPr>
                <w:rFonts w:ascii="宋体" w:hAnsi="宋体" w:eastAsia="宋体"/>
                <w:sz w:val="16"/>
              </w:rPr>
              <w:t>4.44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710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148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2CD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8E4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2A6F0">
            <w:pPr>
              <w:jc w:val="center"/>
            </w:pPr>
            <w:r>
              <w:rPr>
                <w:rFonts w:ascii="宋体" w:hAnsi="宋体" w:eastAsia="宋体"/>
                <w:sz w:val="16"/>
              </w:rPr>
              <w:t>生态环境监测数据准确率应为100%，目标设置较低，生态环境监测数据准确率实际为100%，故出现偏差率。</w:t>
            </w:r>
          </w:p>
        </w:tc>
      </w:tr>
      <w:tr w14:paraId="0B0B11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B97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34140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BD5E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4C393">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D7A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A0053">
            <w:pPr>
              <w:jc w:val="center"/>
            </w:pPr>
            <w:r>
              <w:rPr>
                <w:rFonts w:ascii="宋体" w:hAnsi="宋体" w:eastAsia="宋体"/>
                <w:sz w:val="16"/>
              </w:rPr>
              <w:t>2024年12月10日前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4500">
            <w:pPr>
              <w:jc w:val="center"/>
            </w:pPr>
            <w:r>
              <w:rPr>
                <w:rFonts w:ascii="宋体" w:hAnsi="宋体" w:eastAsia="宋体"/>
                <w:sz w:val="16"/>
              </w:rPr>
              <w:t>2024年12月9日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2C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EE3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D48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3B75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BDF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7D5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308F2">
            <w:pPr>
              <w:jc w:val="center"/>
            </w:pPr>
          </w:p>
        </w:tc>
      </w:tr>
      <w:tr w14:paraId="685C6D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6A1F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9BCE7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E48E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6FDE1">
            <w:pPr>
              <w:jc w:val="center"/>
            </w:pPr>
            <w:r>
              <w:rPr>
                <w:rFonts w:ascii="宋体" w:hAnsi="宋体" w:eastAsia="宋体"/>
                <w:sz w:val="16"/>
              </w:rPr>
              <w:t>开展培训、购置实验药剂、维护设备等费用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ED28">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C177">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8D9A0">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94B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BF7B">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559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9A79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D4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4485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1F422">
            <w:pPr>
              <w:jc w:val="center"/>
            </w:pPr>
          </w:p>
        </w:tc>
      </w:tr>
      <w:tr w14:paraId="0B8F2D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DC0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DD68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47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4C361">
            <w:pPr>
              <w:jc w:val="center"/>
            </w:pPr>
            <w:r>
              <w:rPr>
                <w:rFonts w:ascii="宋体" w:hAnsi="宋体" w:eastAsia="宋体"/>
                <w:sz w:val="16"/>
              </w:rPr>
              <w:t>开展执法监测费用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4C2B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B75C0">
            <w:pPr>
              <w:jc w:val="center"/>
            </w:pPr>
            <w:r>
              <w:rPr>
                <w:rFonts w:ascii="宋体" w:hAnsi="宋体" w:eastAsia="宋体"/>
                <w:sz w:val="16"/>
              </w:rPr>
              <w:t>&lt;=4万元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E061">
            <w:pPr>
              <w:jc w:val="center"/>
            </w:pPr>
            <w:r>
              <w:rPr>
                <w:rFonts w:ascii="宋体" w:hAnsi="宋体" w:eastAsia="宋体"/>
                <w:sz w:val="16"/>
              </w:rPr>
              <w:t>=4万元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F0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19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875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7FEE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6EA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EDAD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50E6">
            <w:pPr>
              <w:jc w:val="center"/>
            </w:pPr>
          </w:p>
        </w:tc>
      </w:tr>
      <w:tr w14:paraId="3B554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CED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D98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589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FCE43">
            <w:pPr>
              <w:jc w:val="center"/>
            </w:pPr>
            <w:r>
              <w:rPr>
                <w:rFonts w:ascii="宋体" w:hAnsi="宋体" w:eastAsia="宋体"/>
                <w:sz w:val="16"/>
              </w:rPr>
              <w:t>保障实验室基本运转及实验室维修费用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5F7C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A35C6">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754F3">
            <w:pPr>
              <w:jc w:val="center"/>
            </w:pPr>
            <w:r>
              <w:rPr>
                <w:rFonts w:ascii="宋体" w:hAnsi="宋体" w:eastAsia="宋体"/>
                <w:sz w:val="16"/>
              </w:rPr>
              <w: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0096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D867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521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020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96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62B1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9E9F">
            <w:pPr>
              <w:jc w:val="center"/>
            </w:pPr>
          </w:p>
        </w:tc>
      </w:tr>
      <w:tr w14:paraId="69A7CD2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C254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9E0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6BB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E1212">
            <w:pPr>
              <w:jc w:val="center"/>
            </w:pPr>
            <w:r>
              <w:rPr>
                <w:rFonts w:ascii="宋体" w:hAnsi="宋体" w:eastAsia="宋体"/>
                <w:sz w:val="16"/>
              </w:rPr>
              <w:t>提升监测人员业务能力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F828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2A1C">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0ABE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D9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5CA8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54E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CAA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7FE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C3F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3BB5C">
            <w:pPr>
              <w:jc w:val="center"/>
            </w:pPr>
          </w:p>
        </w:tc>
      </w:tr>
      <w:tr w14:paraId="560F3D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CBC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490A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0940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C4AF3">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13C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86AC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3D5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2EDC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264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51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837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0535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54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7659E">
            <w:pPr>
              <w:jc w:val="center"/>
            </w:pPr>
            <w:r>
              <w:rPr>
                <w:rFonts w:ascii="宋体" w:hAnsi="宋体" w:eastAsia="宋体"/>
                <w:sz w:val="16"/>
              </w:rPr>
              <w:t>本项目实施较好，工作人员对项目的满意度超过预期目标，出现偏差率。</w:t>
            </w:r>
          </w:p>
        </w:tc>
      </w:tr>
      <w:tr w14:paraId="20A1D3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C2CDD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CA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08D7A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F630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7BB1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A76F">
            <w:pPr>
              <w:jc w:val="center"/>
            </w:pPr>
            <w:r>
              <w:rPr>
                <w:rFonts w:ascii="宋体" w:hAnsi="宋体" w:eastAsia="宋体"/>
                <w:sz w:val="16"/>
              </w:rPr>
              <w:t>96.44分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4F60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8385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1ED2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CE22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956FD0"/>
        </w:tc>
      </w:tr>
    </w:tbl>
    <w:p w14:paraId="28AF4A2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96"/>
      </w:tblGrid>
      <w:tr w14:paraId="0D122777">
        <w:tblPrEx>
          <w:tblCellMar>
            <w:top w:w="0" w:type="dxa"/>
            <w:left w:w="108" w:type="dxa"/>
            <w:bottom w:w="0" w:type="dxa"/>
            <w:right w:w="108" w:type="dxa"/>
          </w:tblCellMar>
        </w:tblPrEx>
        <w:tc>
          <w:tcPr>
            <w:tcW w:w="8848" w:type="dxa"/>
            <w:gridSpan w:val="14"/>
            <w:vAlign w:val="center"/>
          </w:tcPr>
          <w:p w14:paraId="6A5E2202">
            <w:pPr>
              <w:jc w:val="center"/>
            </w:pPr>
            <w:r>
              <w:rPr>
                <w:rFonts w:ascii="宋体" w:hAnsi="宋体" w:eastAsia="宋体"/>
                <w:sz w:val="24"/>
              </w:rPr>
              <w:t>项目支出绩效自评表</w:t>
            </w:r>
          </w:p>
        </w:tc>
      </w:tr>
      <w:tr w14:paraId="1A3B96C8">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6C112A0">
            <w:pPr>
              <w:jc w:val="center"/>
            </w:pPr>
            <w:r>
              <w:rPr>
                <w:rFonts w:ascii="宋体" w:hAnsi="宋体" w:eastAsia="宋体"/>
                <w:sz w:val="24"/>
              </w:rPr>
              <w:t>(2024年度)</w:t>
            </w:r>
          </w:p>
        </w:tc>
      </w:tr>
      <w:tr w14:paraId="15C1F5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C85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70C10B0">
            <w:pPr>
              <w:jc w:val="center"/>
            </w:pPr>
            <w:r>
              <w:rPr>
                <w:rFonts w:ascii="宋体" w:hAnsi="宋体" w:eastAsia="宋体"/>
                <w:sz w:val="16"/>
              </w:rPr>
              <w:t>环境监测运转费用</w:t>
            </w:r>
          </w:p>
        </w:tc>
      </w:tr>
      <w:tr w14:paraId="0550C65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3D0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CB28008">
            <w:pPr>
              <w:jc w:val="center"/>
            </w:pPr>
            <w:r>
              <w:rPr>
                <w:rFonts w:ascii="宋体" w:hAnsi="宋体" w:eastAsia="宋体"/>
                <w:sz w:val="16"/>
              </w:rPr>
              <w:t>昌吉回族自治州生态环境局呼图壁县分局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F0AD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4A3268B">
            <w:pPr>
              <w:jc w:val="center"/>
            </w:pPr>
            <w:r>
              <w:rPr>
                <w:rFonts w:ascii="宋体" w:hAnsi="宋体" w:eastAsia="宋体"/>
                <w:sz w:val="16"/>
              </w:rPr>
              <w:t>昌吉回族自治州生态环境局呼图壁县分局</w:t>
            </w:r>
          </w:p>
        </w:tc>
      </w:tr>
      <w:tr w14:paraId="65CA3D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B150E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C43B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223C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22A62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E034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1A577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11D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5AFB5">
            <w:pPr>
              <w:jc w:val="center"/>
            </w:pPr>
            <w:r>
              <w:rPr>
                <w:rFonts w:ascii="宋体" w:hAnsi="宋体" w:eastAsia="宋体"/>
                <w:sz w:val="16"/>
              </w:rPr>
              <w:t>得分</w:t>
            </w:r>
          </w:p>
        </w:tc>
      </w:tr>
      <w:tr w14:paraId="0D21D0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8111C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E046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0B4E7">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D92BC1">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9CA8E">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07D1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661CD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E25B3">
            <w:pPr>
              <w:jc w:val="center"/>
            </w:pPr>
            <w:r>
              <w:rPr>
                <w:rFonts w:ascii="宋体" w:hAnsi="宋体" w:eastAsia="宋体"/>
                <w:sz w:val="16"/>
              </w:rPr>
              <w:t>10.00</w:t>
            </w:r>
          </w:p>
        </w:tc>
      </w:tr>
      <w:tr w14:paraId="384F41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37B5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8F67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22D003">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06BA48">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6592D">
            <w:pPr>
              <w:jc w:val="center"/>
            </w:pPr>
            <w:r>
              <w:rPr>
                <w:rFonts w:ascii="宋体" w:hAnsi="宋体" w:eastAsia="宋体"/>
                <w:sz w:val="16"/>
              </w:rPr>
              <w:t>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05A41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D8B2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70E97">
            <w:pPr>
              <w:jc w:val="center"/>
            </w:pPr>
            <w:r>
              <w:rPr>
                <w:rFonts w:ascii="宋体" w:hAnsi="宋体" w:eastAsia="宋体"/>
                <w:sz w:val="16"/>
              </w:rPr>
              <w:t>—</w:t>
            </w:r>
          </w:p>
        </w:tc>
      </w:tr>
      <w:tr w14:paraId="266BED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460B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CBC9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D3E8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1E129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5A3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1A34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C5C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B7519">
            <w:pPr>
              <w:jc w:val="center"/>
            </w:pPr>
            <w:r>
              <w:rPr>
                <w:rFonts w:ascii="宋体" w:hAnsi="宋体" w:eastAsia="宋体"/>
                <w:sz w:val="16"/>
              </w:rPr>
              <w:t>—</w:t>
            </w:r>
          </w:p>
        </w:tc>
      </w:tr>
      <w:tr w14:paraId="6B083E4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5841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C4322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A6EF97">
            <w:pPr>
              <w:jc w:val="center"/>
            </w:pPr>
            <w:r>
              <w:rPr>
                <w:rFonts w:ascii="宋体" w:hAnsi="宋体" w:eastAsia="宋体"/>
                <w:sz w:val="16"/>
              </w:rPr>
              <w:t>实际完成情况</w:t>
            </w:r>
          </w:p>
        </w:tc>
      </w:tr>
      <w:tr w14:paraId="1F319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27560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44D1B7">
            <w:pPr>
              <w:jc w:val="both"/>
            </w:pPr>
            <w:r>
              <w:rPr>
                <w:rFonts w:ascii="宋体" w:hAnsi="宋体" w:eastAsia="宋体"/>
                <w:sz w:val="16"/>
              </w:rPr>
              <w:t>确保生态环境监测实施方案中各项工作顺利完成，按计划完成辖区土壤、生态、水质采样及噪声监测等常规生态环境监测工作；确保辖区内区控环境空气自动监测站及机动车尾气执法站房稳定运行；监测站实验室基础设施维修维护费；监测技术人员参加实验室质量运行管理培训；监测仪器设备维修、维护、检定、校准；监测站实验室危废处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51B0EB">
            <w:pPr>
              <w:jc w:val="both"/>
            </w:pPr>
            <w:r>
              <w:rPr>
                <w:rFonts w:ascii="宋体" w:hAnsi="宋体" w:eastAsia="宋体"/>
                <w:sz w:val="16"/>
              </w:rPr>
              <w:t>截至2024年12月31日，该项目实际完成辖区土壤、生态、水质采样及噪声监测等常规生态环境监测工作4次，参加水、废气、土壤、噪声监测等业务培训1次，监测仪器设备维修、维护、检定、校准1次，实验室仪器检定合格率100%，项目支出7万元。通过该项目的实施，提升干部工作积极性，提高了监测人员业务能力水平，保障了实验室正常运行。</w:t>
            </w:r>
          </w:p>
        </w:tc>
      </w:tr>
      <w:tr w14:paraId="688C34A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8E58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346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A36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BD8C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E4B2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03DF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BFA5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CB27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1BB9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D780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B469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6D3F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8C8D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2DB7A">
            <w:pPr>
              <w:jc w:val="center"/>
            </w:pPr>
            <w:r>
              <w:rPr>
                <w:rFonts w:ascii="宋体" w:hAnsi="宋体" w:eastAsia="宋体"/>
                <w:sz w:val="16"/>
              </w:rPr>
              <w:t>偏差原因分析及改进措施</w:t>
            </w:r>
          </w:p>
        </w:tc>
      </w:tr>
      <w:tr w14:paraId="72136A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3AD29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26A6E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BF8E7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EAC2D">
            <w:pPr>
              <w:jc w:val="center"/>
            </w:pPr>
            <w:r>
              <w:rPr>
                <w:rFonts w:ascii="宋体" w:hAnsi="宋体" w:eastAsia="宋体"/>
                <w:sz w:val="16"/>
              </w:rPr>
              <w:t>完成环境空气、农村生态、农村污水及噪声监测工作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F6E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695E">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B0BB">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927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F0A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DC67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B13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F0E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9C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15E6A">
            <w:pPr>
              <w:jc w:val="center"/>
            </w:pPr>
          </w:p>
        </w:tc>
      </w:tr>
      <w:tr w14:paraId="3573261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373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8D5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13AF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95ED7">
            <w:pPr>
              <w:jc w:val="center"/>
            </w:pPr>
            <w:r>
              <w:rPr>
                <w:rFonts w:ascii="宋体" w:hAnsi="宋体" w:eastAsia="宋体"/>
                <w:sz w:val="16"/>
              </w:rPr>
              <w:t>参加水、废气、土壤、噪声监测等业务培训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EA77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3959">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C1F6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A5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CDB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B04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479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D29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D870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79D82">
            <w:pPr>
              <w:jc w:val="center"/>
            </w:pPr>
          </w:p>
        </w:tc>
      </w:tr>
      <w:tr w14:paraId="4528AE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99C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BAF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02B0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1F3FE">
            <w:pPr>
              <w:jc w:val="center"/>
            </w:pPr>
            <w:r>
              <w:rPr>
                <w:rFonts w:ascii="宋体" w:hAnsi="宋体" w:eastAsia="宋体"/>
                <w:sz w:val="16"/>
              </w:rPr>
              <w:t>监测仪器设备维修、维护、检定、校准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26A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5306">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B3676">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8C9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6A3D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CD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BC7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05F7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088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8790E">
            <w:pPr>
              <w:jc w:val="center"/>
            </w:pPr>
          </w:p>
        </w:tc>
      </w:tr>
      <w:tr w14:paraId="0228E0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01D8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45CB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B0E8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BA2BB">
            <w:pPr>
              <w:jc w:val="center"/>
            </w:pPr>
            <w:r>
              <w:rPr>
                <w:rFonts w:ascii="宋体" w:hAnsi="宋体" w:eastAsia="宋体"/>
                <w:sz w:val="16"/>
              </w:rPr>
              <w:t>实验室仪器检定合格率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B975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8FFC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E54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0CF46">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AB453">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AEE7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5F41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8DE7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17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BECAF">
            <w:pPr>
              <w:jc w:val="center"/>
            </w:pPr>
            <w:r>
              <w:rPr>
                <w:rFonts w:ascii="宋体" w:hAnsi="宋体" w:eastAsia="宋体"/>
                <w:sz w:val="16"/>
              </w:rPr>
              <w:t>实验室仪器检定合格率应为100%，目标设置较低，实际检定合格率为100%，</w:t>
            </w:r>
            <w:r>
              <w:rPr>
                <w:rFonts w:hint="eastAsia" w:ascii="宋体" w:hAnsi="宋体"/>
                <w:sz w:val="16"/>
                <w:lang w:eastAsia="zh-CN"/>
              </w:rPr>
              <w:t>不出现</w:t>
            </w:r>
            <w:r>
              <w:rPr>
                <w:rFonts w:ascii="宋体" w:hAnsi="宋体" w:eastAsia="宋体"/>
                <w:sz w:val="16"/>
              </w:rPr>
              <w:t>偏差率。</w:t>
            </w:r>
          </w:p>
        </w:tc>
      </w:tr>
      <w:tr w14:paraId="38F60A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18582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B425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06D3E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46AA">
            <w:pPr>
              <w:jc w:val="center"/>
            </w:pPr>
            <w:r>
              <w:rPr>
                <w:rFonts w:ascii="宋体" w:hAnsi="宋体" w:eastAsia="宋体"/>
                <w:sz w:val="16"/>
              </w:rPr>
              <w:t>购置标准物质和化学试剂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72BA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03A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453E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C06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FCFE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6BB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F1D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144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7DDF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B5C1C">
            <w:pPr>
              <w:jc w:val="center"/>
            </w:pPr>
          </w:p>
        </w:tc>
      </w:tr>
      <w:tr w14:paraId="052EA4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EBB7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E077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F79F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EA26C">
            <w:pPr>
              <w:jc w:val="center"/>
            </w:pPr>
            <w:r>
              <w:rPr>
                <w:rFonts w:ascii="宋体" w:hAnsi="宋体" w:eastAsia="宋体"/>
                <w:sz w:val="16"/>
              </w:rPr>
              <w:t>监测仪器设备维修、维护、检定、校准、监测站室基础设施更新等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2033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EF46">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B0F8">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19D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1FF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2DDB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B44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537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717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79931">
            <w:pPr>
              <w:jc w:val="center"/>
            </w:pPr>
          </w:p>
        </w:tc>
      </w:tr>
      <w:tr w14:paraId="41DCDA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4D6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959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C321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A22DC">
            <w:pPr>
              <w:jc w:val="center"/>
            </w:pPr>
            <w:r>
              <w:rPr>
                <w:rFonts w:ascii="宋体" w:hAnsi="宋体" w:eastAsia="宋体"/>
                <w:sz w:val="16"/>
              </w:rPr>
              <w:t>按生态环境监测方案完成辖区空气、生态、水质、土壤采样及噪声监测等产生监测运行保障费用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5A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64A6B">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E023B">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0C5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C5C2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5EDA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705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354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46FD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EE63">
            <w:pPr>
              <w:jc w:val="center"/>
            </w:pPr>
          </w:p>
        </w:tc>
      </w:tr>
      <w:tr w14:paraId="68999F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042EE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C3C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EB5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DF35E">
            <w:pPr>
              <w:jc w:val="center"/>
            </w:pPr>
            <w:r>
              <w:rPr>
                <w:rFonts w:ascii="宋体" w:hAnsi="宋体" w:eastAsia="宋体"/>
                <w:sz w:val="16"/>
              </w:rPr>
              <w:t>以及水、废气、土壤、噪声监测等业务培训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DA9F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A7FFD">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3DA5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051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1F4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D03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0BA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B6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DCF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FFA53">
            <w:pPr>
              <w:jc w:val="center"/>
            </w:pPr>
          </w:p>
        </w:tc>
      </w:tr>
      <w:tr w14:paraId="6DB4AD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45D1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E447A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DC002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3A7F9">
            <w:pPr>
              <w:jc w:val="center"/>
            </w:pPr>
            <w:r>
              <w:rPr>
                <w:rFonts w:ascii="宋体" w:hAnsi="宋体" w:eastAsia="宋体"/>
                <w:sz w:val="16"/>
              </w:rPr>
              <w:t>提升实验室能力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D7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59A87">
            <w:pPr>
              <w:jc w:val="center"/>
            </w:pPr>
            <w:r>
              <w:rPr>
                <w:rFonts w:ascii="宋体" w:hAnsi="宋体" w:eastAsia="宋体"/>
                <w:sz w:val="16"/>
              </w:rPr>
              <w:t>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CECC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FC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5BB3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DB1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03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851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BC1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A9C04">
            <w:pPr>
              <w:jc w:val="center"/>
            </w:pPr>
          </w:p>
        </w:tc>
      </w:tr>
      <w:tr w14:paraId="2CE0A1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D5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5BFA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79670">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ADBF9">
            <w:pPr>
              <w:jc w:val="center"/>
            </w:pPr>
            <w:r>
              <w:rPr>
                <w:rFonts w:ascii="宋体" w:hAnsi="宋体" w:eastAsia="宋体"/>
                <w:sz w:val="16"/>
              </w:rPr>
              <w:t>确保生态环境质量保持稳定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4621B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FF4EC">
            <w:pPr>
              <w:jc w:val="center"/>
            </w:pPr>
            <w:r>
              <w:rPr>
                <w:rFonts w:ascii="宋体" w:hAnsi="宋体" w:eastAsia="宋体"/>
                <w:sz w:val="16"/>
              </w:rPr>
              <w:t>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23E6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B14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C66C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F1B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BF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BAD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9DFD">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69B59">
            <w:pPr>
              <w:jc w:val="center"/>
            </w:pPr>
          </w:p>
        </w:tc>
      </w:tr>
      <w:tr w14:paraId="6F9D5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605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0A57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8374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61971">
            <w:pPr>
              <w:jc w:val="center"/>
            </w:pPr>
            <w:r>
              <w:rPr>
                <w:rFonts w:ascii="宋体" w:hAnsi="宋体" w:eastAsia="宋体"/>
                <w:sz w:val="16"/>
              </w:rPr>
              <w:t>对生态环境的满意度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106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F515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23C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7D9B">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F3AA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A820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D02C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454BB">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06DC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8845C">
            <w:pPr>
              <w:jc w:val="center"/>
            </w:pPr>
            <w:r>
              <w:rPr>
                <w:rFonts w:ascii="宋体" w:hAnsi="宋体" w:eastAsia="宋体"/>
                <w:sz w:val="16"/>
              </w:rPr>
              <w:t>本项目实施较好，群众对生态环境的满意度超过预期目标，出现偏差率。</w:t>
            </w:r>
          </w:p>
        </w:tc>
      </w:tr>
      <w:tr w14:paraId="515A4BD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366BD9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D96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B899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8B369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1F6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4E7D5">
            <w:pPr>
              <w:jc w:val="center"/>
            </w:pPr>
            <w:r>
              <w:rPr>
                <w:rFonts w:ascii="宋体" w:hAnsi="宋体" w:eastAsia="宋体"/>
                <w:sz w:val="16"/>
              </w:rPr>
              <w:t>88.89分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5FB7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01B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12C8D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5026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A9775E"/>
        </w:tc>
      </w:tr>
    </w:tbl>
    <w:p w14:paraId="1BF0221D">
      <w:r>
        <w:br w:type="page"/>
      </w:r>
    </w:p>
    <w:p w14:paraId="28E2A7FF">
      <w:pPr>
        <w:spacing w:line="640" w:lineRule="exact"/>
        <w:ind w:firstLine="640"/>
        <w:jc w:val="both"/>
        <w:outlineLvl w:val="2"/>
      </w:pPr>
      <w:r>
        <w:rPr>
          <w:rFonts w:ascii="黑体" w:hAnsi="黑体" w:eastAsia="黑体"/>
          <w:sz w:val="32"/>
        </w:rPr>
        <w:t>十二、其他需说明的事项</w:t>
      </w:r>
    </w:p>
    <w:p w14:paraId="06AE5874">
      <w:pPr>
        <w:spacing w:line="580" w:lineRule="exact"/>
        <w:ind w:firstLine="640"/>
        <w:jc w:val="both"/>
      </w:pPr>
      <w:r>
        <w:rPr>
          <w:rFonts w:ascii="仿宋_GB2312" w:hAnsi="仿宋_GB2312" w:eastAsia="仿宋_GB2312"/>
          <w:b w:val="0"/>
          <w:sz w:val="32"/>
        </w:rPr>
        <w:t>本单位无其他需说明的事项。</w:t>
      </w:r>
    </w:p>
    <w:p w14:paraId="5627362B">
      <w:r>
        <w:br w:type="page"/>
      </w:r>
    </w:p>
    <w:p w14:paraId="110BD714">
      <w:pPr>
        <w:spacing w:line="240" w:lineRule="auto"/>
        <w:jc w:val="center"/>
        <w:outlineLvl w:val="1"/>
      </w:pPr>
      <w:r>
        <w:rPr>
          <w:rFonts w:ascii="黑体" w:hAnsi="黑体" w:eastAsia="黑体"/>
          <w:sz w:val="32"/>
        </w:rPr>
        <w:t>第三部分 专业名词解释</w:t>
      </w:r>
    </w:p>
    <w:p w14:paraId="3344813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77AF5F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ACA84E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C00F409">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ABB94D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A080E8E">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86B0798">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F541FA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8A55659">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741699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BCE022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E16F894">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8E45E2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A41128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BCB1E2F">
      <w:r>
        <w:br w:type="page"/>
      </w:r>
    </w:p>
    <w:p w14:paraId="7302FA7D">
      <w:pPr>
        <w:spacing w:line="240" w:lineRule="auto"/>
        <w:jc w:val="center"/>
        <w:outlineLvl w:val="1"/>
      </w:pPr>
      <w:r>
        <w:rPr>
          <w:rFonts w:ascii="黑体" w:hAnsi="黑体" w:eastAsia="黑体"/>
          <w:sz w:val="32"/>
        </w:rPr>
        <w:t>第四部分 部门决算报表（见附表）</w:t>
      </w:r>
    </w:p>
    <w:p w14:paraId="40D16459">
      <w:pPr>
        <w:spacing w:line="240" w:lineRule="auto"/>
        <w:ind w:firstLine="640"/>
        <w:jc w:val="both"/>
      </w:pPr>
      <w:r>
        <w:rPr>
          <w:rFonts w:ascii="仿宋_GB2312" w:hAnsi="仿宋_GB2312" w:eastAsia="仿宋_GB2312"/>
          <w:b w:val="0"/>
          <w:sz w:val="32"/>
        </w:rPr>
        <w:t>一、《收入支出决算总表》</w:t>
      </w:r>
    </w:p>
    <w:p w14:paraId="261E895E">
      <w:pPr>
        <w:spacing w:line="240" w:lineRule="auto"/>
        <w:ind w:firstLine="640"/>
        <w:jc w:val="both"/>
      </w:pPr>
      <w:r>
        <w:rPr>
          <w:rFonts w:ascii="仿宋_GB2312" w:hAnsi="仿宋_GB2312" w:eastAsia="仿宋_GB2312"/>
          <w:b w:val="0"/>
          <w:sz w:val="32"/>
        </w:rPr>
        <w:t>二、《收入决算表》</w:t>
      </w:r>
    </w:p>
    <w:p w14:paraId="3FFD3F0F">
      <w:pPr>
        <w:spacing w:line="240" w:lineRule="auto"/>
        <w:ind w:firstLine="640"/>
        <w:jc w:val="both"/>
      </w:pPr>
      <w:r>
        <w:rPr>
          <w:rFonts w:ascii="仿宋_GB2312" w:hAnsi="仿宋_GB2312" w:eastAsia="仿宋_GB2312"/>
          <w:b w:val="0"/>
          <w:sz w:val="32"/>
        </w:rPr>
        <w:t>三、《支出决算表》</w:t>
      </w:r>
    </w:p>
    <w:p w14:paraId="1D7648E6">
      <w:pPr>
        <w:spacing w:line="240" w:lineRule="auto"/>
        <w:ind w:firstLine="640"/>
        <w:jc w:val="both"/>
      </w:pPr>
      <w:r>
        <w:rPr>
          <w:rFonts w:ascii="仿宋_GB2312" w:hAnsi="仿宋_GB2312" w:eastAsia="仿宋_GB2312"/>
          <w:b w:val="0"/>
          <w:sz w:val="32"/>
        </w:rPr>
        <w:t>四、《财政拨款收入支出决算总表》</w:t>
      </w:r>
    </w:p>
    <w:p w14:paraId="41820F2E">
      <w:pPr>
        <w:spacing w:line="240" w:lineRule="auto"/>
        <w:ind w:firstLine="640"/>
        <w:jc w:val="both"/>
      </w:pPr>
      <w:r>
        <w:rPr>
          <w:rFonts w:ascii="仿宋_GB2312" w:hAnsi="仿宋_GB2312" w:eastAsia="仿宋_GB2312"/>
          <w:b w:val="0"/>
          <w:sz w:val="32"/>
        </w:rPr>
        <w:t>五、《一般公共预算财政拨款支出决算表》</w:t>
      </w:r>
    </w:p>
    <w:p w14:paraId="48010939">
      <w:pPr>
        <w:spacing w:line="240" w:lineRule="auto"/>
        <w:ind w:firstLine="640"/>
        <w:jc w:val="both"/>
      </w:pPr>
      <w:r>
        <w:rPr>
          <w:rFonts w:ascii="仿宋_GB2312" w:hAnsi="仿宋_GB2312" w:eastAsia="仿宋_GB2312"/>
          <w:b w:val="0"/>
          <w:sz w:val="32"/>
        </w:rPr>
        <w:t>六、《一般公共预算财政拨款基本支出决算表》</w:t>
      </w:r>
    </w:p>
    <w:p w14:paraId="34408943">
      <w:pPr>
        <w:spacing w:line="240" w:lineRule="auto"/>
        <w:ind w:firstLine="640"/>
        <w:jc w:val="both"/>
      </w:pPr>
      <w:r>
        <w:rPr>
          <w:rFonts w:ascii="仿宋_GB2312" w:hAnsi="仿宋_GB2312" w:eastAsia="仿宋_GB2312"/>
          <w:b w:val="0"/>
          <w:sz w:val="32"/>
        </w:rPr>
        <w:t>七、《政府性基金预算财政拨款收入支出决算表》</w:t>
      </w:r>
    </w:p>
    <w:p w14:paraId="2FCCAB89">
      <w:pPr>
        <w:spacing w:line="240" w:lineRule="auto"/>
        <w:ind w:firstLine="640"/>
        <w:jc w:val="both"/>
      </w:pPr>
      <w:r>
        <w:rPr>
          <w:rFonts w:ascii="仿宋_GB2312" w:hAnsi="仿宋_GB2312" w:eastAsia="仿宋_GB2312"/>
          <w:b w:val="0"/>
          <w:sz w:val="32"/>
        </w:rPr>
        <w:t>八、《国有资本经营预算财政拨款收入支出决算表》</w:t>
      </w:r>
    </w:p>
    <w:p w14:paraId="78ABC1F1">
      <w:pPr>
        <w:spacing w:line="240" w:lineRule="auto"/>
        <w:ind w:firstLine="640"/>
        <w:jc w:val="both"/>
      </w:pPr>
      <w:r>
        <w:rPr>
          <w:rFonts w:ascii="仿宋_GB2312" w:hAnsi="仿宋_GB2312" w:eastAsia="仿宋_GB2312"/>
          <w:b w:val="0"/>
          <w:sz w:val="32"/>
        </w:rPr>
        <w:t>九、《财政拨款“三公”经费支出决算表》</w:t>
      </w:r>
    </w:p>
    <w:p w14:paraId="531C679E">
      <w:pPr>
        <w:spacing w:line="240" w:lineRule="auto"/>
        <w:ind w:firstLine="640"/>
        <w:jc w:val="both"/>
      </w:pPr>
    </w:p>
    <w:p w14:paraId="730E445B">
      <w:pPr>
        <w:spacing w:line="240" w:lineRule="auto"/>
        <w:ind w:firstLine="640"/>
        <w:jc w:val="both"/>
      </w:pPr>
    </w:p>
    <w:p w14:paraId="611636B8">
      <w:pPr>
        <w:spacing w:line="240" w:lineRule="auto"/>
        <w:ind w:firstLine="640"/>
        <w:jc w:val="both"/>
      </w:pPr>
    </w:p>
    <w:p w14:paraId="7898E9AA">
      <w:pPr>
        <w:spacing w:line="240" w:lineRule="auto"/>
        <w:ind w:firstLine="640"/>
        <w:jc w:val="both"/>
      </w:pPr>
    </w:p>
    <w:p w14:paraId="5CC6290E">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A651A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7806</Words>
  <Characters>8844</Characters>
  <Lines>0</Lines>
  <Paragraphs>0</Paragraphs>
  <TotalTime>3</TotalTime>
  <ScaleCrop>false</ScaleCrop>
  <LinksUpToDate>false</LinksUpToDate>
  <CharactersWithSpaces>8853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2025-10-14T10:42:02Z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