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昌吉回族自治州社会主义学院2024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FBC1828">
      <w:r>
        <w:br w:type="page"/>
      </w:r>
    </w:p>
    <w:p w14:paraId="3740597E">
      <w:pPr>
        <w:spacing w:line="640" w:lineRule="exact"/>
        <w:jc w:val="center"/>
        <w:outlineLvl w:val="1"/>
      </w:pPr>
      <w:r>
        <w:rPr>
          <w:rFonts w:ascii="黑体" w:hAnsi="黑体" w:eastAsia="黑体"/>
          <w:sz w:val="32"/>
        </w:rPr>
        <w:t>第一部分 单位概况</w:t>
      </w:r>
    </w:p>
    <w:p w14:paraId="6B917140">
      <w:pPr>
        <w:spacing w:line="640" w:lineRule="exact"/>
        <w:ind w:firstLine="640"/>
        <w:jc w:val="both"/>
        <w:outlineLvl w:val="2"/>
      </w:pPr>
      <w:r>
        <w:rPr>
          <w:rFonts w:ascii="黑体" w:hAnsi="黑体" w:eastAsia="黑体"/>
          <w:sz w:val="32"/>
        </w:rPr>
        <w:t>一、主要职能</w:t>
      </w:r>
    </w:p>
    <w:p w14:paraId="4C476D67">
      <w:pPr>
        <w:spacing w:line="580" w:lineRule="exact"/>
        <w:ind w:firstLine="640"/>
        <w:jc w:val="both"/>
      </w:pPr>
      <w:r>
        <w:rPr>
          <w:rFonts w:ascii="仿宋_GB2312" w:hAnsi="仿宋_GB2312" w:eastAsia="仿宋_GB2312"/>
          <w:sz w:val="32"/>
        </w:rPr>
        <w:t>育培训无党派及民主党派人士、少数民族、非公有制经济等统一战线方面代表人士，学习研究和宣传党的统一战线理论方针和政策。</w:t>
      </w:r>
    </w:p>
    <w:p w14:paraId="2B597FD1">
      <w:pPr>
        <w:spacing w:line="640" w:lineRule="exact"/>
        <w:ind w:firstLine="640"/>
        <w:jc w:val="both"/>
        <w:outlineLvl w:val="2"/>
      </w:pPr>
      <w:r>
        <w:rPr>
          <w:rFonts w:ascii="黑体" w:hAnsi="黑体" w:eastAsia="黑体"/>
          <w:sz w:val="32"/>
        </w:rPr>
        <w:t>二、机构设置及人员情况</w:t>
      </w:r>
    </w:p>
    <w:p w14:paraId="7A8C3CC1">
      <w:pPr>
        <w:spacing w:line="580" w:lineRule="exact"/>
        <w:ind w:firstLine="640"/>
        <w:jc w:val="both"/>
      </w:pPr>
      <w:r>
        <w:rPr>
          <w:rFonts w:ascii="仿宋_GB2312" w:hAnsi="仿宋_GB2312" w:eastAsia="仿宋_GB2312"/>
          <w:sz w:val="32"/>
        </w:rPr>
        <w:t>昌吉回族自治州社会主义学院2024年度，实有人数40人，其中：在职人员20人，减少2人；离休人员0人，增加0人；退休人员20人,增加1人。</w:t>
      </w:r>
    </w:p>
    <w:p w14:paraId="1BC29075">
      <w:pPr>
        <w:spacing w:line="580" w:lineRule="exact"/>
        <w:ind w:firstLine="640"/>
        <w:jc w:val="both"/>
      </w:pPr>
      <w:r>
        <w:rPr>
          <w:rFonts w:ascii="仿宋_GB2312" w:hAnsi="仿宋_GB2312" w:eastAsia="仿宋_GB2312"/>
          <w:sz w:val="32"/>
        </w:rPr>
        <w:t>昌吉回族自治州社会主义学院无下属预算单位，下设4个科室，分别是：办公室、教务科、总务科、招生科。</w:t>
      </w:r>
    </w:p>
    <w:p w14:paraId="58A0EDB8">
      <w:r>
        <w:br w:type="page"/>
      </w:r>
    </w:p>
    <w:p w14:paraId="770F22A5">
      <w:pPr>
        <w:spacing w:line="240" w:lineRule="auto"/>
        <w:jc w:val="center"/>
        <w:outlineLvl w:val="1"/>
      </w:pPr>
      <w:r>
        <w:rPr>
          <w:rFonts w:ascii="黑体" w:hAnsi="黑体" w:eastAsia="黑体"/>
          <w:sz w:val="32"/>
        </w:rPr>
        <w:t>第二部分 部门决算情况说明</w:t>
      </w:r>
    </w:p>
    <w:p w14:paraId="17227F9E">
      <w:pPr>
        <w:spacing w:line="640" w:lineRule="exact"/>
        <w:ind w:firstLine="640"/>
        <w:jc w:val="both"/>
        <w:outlineLvl w:val="2"/>
      </w:pPr>
      <w:r>
        <w:rPr>
          <w:rFonts w:ascii="黑体" w:hAnsi="黑体" w:eastAsia="黑体"/>
          <w:sz w:val="32"/>
        </w:rPr>
        <w:t>一、收入支出决算总体情况说明</w:t>
      </w:r>
    </w:p>
    <w:p w14:paraId="5D8A042E">
      <w:pPr>
        <w:spacing w:line="580" w:lineRule="exact"/>
        <w:ind w:firstLine="640"/>
        <w:jc w:val="both"/>
      </w:pPr>
      <w:r>
        <w:rPr>
          <w:rFonts w:ascii="仿宋_GB2312" w:hAnsi="仿宋_GB2312" w:eastAsia="仿宋_GB2312"/>
          <w:b/>
          <w:sz w:val="32"/>
        </w:rPr>
        <w:t>2024年度收入总计1,268.90万元，</w:t>
      </w:r>
      <w:r>
        <w:rPr>
          <w:rFonts w:ascii="仿宋_GB2312" w:hAnsi="仿宋_GB2312" w:eastAsia="仿宋_GB2312"/>
          <w:b w:val="0"/>
          <w:sz w:val="32"/>
        </w:rPr>
        <w:t>其中：本年收入合计1,268.90万元，使用非财政拨款结余（含专用结余）0.00万元，年初结转和结余0.00万元。</w:t>
      </w:r>
    </w:p>
    <w:p w14:paraId="58C97361">
      <w:pPr>
        <w:spacing w:line="580" w:lineRule="exact"/>
        <w:ind w:firstLine="640"/>
        <w:jc w:val="both"/>
      </w:pPr>
      <w:r>
        <w:rPr>
          <w:rFonts w:ascii="仿宋_GB2312" w:hAnsi="仿宋_GB2312" w:eastAsia="仿宋_GB2312"/>
          <w:b/>
          <w:sz w:val="32"/>
        </w:rPr>
        <w:t>2024年度支出总计1,268.90万元，</w:t>
      </w:r>
      <w:r>
        <w:rPr>
          <w:rFonts w:ascii="仿宋_GB2312" w:hAnsi="仿宋_GB2312" w:eastAsia="仿宋_GB2312"/>
          <w:b w:val="0"/>
          <w:sz w:val="32"/>
        </w:rPr>
        <w:t>其中：本年支出合计</w:t>
      </w:r>
      <w:r>
        <w:rPr>
          <w:rFonts w:ascii="仿宋_GB2312" w:hAnsi="仿宋_GB2312" w:eastAsia="仿宋_GB2312"/>
          <w:b w:val="0"/>
          <w:spacing w:val="-17"/>
          <w:kern w:val="0"/>
          <w:sz w:val="32"/>
        </w:rPr>
        <w:t>1,268.90万元，结余分配0.00万元，年末结转和结余0.00万元。</w:t>
      </w:r>
    </w:p>
    <w:p w14:paraId="1A0666DA">
      <w:pPr>
        <w:spacing w:line="580" w:lineRule="exact"/>
        <w:ind w:firstLine="640"/>
        <w:jc w:val="both"/>
      </w:pPr>
      <w:r>
        <w:rPr>
          <w:rFonts w:ascii="仿宋_GB2312" w:hAnsi="仿宋_GB2312" w:eastAsia="仿宋_GB2312"/>
          <w:b w:val="0"/>
          <w:sz w:val="32"/>
        </w:rPr>
        <w:t>收入支出总体与上年相比，增加157.44万元，增长14.17%，主要原因是：本年增加州社会主义学院综合楼配套资金项目。</w:t>
      </w:r>
    </w:p>
    <w:p w14:paraId="01BCA17E">
      <w:pPr>
        <w:spacing w:line="640" w:lineRule="exact"/>
        <w:ind w:firstLine="640"/>
        <w:jc w:val="both"/>
        <w:outlineLvl w:val="2"/>
      </w:pPr>
      <w:r>
        <w:rPr>
          <w:rFonts w:ascii="黑体" w:hAnsi="黑体" w:eastAsia="黑体"/>
          <w:sz w:val="32"/>
        </w:rPr>
        <w:t>二、收入决算情况说明</w:t>
      </w:r>
    </w:p>
    <w:p w14:paraId="56493C4E">
      <w:pPr>
        <w:spacing w:line="580" w:lineRule="exact"/>
        <w:ind w:firstLine="640"/>
        <w:jc w:val="both"/>
      </w:pPr>
      <w:r>
        <w:rPr>
          <w:rFonts w:ascii="仿宋_GB2312" w:hAnsi="仿宋_GB2312" w:eastAsia="仿宋_GB2312"/>
          <w:b/>
          <w:sz w:val="32"/>
        </w:rPr>
        <w:t>本年收入1,268.90万元，</w:t>
      </w:r>
      <w:r>
        <w:rPr>
          <w:rFonts w:ascii="仿宋_GB2312" w:hAnsi="仿宋_GB2312" w:eastAsia="仿宋_GB2312"/>
          <w:b w:val="0"/>
          <w:sz w:val="32"/>
        </w:rPr>
        <w:t>其中：财政拨款收入1,268.90万元，占100.00%；上级补助收入0.00万元，占0.00%；事业收入0.00万元，占0.00%；经营收入0.00万元，占0.00%；附属单位上缴收入0.00万元，占0.00%；其他收入0.00万元，占0.00%。</w:t>
      </w:r>
    </w:p>
    <w:p w14:paraId="04F9209A">
      <w:pPr>
        <w:spacing w:line="640" w:lineRule="exact"/>
        <w:ind w:firstLine="640"/>
        <w:jc w:val="both"/>
        <w:outlineLvl w:val="2"/>
      </w:pPr>
      <w:r>
        <w:rPr>
          <w:rFonts w:ascii="黑体" w:hAnsi="黑体" w:eastAsia="黑体"/>
          <w:sz w:val="32"/>
        </w:rPr>
        <w:t>三、支出决算情况说明</w:t>
      </w:r>
    </w:p>
    <w:p w14:paraId="7BEC1BA4">
      <w:pPr>
        <w:spacing w:line="580" w:lineRule="exact"/>
        <w:ind w:firstLine="640"/>
        <w:jc w:val="both"/>
      </w:pPr>
      <w:r>
        <w:rPr>
          <w:rFonts w:ascii="仿宋_GB2312" w:hAnsi="仿宋_GB2312" w:eastAsia="仿宋_GB2312"/>
          <w:b/>
          <w:sz w:val="32"/>
        </w:rPr>
        <w:t>本年支出1,268.90万元，</w:t>
      </w:r>
      <w:r>
        <w:rPr>
          <w:rFonts w:ascii="仿宋_GB2312" w:hAnsi="仿宋_GB2312" w:eastAsia="仿宋_GB2312"/>
          <w:b w:val="0"/>
          <w:sz w:val="32"/>
        </w:rPr>
        <w:t>其中：基本支出629.30万元，占49.59%；项目支出639.60万元，占50.41%；上缴上级支出0.00万元，占0.00%；经营支出0.00万元，占0.00%；对附属单位补助支出0.00万元，占0.00%。</w:t>
      </w:r>
    </w:p>
    <w:p w14:paraId="1C57C775">
      <w:pPr>
        <w:spacing w:line="640" w:lineRule="exact"/>
        <w:ind w:firstLine="640"/>
        <w:jc w:val="both"/>
        <w:outlineLvl w:val="2"/>
      </w:pPr>
      <w:r>
        <w:rPr>
          <w:rFonts w:ascii="黑体" w:hAnsi="黑体" w:eastAsia="黑体"/>
          <w:sz w:val="32"/>
        </w:rPr>
        <w:t>四、财政拨款收入支出决算总体情况说明</w:t>
      </w:r>
    </w:p>
    <w:p w14:paraId="74FFE600">
      <w:pPr>
        <w:spacing w:line="580" w:lineRule="exact"/>
        <w:ind w:firstLine="640"/>
        <w:jc w:val="both"/>
      </w:pPr>
      <w:r>
        <w:rPr>
          <w:rFonts w:ascii="仿宋_GB2312" w:hAnsi="仿宋_GB2312" w:eastAsia="仿宋_GB2312"/>
          <w:b/>
          <w:sz w:val="32"/>
        </w:rPr>
        <w:t>2024年度财政拨款收入总计1,268.90万元，</w:t>
      </w:r>
      <w:r>
        <w:rPr>
          <w:rFonts w:ascii="仿宋_GB2312" w:hAnsi="仿宋_GB2312" w:eastAsia="仿宋_GB2312"/>
          <w:b w:val="0"/>
          <w:sz w:val="32"/>
        </w:rPr>
        <w:t>其中：年初财政拨款结转和结余0.00万元，本年财政拨款收入1,268.90万元。</w:t>
      </w:r>
      <w:r>
        <w:rPr>
          <w:rFonts w:ascii="仿宋_GB2312" w:hAnsi="仿宋_GB2312" w:eastAsia="仿宋_GB2312"/>
          <w:b/>
          <w:sz w:val="32"/>
        </w:rPr>
        <w:t>财政拨款支出总计1,268.90万元，</w:t>
      </w:r>
      <w:r>
        <w:rPr>
          <w:rFonts w:ascii="仿宋_GB2312" w:hAnsi="仿宋_GB2312" w:eastAsia="仿宋_GB2312"/>
          <w:b w:val="0"/>
          <w:sz w:val="32"/>
        </w:rPr>
        <w:t>其中：年末财政拨款结转和结余0.00万元，本年财政拨款支出1,268.90万元。</w:t>
      </w:r>
    </w:p>
    <w:p w14:paraId="499700C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增加172.85万元，增长15.77%，主要原因是：本年增加州社会主义学院综合楼配套资金项目。</w:t>
      </w:r>
      <w:r>
        <w:rPr>
          <w:rFonts w:ascii="仿宋_GB2312" w:hAnsi="仿宋_GB2312" w:eastAsia="仿宋_GB2312"/>
          <w:b/>
          <w:sz w:val="32"/>
        </w:rPr>
        <w:t>与年初预算相比，</w:t>
      </w:r>
      <w:r>
        <w:rPr>
          <w:rFonts w:ascii="仿宋_GB2312" w:hAnsi="仿宋_GB2312" w:eastAsia="仿宋_GB2312"/>
          <w:b w:val="0"/>
          <w:sz w:val="32"/>
        </w:rPr>
        <w:t>年初预算数1,201.97万元，决算数1,268.90万元，预决算差异率5.57%，主要原因是：年中追加州社会主义学院综合楼配套资金项目，导致预决算存在差异。</w:t>
      </w:r>
    </w:p>
    <w:p w14:paraId="7F668F2B">
      <w:pPr>
        <w:spacing w:line="640" w:lineRule="exact"/>
        <w:ind w:firstLine="640"/>
        <w:jc w:val="both"/>
        <w:outlineLvl w:val="2"/>
      </w:pPr>
      <w:r>
        <w:rPr>
          <w:rFonts w:ascii="黑体" w:hAnsi="黑体" w:eastAsia="黑体"/>
          <w:sz w:val="32"/>
        </w:rPr>
        <w:t>五、一般公共预算财政拨款支出决算情况说明</w:t>
      </w:r>
    </w:p>
    <w:p w14:paraId="2E6B22F6">
      <w:pPr>
        <w:spacing w:line="640" w:lineRule="exact"/>
        <w:ind w:firstLine="640"/>
        <w:jc w:val="both"/>
        <w:outlineLvl w:val="3"/>
      </w:pPr>
      <w:r>
        <w:rPr>
          <w:rFonts w:ascii="楷体_GB2312" w:hAnsi="楷体_GB2312" w:eastAsia="楷体_GB2312"/>
          <w:b/>
          <w:sz w:val="32"/>
        </w:rPr>
        <w:t>（一）一般公共预算财政拨款支出决算总体情况</w:t>
      </w:r>
    </w:p>
    <w:p w14:paraId="4A105304">
      <w:pPr>
        <w:spacing w:line="580" w:lineRule="exact"/>
        <w:ind w:firstLine="640"/>
        <w:jc w:val="both"/>
      </w:pPr>
      <w:r>
        <w:rPr>
          <w:rFonts w:ascii="仿宋_GB2312" w:hAnsi="仿宋_GB2312" w:eastAsia="仿宋_GB2312"/>
          <w:b/>
          <w:sz w:val="32"/>
        </w:rPr>
        <w:t>2024年度一般公共预算财政拨款支出1,268.90万元，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增加172.85万元，增长15.77%，主要原因是：本年增加州社会主义学院综合楼配套资金项目。</w:t>
      </w:r>
      <w:r>
        <w:rPr>
          <w:rFonts w:ascii="仿宋_GB2312" w:hAnsi="仿宋_GB2312" w:eastAsia="仿宋_GB2312"/>
          <w:b/>
          <w:sz w:val="32"/>
        </w:rPr>
        <w:t>与年初预算相比,</w:t>
      </w:r>
      <w:r>
        <w:rPr>
          <w:rFonts w:ascii="仿宋_GB2312" w:hAnsi="仿宋_GB2312" w:eastAsia="仿宋_GB2312"/>
          <w:b w:val="0"/>
          <w:sz w:val="32"/>
        </w:rPr>
        <w:t>年初预算数1,201.97万元，决算数1,268.90万元，预决算差异率5.57%，主要原因是：年中追加州社会主义学院综合楼配套资金项目，导致预决算存在差异。</w:t>
      </w:r>
    </w:p>
    <w:p w14:paraId="16D6115A">
      <w:pPr>
        <w:spacing w:line="640" w:lineRule="exact"/>
        <w:ind w:firstLine="640"/>
        <w:jc w:val="both"/>
        <w:outlineLvl w:val="3"/>
      </w:pPr>
      <w:r>
        <w:rPr>
          <w:rFonts w:ascii="楷体_GB2312" w:hAnsi="楷体_GB2312" w:eastAsia="楷体_GB2312"/>
          <w:b/>
          <w:sz w:val="32"/>
        </w:rPr>
        <w:t>（二）一般公共预算财政拨款支出决算结构情况</w:t>
      </w:r>
    </w:p>
    <w:p w14:paraId="13813100">
      <w:pPr>
        <w:spacing w:line="580" w:lineRule="exact"/>
        <w:ind w:firstLine="640"/>
        <w:jc w:val="both"/>
      </w:pPr>
      <w:r>
        <w:rPr>
          <w:rFonts w:ascii="仿宋_GB2312" w:hAnsi="仿宋_GB2312" w:eastAsia="仿宋_GB2312"/>
          <w:b w:val="0"/>
          <w:sz w:val="32"/>
        </w:rPr>
        <w:t>1.教育支出(类)1,120.91万元,占88.34%。</w:t>
      </w:r>
    </w:p>
    <w:p w14:paraId="594A27E2">
      <w:pPr>
        <w:spacing w:line="580" w:lineRule="exact"/>
        <w:ind w:firstLine="640"/>
        <w:jc w:val="both"/>
      </w:pPr>
      <w:r>
        <w:rPr>
          <w:rFonts w:ascii="仿宋_GB2312" w:hAnsi="仿宋_GB2312" w:eastAsia="仿宋_GB2312"/>
          <w:b w:val="0"/>
          <w:sz w:val="32"/>
        </w:rPr>
        <w:t>2.社会保障和就业支出(类)95.51万元,占7.53%。</w:t>
      </w:r>
    </w:p>
    <w:p w14:paraId="01172DF1">
      <w:pPr>
        <w:spacing w:line="580" w:lineRule="exact"/>
        <w:ind w:firstLine="640"/>
        <w:jc w:val="both"/>
      </w:pPr>
      <w:r>
        <w:rPr>
          <w:rFonts w:ascii="仿宋_GB2312" w:hAnsi="仿宋_GB2312" w:eastAsia="仿宋_GB2312"/>
          <w:b w:val="0"/>
          <w:sz w:val="32"/>
        </w:rPr>
        <w:t>3.卫生健康支出(类)20.39万元,占1.61%。</w:t>
      </w:r>
    </w:p>
    <w:p w14:paraId="7B7F1612">
      <w:pPr>
        <w:spacing w:line="580" w:lineRule="exact"/>
        <w:ind w:firstLine="640"/>
        <w:jc w:val="both"/>
      </w:pPr>
      <w:r>
        <w:rPr>
          <w:rFonts w:ascii="仿宋_GB2312" w:hAnsi="仿宋_GB2312" w:eastAsia="仿宋_GB2312"/>
          <w:b w:val="0"/>
          <w:sz w:val="32"/>
        </w:rPr>
        <w:t>4.住房保障支出(类)32.09万元,占2.53%。</w:t>
      </w:r>
    </w:p>
    <w:p w14:paraId="7DB63B3C">
      <w:pPr>
        <w:spacing w:line="640" w:lineRule="exact"/>
        <w:ind w:firstLine="640"/>
        <w:jc w:val="both"/>
        <w:outlineLvl w:val="3"/>
      </w:pPr>
      <w:r>
        <w:rPr>
          <w:rFonts w:ascii="楷体_GB2312" w:hAnsi="楷体_GB2312" w:eastAsia="楷体_GB2312"/>
          <w:b/>
          <w:sz w:val="32"/>
        </w:rPr>
        <w:t>（三）一般公共预算财政拨款支出决算具体情况</w:t>
      </w:r>
    </w:p>
    <w:p w14:paraId="7271E782">
      <w:pPr>
        <w:spacing w:line="580" w:lineRule="exact"/>
        <w:ind w:firstLine="640"/>
        <w:jc w:val="both"/>
      </w:pPr>
      <w:r>
        <w:rPr>
          <w:rFonts w:ascii="仿宋_GB2312" w:hAnsi="仿宋_GB2312" w:eastAsia="仿宋_GB2312"/>
          <w:b w:val="0"/>
          <w:sz w:val="32"/>
        </w:rPr>
        <w:t>1.一般公共服务支出(类)统战事务(款)</w:t>
      </w:r>
      <w:bookmarkStart w:id="0" w:name="_GoBack"/>
      <w:r>
        <w:rPr>
          <w:rFonts w:ascii="仿宋_GB2312" w:hAnsi="仿宋_GB2312" w:eastAsia="仿宋_GB2312"/>
          <w:b w:val="0"/>
          <w:sz w:val="32"/>
        </w:rPr>
        <w:t>宗教</w:t>
      </w:r>
      <w:bookmarkEnd w:id="0"/>
      <w:r>
        <w:rPr>
          <w:rFonts w:ascii="仿宋_GB2312" w:hAnsi="仿宋_GB2312" w:eastAsia="仿宋_GB2312"/>
          <w:b w:val="0"/>
          <w:sz w:val="32"/>
        </w:rPr>
        <w:t>事务(项):支出决算数为0.00万元，比上年决算减少2.52万元，下降100.00%,主要原因是：本年未安排驻寺工作项目经费。</w:t>
      </w:r>
    </w:p>
    <w:p w14:paraId="17B8FECC">
      <w:pPr>
        <w:spacing w:line="580" w:lineRule="exact"/>
        <w:ind w:firstLine="640"/>
        <w:jc w:val="both"/>
      </w:pPr>
      <w:r>
        <w:rPr>
          <w:rFonts w:ascii="仿宋_GB2312" w:hAnsi="仿宋_GB2312" w:eastAsia="仿宋_GB2312"/>
          <w:b w:val="0"/>
          <w:sz w:val="32"/>
        </w:rPr>
        <w:t>2.教育支出(类)教育管理事务(款)其他教育管理事务支出(项):支出决算数为1,120.91万元，比上年决算增加158.56万元，增长16.48%,主要原因是：本年增加州社会主义学院综合楼配套资金项目。</w:t>
      </w:r>
    </w:p>
    <w:p w14:paraId="5789E90D">
      <w:pPr>
        <w:spacing w:line="580" w:lineRule="exact"/>
        <w:ind w:firstLine="640"/>
        <w:jc w:val="both"/>
      </w:pPr>
      <w:r>
        <w:rPr>
          <w:rFonts w:ascii="仿宋_GB2312" w:hAnsi="仿宋_GB2312" w:eastAsia="仿宋_GB2312"/>
          <w:b w:val="0"/>
          <w:sz w:val="32"/>
        </w:rPr>
        <w:t>3.社会保障和就业支出(类)行政事业单位养老支出(款)事业单位离退休(项):支出决算数为18.89万元，比上年决算增加2.37万元，增长14.35%,主要原因是：本年退休人员增加，增加退休人员基础绩效奖，退休费支出增加。</w:t>
      </w:r>
    </w:p>
    <w:p w14:paraId="4F9FB77D">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41.47万元，比上年决算增加4.49万元，增长12.14%,主要原因是：本年在职人员工资基数调增，养老缴费基数上涨，相应支出增加。</w:t>
      </w:r>
    </w:p>
    <w:p w14:paraId="6ACD07AA">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35.15万元，比上年决算减少2.17万元，下降5.81%,主要原因是：本年新增退休人员较上年减少，职业年金缴费较上年减少。</w:t>
      </w:r>
    </w:p>
    <w:p w14:paraId="74F4A970">
      <w:pPr>
        <w:spacing w:line="580" w:lineRule="exact"/>
        <w:ind w:firstLine="640"/>
        <w:jc w:val="both"/>
      </w:pPr>
      <w:r>
        <w:rPr>
          <w:rFonts w:ascii="仿宋_GB2312" w:hAnsi="仿宋_GB2312" w:eastAsia="仿宋_GB2312"/>
          <w:b w:val="0"/>
          <w:sz w:val="32"/>
        </w:rPr>
        <w:t>6.卫生健康支出(类)行政事业单位医疗(款)行政单位医疗(项):支出决算数为4.53万元，比上年决算增加0.34万元，增长8.11%,主要原因是：本年在职人员工资基数调增，医疗缴费基数上涨，相应支出增加。</w:t>
      </w:r>
    </w:p>
    <w:p w14:paraId="4C79A1DE">
      <w:pPr>
        <w:spacing w:line="580" w:lineRule="exact"/>
        <w:ind w:firstLine="640"/>
        <w:jc w:val="both"/>
      </w:pPr>
      <w:r>
        <w:rPr>
          <w:rFonts w:ascii="仿宋_GB2312" w:hAnsi="仿宋_GB2312" w:eastAsia="仿宋_GB2312"/>
          <w:b w:val="0"/>
          <w:sz w:val="32"/>
        </w:rPr>
        <w:t>7.卫生健康支出(类)行政事业单位医疗(款)事业单位医疗(项):支出决算数为14.28万元，比上年决算增加5.30万元，增长59.02%,主要原因是：本年在职人员工资基数调增，事业单位医疗缴费基数上涨，相应支出增加。</w:t>
      </w:r>
    </w:p>
    <w:p w14:paraId="30EC3380">
      <w:pPr>
        <w:spacing w:line="580" w:lineRule="exact"/>
        <w:ind w:firstLine="640"/>
        <w:jc w:val="both"/>
      </w:pPr>
      <w:r>
        <w:rPr>
          <w:rFonts w:ascii="仿宋_GB2312" w:hAnsi="仿宋_GB2312" w:eastAsia="仿宋_GB2312"/>
          <w:b w:val="0"/>
          <w:sz w:val="32"/>
        </w:rPr>
        <w:t>8.卫生健康支出(类)行政事业单位医疗(款)公务员医疗补助(项):支出决算数为1.33万元，比上年决算增加0.14万元，增长11.76%,主要原因是：本年在职人员工资基数调增，公务员医疗补助缴费基数上涨，相应支出增加。</w:t>
      </w:r>
    </w:p>
    <w:p w14:paraId="052868BB">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0.24万元，比上年决算增加0.03万元，增长14.29%,主要原因是：本年在职人员工资基数调增，其他行政事业单位医疗缴费基数上涨，相应支出增加。</w:t>
      </w:r>
    </w:p>
    <w:p w14:paraId="2FD798F9">
      <w:pPr>
        <w:spacing w:line="580" w:lineRule="exact"/>
        <w:ind w:firstLine="640"/>
        <w:jc w:val="both"/>
      </w:pPr>
      <w:r>
        <w:rPr>
          <w:rFonts w:ascii="仿宋_GB2312" w:hAnsi="仿宋_GB2312" w:eastAsia="仿宋_GB2312"/>
          <w:b w:val="0"/>
          <w:sz w:val="32"/>
        </w:rPr>
        <w:t>10.住房保障支出(类)住房改革支出(款)住房公积金(项):支出决算数为32.09万元，比上年决算增加6.29万元，增长24.38%,主要原因是：本年在职人员工资基数调增，公积金缴费基数上涨，相应支出增加。</w:t>
      </w:r>
    </w:p>
    <w:p w14:paraId="6BAECDED">
      <w:pPr>
        <w:spacing w:line="640" w:lineRule="exact"/>
        <w:ind w:firstLine="640"/>
        <w:jc w:val="both"/>
        <w:outlineLvl w:val="2"/>
      </w:pPr>
      <w:r>
        <w:rPr>
          <w:rFonts w:ascii="黑体" w:hAnsi="黑体" w:eastAsia="黑体"/>
          <w:sz w:val="32"/>
        </w:rPr>
        <w:t>六、一般公共预算财政拨款基本支出决算情况说明</w:t>
      </w:r>
    </w:p>
    <w:p w14:paraId="5F2A17E4">
      <w:pPr>
        <w:spacing w:line="580" w:lineRule="exact"/>
        <w:ind w:firstLine="640"/>
        <w:jc w:val="both"/>
      </w:pPr>
      <w:r>
        <w:rPr>
          <w:rFonts w:ascii="仿宋_GB2312" w:hAnsi="仿宋_GB2312" w:eastAsia="仿宋_GB2312"/>
          <w:b w:val="0"/>
          <w:sz w:val="32"/>
        </w:rPr>
        <w:t>2024年度一般公共预算财政拨款基本支出629.30万元，其中：</w:t>
      </w:r>
      <w:r>
        <w:rPr>
          <w:rFonts w:ascii="仿宋_GB2312" w:hAnsi="仿宋_GB2312" w:eastAsia="仿宋_GB2312"/>
          <w:b/>
          <w:sz w:val="32"/>
        </w:rPr>
        <w:t>人员经费549.48万元，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生活补助、奖励金。</w:t>
      </w:r>
    </w:p>
    <w:p w14:paraId="2B196754">
      <w:pPr>
        <w:spacing w:line="580" w:lineRule="exact"/>
        <w:ind w:firstLine="640"/>
        <w:jc w:val="both"/>
      </w:pPr>
      <w:r>
        <w:rPr>
          <w:rFonts w:ascii="仿宋_GB2312" w:hAnsi="仿宋_GB2312" w:eastAsia="仿宋_GB2312"/>
          <w:b/>
          <w:sz w:val="32"/>
        </w:rPr>
        <w:t>公用经费79.82万元，</w:t>
      </w:r>
      <w:r>
        <w:rPr>
          <w:rFonts w:ascii="仿宋_GB2312" w:hAnsi="仿宋_GB2312" w:eastAsia="仿宋_GB2312"/>
          <w:b w:val="0"/>
          <w:sz w:val="32"/>
        </w:rPr>
        <w:t>包括：办公费、邮电费、取暖费、差旅费、维修（护）费、委托业务费、工会经费、福利费、公务用车运行维护费、其他商品和服务支出。</w:t>
      </w:r>
    </w:p>
    <w:p w14:paraId="22DF7EA4">
      <w:pPr>
        <w:spacing w:line="640" w:lineRule="exact"/>
        <w:ind w:firstLine="640"/>
        <w:jc w:val="both"/>
        <w:outlineLvl w:val="2"/>
      </w:pPr>
      <w:r>
        <w:rPr>
          <w:rFonts w:ascii="黑体" w:hAnsi="黑体" w:eastAsia="黑体"/>
          <w:sz w:val="32"/>
        </w:rPr>
        <w:t>七、政府性基金预算财政拨款收入支出决算情况说明</w:t>
      </w:r>
    </w:p>
    <w:p w14:paraId="0D8A83C1">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695D543">
      <w:pPr>
        <w:spacing w:line="640" w:lineRule="exact"/>
        <w:ind w:firstLine="640"/>
        <w:jc w:val="both"/>
        <w:outlineLvl w:val="2"/>
      </w:pPr>
      <w:r>
        <w:rPr>
          <w:rFonts w:ascii="黑体" w:hAnsi="黑体" w:eastAsia="黑体"/>
          <w:sz w:val="32"/>
        </w:rPr>
        <w:t>八、国有资本经营预算财政拨款收入支出决算情况说明</w:t>
      </w:r>
    </w:p>
    <w:p w14:paraId="188279D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09E248F">
      <w:pPr>
        <w:spacing w:line="640" w:lineRule="exact"/>
        <w:ind w:firstLine="640"/>
        <w:jc w:val="both"/>
        <w:outlineLvl w:val="2"/>
      </w:pPr>
      <w:r>
        <w:rPr>
          <w:rFonts w:ascii="黑体" w:hAnsi="黑体" w:eastAsia="黑体"/>
          <w:sz w:val="32"/>
        </w:rPr>
        <w:t>九、财政拨款“三公”经费支出决算情况说明</w:t>
      </w:r>
    </w:p>
    <w:p w14:paraId="75E90CEF">
      <w:pPr>
        <w:spacing w:line="580" w:lineRule="exact"/>
        <w:ind w:firstLine="640"/>
        <w:jc w:val="both"/>
      </w:pPr>
      <w:r>
        <w:rPr>
          <w:rFonts w:ascii="仿宋_GB2312" w:hAnsi="仿宋_GB2312" w:eastAsia="仿宋_GB2312"/>
          <w:b/>
          <w:sz w:val="32"/>
        </w:rPr>
        <w:t>2024年度财政拨款“三公”经费支出1.80万元，</w:t>
      </w:r>
      <w:r>
        <w:rPr>
          <w:rFonts w:ascii="仿宋_GB2312" w:hAnsi="仿宋_GB2312" w:eastAsia="仿宋_GB2312"/>
          <w:b w:val="0"/>
          <w:sz w:val="32"/>
        </w:rPr>
        <w:t>比上年减少0.20万元，下降10.00%，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1.80万元，占100.00%，比上年减少0.20万元，下降10.00%，主要原因是：严格落实中央八项规定精神，厉行节约，减少公务用车运行维护费。公务接待费支出0.00万元，占0.00%，比上年增加0.00万元，增长0.00%，主要原因是：2023年与2024年均未安排公务接待费支出。</w:t>
      </w:r>
    </w:p>
    <w:p w14:paraId="1A1FDEB8">
      <w:pPr>
        <w:spacing w:line="580" w:lineRule="exact"/>
        <w:ind w:firstLine="640"/>
        <w:jc w:val="both"/>
      </w:pPr>
      <w:r>
        <w:rPr>
          <w:rFonts w:ascii="仿宋_GB2312" w:hAnsi="仿宋_GB2312" w:eastAsia="仿宋_GB2312"/>
          <w:b/>
          <w:sz w:val="32"/>
        </w:rPr>
        <w:t>具体情况如下：</w:t>
      </w:r>
    </w:p>
    <w:p w14:paraId="4AF908E0">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7F1EEFC">
      <w:pPr>
        <w:spacing w:line="580" w:lineRule="exact"/>
        <w:ind w:firstLine="640"/>
        <w:jc w:val="both"/>
      </w:pPr>
      <w:r>
        <w:rPr>
          <w:rFonts w:ascii="仿宋_GB2312" w:hAnsi="仿宋_GB2312" w:eastAsia="仿宋_GB2312"/>
          <w:b w:val="0"/>
          <w:sz w:val="32"/>
        </w:rPr>
        <w:t>公务用车购置及运行维护费1.80万元，其中：公务用车购置费0.00万元，公务用车运行维护费1.80万元。公务用车运行维护费开支内容包括车辆加油费、维修费、保险费、审车费、过路费。公务用车购置数0辆，公务用车保有量1辆。国有资产占用情况中固定资产车辆1辆，与公务用车保有量差异原因是：本单位固定资产车辆与公务用车保有量一致无差异。</w:t>
      </w:r>
    </w:p>
    <w:p w14:paraId="7E53D44C">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D22399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1.80万元，决算数1.80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1.80万元，决算数1.80万元，预决算差异率0.00%，主要原因是：严格按照预算执行，预决算无差异。公务接待费全年预算数0.00万元，决算数0.00万元，预决算差异率0.00%，主要原因是：本单位无公务接待费。</w:t>
      </w:r>
    </w:p>
    <w:p w14:paraId="2607D9C2">
      <w:pPr>
        <w:spacing w:line="640" w:lineRule="exact"/>
        <w:ind w:firstLine="640"/>
        <w:jc w:val="both"/>
        <w:outlineLvl w:val="2"/>
      </w:pPr>
      <w:r>
        <w:rPr>
          <w:rFonts w:ascii="黑体" w:hAnsi="黑体" w:eastAsia="黑体"/>
          <w:sz w:val="32"/>
        </w:rPr>
        <w:t>十、其他重要事项的情况说明</w:t>
      </w:r>
    </w:p>
    <w:p w14:paraId="11CBD5F3">
      <w:pPr>
        <w:spacing w:line="640" w:lineRule="exact"/>
        <w:ind w:firstLine="640"/>
        <w:jc w:val="both"/>
        <w:outlineLvl w:val="3"/>
      </w:pPr>
      <w:r>
        <w:rPr>
          <w:rFonts w:ascii="楷体_GB2312" w:hAnsi="楷体_GB2312" w:eastAsia="楷体_GB2312"/>
          <w:b/>
          <w:sz w:val="32"/>
        </w:rPr>
        <w:t>（一）机关运行经费及公用经费支出情况</w:t>
      </w:r>
    </w:p>
    <w:p w14:paraId="07396513">
      <w:pPr>
        <w:spacing w:line="580" w:lineRule="exact"/>
        <w:ind w:firstLine="640"/>
        <w:jc w:val="both"/>
      </w:pPr>
      <w:r>
        <w:rPr>
          <w:rFonts w:ascii="仿宋_GB2312" w:hAnsi="仿宋_GB2312" w:eastAsia="仿宋_GB2312"/>
          <w:b w:val="0"/>
          <w:sz w:val="32"/>
        </w:rPr>
        <w:t>2024年度昌吉回族自治州社会主义学院（事业单位）公用经费支出79.82万元，比上年减少6.96万元，下降8.02%，主要原因是：严格控制公用经费，合理节约办公用品，减少不必要开支。</w:t>
      </w:r>
    </w:p>
    <w:p w14:paraId="317906B8">
      <w:pPr>
        <w:spacing w:line="640" w:lineRule="exact"/>
        <w:ind w:firstLine="640"/>
        <w:jc w:val="both"/>
        <w:outlineLvl w:val="3"/>
      </w:pPr>
      <w:r>
        <w:rPr>
          <w:rFonts w:ascii="楷体_GB2312" w:hAnsi="楷体_GB2312" w:eastAsia="楷体_GB2312"/>
          <w:b/>
          <w:sz w:val="32"/>
        </w:rPr>
        <w:t>（二）政府采购情况</w:t>
      </w:r>
    </w:p>
    <w:p w14:paraId="245915FC">
      <w:pPr>
        <w:spacing w:line="580" w:lineRule="exact"/>
        <w:ind w:firstLine="640"/>
        <w:jc w:val="both"/>
      </w:pPr>
      <w:r>
        <w:rPr>
          <w:rFonts w:ascii="仿宋_GB2312" w:hAnsi="仿宋_GB2312" w:eastAsia="仿宋_GB2312"/>
          <w:b w:val="0"/>
          <w:sz w:val="32"/>
        </w:rPr>
        <w:t>2024年度政府采购支出总额109.45万元，其中：政府采购货物支出55.39万元、政府采购工程支出2.24万元、政府采购服务支出51.82万元。</w:t>
      </w:r>
    </w:p>
    <w:p w14:paraId="153CAB8C">
      <w:pPr>
        <w:spacing w:line="580" w:lineRule="exact"/>
        <w:ind w:firstLine="640"/>
        <w:jc w:val="both"/>
      </w:pPr>
      <w:r>
        <w:rPr>
          <w:rFonts w:ascii="仿宋_GB2312" w:hAnsi="仿宋_GB2312" w:eastAsia="仿宋_GB2312"/>
          <w:b w:val="0"/>
          <w:sz w:val="32"/>
        </w:rPr>
        <w:t>授予中小企业合同金额109.45万元，占政府采购支出总额的100.00%，其中：授予小微企业合同金额109.45万元，占政府采购支出总额的100.00%。</w:t>
      </w:r>
    </w:p>
    <w:p w14:paraId="622ABACB">
      <w:pPr>
        <w:spacing w:line="640" w:lineRule="exact"/>
        <w:ind w:firstLine="640"/>
        <w:jc w:val="both"/>
        <w:outlineLvl w:val="3"/>
      </w:pPr>
      <w:r>
        <w:rPr>
          <w:rFonts w:ascii="楷体_GB2312" w:hAnsi="楷体_GB2312" w:eastAsia="楷体_GB2312"/>
          <w:b/>
          <w:sz w:val="32"/>
        </w:rPr>
        <w:t>（三）国有资产占用情况说明</w:t>
      </w:r>
    </w:p>
    <w:p w14:paraId="13DF9BA0">
      <w:pPr>
        <w:spacing w:line="580" w:lineRule="exact"/>
        <w:ind w:firstLine="640"/>
        <w:jc w:val="both"/>
      </w:pPr>
      <w:r>
        <w:rPr>
          <w:rFonts w:ascii="仿宋_GB2312" w:hAnsi="仿宋_GB2312" w:eastAsia="仿宋_GB2312"/>
          <w:b w:val="0"/>
          <w:sz w:val="32"/>
        </w:rPr>
        <w:t>截至2024年12月31日，房屋32,202.79平方米，价值5,398.10万元。车辆1辆，价值19.77万元，其中：副部（省）级及以上领导用车0辆、主要负责人用车0辆、机要通信用车0辆、应急保障用车0辆、执法执勤用车0辆、特种专业技术用车0辆、离退休干部服务用车0辆、其他用车1辆，其他用车主要是：开展日常培训工作用车。单价100万元（含）以上设备（不含车辆）0台（套）。</w:t>
      </w:r>
    </w:p>
    <w:p w14:paraId="05052788">
      <w:pPr>
        <w:spacing w:line="640" w:lineRule="exact"/>
        <w:ind w:firstLine="640"/>
        <w:jc w:val="both"/>
        <w:outlineLvl w:val="2"/>
      </w:pPr>
      <w:r>
        <w:rPr>
          <w:rFonts w:ascii="黑体" w:hAnsi="黑体" w:eastAsia="黑体"/>
          <w:sz w:val="32"/>
        </w:rPr>
        <w:t>十一、预算绩效的情况说明</w:t>
      </w:r>
    </w:p>
    <w:p w14:paraId="6A423C99">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根据预算绩效管理要求，本单位2024年度预算绩效管理形成整体支出绩效自评表1个，全年预算总额1,298.90万元，实际执行总额1,268.90万元；预算绩效评价项目</w:t>
      </w:r>
      <w:r>
        <w:rPr>
          <w:rFonts w:hint="eastAsia" w:ascii="仿宋_GB2312" w:hAnsi="仿宋_GB2312" w:eastAsia="仿宋_GB2312"/>
          <w:b w:val="0"/>
          <w:sz w:val="32"/>
          <w:lang w:val="en-US" w:eastAsia="zh-CN"/>
        </w:rPr>
        <w:t>1</w:t>
      </w:r>
      <w:r>
        <w:rPr>
          <w:rFonts w:ascii="仿宋_GB2312" w:hAnsi="仿宋_GB2312" w:eastAsia="仿宋_GB2312"/>
          <w:b w:val="0"/>
          <w:sz w:val="32"/>
        </w:rPr>
        <w:t>个，全年预算数247.38万元，全年执行数247.38万元。预算绩效管理取得的成效：本年项目绩效自评表涉密不予公开。发现的问题及原因：本年项目绩效自评表涉密不予公开。下一步改进措施：本</w:t>
      </w:r>
      <w:r>
        <w:rPr>
          <w:rFonts w:hint="eastAsia" w:ascii="仿宋_GB2312" w:hAnsi="仿宋_GB2312" w:eastAsia="仿宋_GB2312"/>
          <w:b w:val="0"/>
          <w:sz w:val="32"/>
          <w:lang w:eastAsia="zh-CN"/>
        </w:rPr>
        <w:t>年度</w:t>
      </w:r>
      <w:r>
        <w:rPr>
          <w:rFonts w:ascii="仿宋_GB2312" w:hAnsi="仿宋_GB2312" w:eastAsia="仿宋_GB2312"/>
          <w:b w:val="0"/>
          <w:sz w:val="32"/>
        </w:rPr>
        <w:t>项目绩效自评表涉密不予公开。具体附整体支出绩效自评表。</w:t>
      </w:r>
    </w:p>
    <w:p w14:paraId="0A6797A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FF7DDF4">
        <w:tblPrEx>
          <w:tblCellMar>
            <w:top w:w="0" w:type="dxa"/>
            <w:left w:w="108" w:type="dxa"/>
            <w:bottom w:w="0" w:type="dxa"/>
            <w:right w:w="108" w:type="dxa"/>
          </w:tblCellMar>
        </w:tblPrEx>
        <w:tc>
          <w:tcPr>
            <w:tcW w:w="8847" w:type="dxa"/>
            <w:gridSpan w:val="9"/>
            <w:vAlign w:val="center"/>
          </w:tcPr>
          <w:p w14:paraId="4CB739CF">
            <w:pPr>
              <w:jc w:val="center"/>
            </w:pPr>
            <w:r>
              <w:rPr>
                <w:rFonts w:ascii="宋体" w:hAnsi="宋体" w:eastAsia="宋体"/>
                <w:sz w:val="24"/>
              </w:rPr>
              <w:t>单位整体支出绩效自评表</w:t>
            </w:r>
          </w:p>
        </w:tc>
      </w:tr>
      <w:tr w14:paraId="69E906B3">
        <w:tblPrEx>
          <w:tblCellMar>
            <w:top w:w="0" w:type="dxa"/>
            <w:left w:w="108" w:type="dxa"/>
            <w:bottom w:w="0" w:type="dxa"/>
            <w:right w:w="108" w:type="dxa"/>
          </w:tblCellMar>
        </w:tblPrEx>
        <w:tc>
          <w:tcPr>
            <w:tcW w:w="8847" w:type="dxa"/>
            <w:gridSpan w:val="9"/>
            <w:vAlign w:val="center"/>
          </w:tcPr>
          <w:p w14:paraId="726C57DE">
            <w:pPr>
              <w:jc w:val="center"/>
            </w:pPr>
            <w:r>
              <w:rPr>
                <w:rFonts w:ascii="宋体" w:hAnsi="宋体" w:eastAsia="宋体"/>
                <w:sz w:val="24"/>
              </w:rPr>
              <w:t>（2024年度）</w:t>
            </w:r>
          </w:p>
        </w:tc>
      </w:tr>
      <w:tr w14:paraId="2D928E6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8A71F0">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7DEBDD0">
            <w:pPr>
              <w:jc w:val="center"/>
            </w:pPr>
            <w:r>
              <w:rPr>
                <w:rFonts w:ascii="宋体" w:hAnsi="宋体" w:eastAsia="宋体"/>
                <w:sz w:val="16"/>
              </w:rPr>
              <w:t>昌吉回族自治州社会主义学院</w:t>
            </w:r>
          </w:p>
        </w:tc>
      </w:tr>
      <w:tr w14:paraId="033F38F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08CAF0">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C0DB6">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A0463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A104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50F0E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AB91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E49D1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46D28">
            <w:pPr>
              <w:jc w:val="center"/>
            </w:pPr>
            <w:r>
              <w:rPr>
                <w:rFonts w:ascii="宋体" w:hAnsi="宋体" w:eastAsia="宋体"/>
                <w:sz w:val="16"/>
              </w:rPr>
              <w:t>得分</w:t>
            </w:r>
          </w:p>
        </w:tc>
      </w:tr>
      <w:tr w14:paraId="1811D60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D80A7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F8379">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EF690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DF9C7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5A06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F5718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08CD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56F23D">
            <w:pPr>
              <w:jc w:val="center"/>
            </w:pPr>
            <w:r>
              <w:rPr>
                <w:rFonts w:ascii="宋体" w:hAnsi="宋体" w:eastAsia="宋体"/>
                <w:sz w:val="16"/>
              </w:rPr>
              <w:t>-</w:t>
            </w:r>
          </w:p>
        </w:tc>
      </w:tr>
      <w:tr w14:paraId="6302269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57185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D8C96">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1575C">
            <w:pPr>
              <w:jc w:val="center"/>
            </w:pPr>
            <w:r>
              <w:rPr>
                <w:rFonts w:ascii="宋体" w:hAnsi="宋体" w:eastAsia="宋体"/>
                <w:sz w:val="16"/>
              </w:rPr>
              <w:t>1,201.97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E16B20">
            <w:pPr>
              <w:jc w:val="center"/>
            </w:pPr>
            <w:r>
              <w:rPr>
                <w:rFonts w:ascii="宋体" w:hAnsi="宋体" w:eastAsia="宋体"/>
                <w:sz w:val="16"/>
              </w:rPr>
              <w:t>1,268.90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3B850">
            <w:pPr>
              <w:jc w:val="center"/>
            </w:pPr>
            <w:r>
              <w:rPr>
                <w:rFonts w:ascii="宋体" w:hAnsi="宋体" w:eastAsia="宋体"/>
                <w:sz w:val="16"/>
              </w:rPr>
              <w:t>1,268.90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B4941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B508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E4FEF0">
            <w:pPr>
              <w:jc w:val="center"/>
            </w:pPr>
            <w:r>
              <w:rPr>
                <w:rFonts w:ascii="宋体" w:hAnsi="宋体" w:eastAsia="宋体"/>
                <w:sz w:val="16"/>
              </w:rPr>
              <w:t>-</w:t>
            </w:r>
          </w:p>
        </w:tc>
      </w:tr>
      <w:tr w14:paraId="6104995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107E0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AF2BB6">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8D087F">
            <w:pPr>
              <w:jc w:val="center"/>
            </w:pPr>
            <w:r>
              <w:rPr>
                <w:rFonts w:ascii="宋体" w:hAnsi="宋体" w:eastAsia="宋体"/>
                <w:sz w:val="16"/>
              </w:rPr>
              <w:t>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2BBF45">
            <w:pPr>
              <w:jc w:val="center"/>
            </w:pPr>
            <w:r>
              <w:rPr>
                <w:rFonts w:ascii="宋体" w:hAnsi="宋体" w:eastAsia="宋体"/>
                <w:sz w:val="16"/>
              </w:rPr>
              <w:t>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54E5E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D65C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FE28A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27B0E8">
            <w:pPr>
              <w:jc w:val="center"/>
            </w:pPr>
            <w:r>
              <w:rPr>
                <w:rFonts w:ascii="宋体" w:hAnsi="宋体" w:eastAsia="宋体"/>
                <w:sz w:val="16"/>
              </w:rPr>
              <w:t>-</w:t>
            </w:r>
          </w:p>
        </w:tc>
      </w:tr>
      <w:tr w14:paraId="1875017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BA6F6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54D21">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60EB7D">
            <w:pPr>
              <w:jc w:val="center"/>
            </w:pPr>
            <w:r>
              <w:rPr>
                <w:rFonts w:ascii="宋体" w:hAnsi="宋体" w:eastAsia="宋体"/>
                <w:sz w:val="16"/>
              </w:rPr>
              <w:t>1,231.97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7F5D5C">
            <w:pPr>
              <w:jc w:val="center"/>
            </w:pPr>
            <w:r>
              <w:rPr>
                <w:rFonts w:ascii="宋体" w:hAnsi="宋体" w:eastAsia="宋体"/>
                <w:sz w:val="16"/>
              </w:rPr>
              <w:t>1,298.90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E5DFC5">
            <w:pPr>
              <w:jc w:val="center"/>
            </w:pPr>
            <w:r>
              <w:rPr>
                <w:rFonts w:ascii="宋体" w:hAnsi="宋体" w:eastAsia="宋体"/>
                <w:sz w:val="16"/>
              </w:rPr>
              <w:t>1,268.90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22C69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C05D5A">
            <w:pPr>
              <w:jc w:val="center"/>
            </w:pPr>
            <w:r>
              <w:rPr>
                <w:rFonts w:ascii="宋体" w:hAnsi="宋体" w:eastAsia="宋体"/>
                <w:sz w:val="16"/>
              </w:rPr>
              <w:t>97.69%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68AEFB">
            <w:pPr>
              <w:jc w:val="center"/>
            </w:pPr>
            <w:r>
              <w:rPr>
                <w:rFonts w:ascii="宋体" w:hAnsi="宋体" w:eastAsia="宋体"/>
                <w:sz w:val="16"/>
              </w:rPr>
              <w:t>9.77</w:t>
            </w:r>
          </w:p>
        </w:tc>
      </w:tr>
      <w:tr w14:paraId="5BC0777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332C9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C2B255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8F4B5F">
            <w:pPr>
              <w:jc w:val="center"/>
            </w:pPr>
            <w:r>
              <w:rPr>
                <w:rFonts w:ascii="宋体" w:hAnsi="宋体" w:eastAsia="宋体"/>
                <w:sz w:val="16"/>
              </w:rPr>
              <w:t>实际完成情况</w:t>
            </w:r>
          </w:p>
        </w:tc>
      </w:tr>
      <w:tr w14:paraId="2E4FC0F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994DF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62F405B">
            <w:pPr>
              <w:jc w:val="both"/>
            </w:pPr>
            <w:r>
              <w:rPr>
                <w:rFonts w:ascii="宋体" w:hAnsi="宋体" w:eastAsia="宋体"/>
                <w:sz w:val="16"/>
              </w:rPr>
              <w:t>教育培训无党派及民主党派</w:t>
            </w:r>
            <w:r>
              <w:rPr>
                <w:rFonts w:hint="eastAsia" w:ascii="宋体" w:hAnsi="宋体"/>
                <w:sz w:val="16"/>
                <w:lang w:eastAsia="zh-CN"/>
              </w:rPr>
              <w:t>人士</w:t>
            </w:r>
            <w:r>
              <w:rPr>
                <w:rFonts w:ascii="宋体" w:hAnsi="宋体" w:eastAsia="宋体"/>
                <w:sz w:val="16"/>
              </w:rPr>
              <w:t>，少数民族，学习研究和宣传党的统一战线理论方针和政策。全年培训学员人数不</w:t>
            </w:r>
            <w:r>
              <w:rPr>
                <w:rFonts w:hint="eastAsia" w:ascii="宋体" w:hAnsi="宋体"/>
                <w:sz w:val="16"/>
                <w:lang w:eastAsia="zh-CN"/>
              </w:rPr>
              <w:t>超过</w:t>
            </w:r>
            <w:r>
              <w:rPr>
                <w:rFonts w:ascii="宋体" w:hAnsi="宋体" w:eastAsia="宋体"/>
                <w:sz w:val="16"/>
              </w:rPr>
              <w:t>575人次；保障新疆长治久安；常态化培训可持续为新疆大局稳定做贡献。</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F1E501">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全年预算数为1298.90万元，全年执行数为1268.90万元，总预算执行率为97.69%。2024年</w:t>
            </w:r>
            <w:r>
              <w:rPr>
                <w:rFonts w:hint="eastAsia" w:ascii="宋体" w:hAnsi="宋体"/>
                <w:sz w:val="16"/>
                <w:lang w:eastAsia="zh-CN"/>
              </w:rPr>
              <w:t>本单位</w:t>
            </w:r>
            <w:r>
              <w:rPr>
                <w:rFonts w:ascii="宋体" w:hAnsi="宋体" w:eastAsia="宋体"/>
                <w:sz w:val="16"/>
              </w:rPr>
              <w:t>完成以下工作内容：1.2024年共举办各类培训班14期，培训共计493人,培训天数152天，较好地发挥了学院统一战线人才教育培养主阵地作用。2.加强师资队伍建设，着力提升教育培训和管理工作质量。全体教师用心备课，优选45门课程作为成熟专题；同时正在整理打造15个专题课。通过以上工作的实施，使党的路线方针政策、进社区、进民族聚居区、进信教群众家庭，把统一战线成员和教职人员的思想和行动统一到中央、区州重大决策部署上来，为维护自治州发展、团结、稳定大局发挥积极作用。</w:t>
            </w:r>
          </w:p>
        </w:tc>
      </w:tr>
      <w:tr w14:paraId="490A75F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4370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E28904">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73DBD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81072">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5D1D77">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B7522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5CEAB">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C1612">
            <w:pPr>
              <w:jc w:val="center"/>
            </w:pPr>
            <w:r>
              <w:rPr>
                <w:rFonts w:ascii="宋体" w:hAnsi="宋体" w:eastAsia="宋体"/>
                <w:sz w:val="16"/>
              </w:rPr>
              <w:t>得分</w:t>
            </w:r>
          </w:p>
        </w:tc>
      </w:tr>
      <w:tr w14:paraId="0F9CE03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E1BEC">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2FC597">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3CFF4">
            <w:pPr>
              <w:jc w:val="center"/>
            </w:pPr>
            <w:r>
              <w:rPr>
                <w:rFonts w:ascii="宋体" w:hAnsi="宋体" w:eastAsia="宋体"/>
                <w:sz w:val="16"/>
              </w:rPr>
              <w:t>完成学员培训人数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CD24A">
            <w:pPr>
              <w:jc w:val="center"/>
            </w:pPr>
            <w:r>
              <w:rPr>
                <w:rFonts w:ascii="宋体" w:hAnsi="宋体" w:eastAsia="宋体"/>
                <w:sz w:val="16"/>
              </w:rPr>
              <w:t>&lt;=575人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72626">
            <w:pPr>
              <w:jc w:val="center"/>
            </w:pPr>
            <w:r>
              <w:rPr>
                <w:rFonts w:ascii="宋体" w:hAnsi="宋体" w:eastAsia="宋体"/>
                <w:sz w:val="16"/>
              </w:rPr>
              <w:t>教学计划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2A9CC">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1A6A0E">
            <w:pPr>
              <w:jc w:val="center"/>
            </w:pPr>
            <w:r>
              <w:rPr>
                <w:rFonts w:ascii="宋体" w:hAnsi="宋体" w:eastAsia="宋体"/>
                <w:sz w:val="16"/>
              </w:rPr>
              <w:t>=493人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C7C32A">
            <w:pPr>
              <w:jc w:val="center"/>
            </w:pPr>
            <w:r>
              <w:rPr>
                <w:rFonts w:ascii="宋体" w:hAnsi="宋体" w:eastAsia="宋体"/>
                <w:sz w:val="16"/>
              </w:rPr>
              <w:t>25.72</w:t>
            </w:r>
          </w:p>
        </w:tc>
      </w:tr>
      <w:tr w14:paraId="71ECC40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66EF7C">
            <w:pPr>
              <w:jc w:val="center"/>
            </w:pPr>
            <w:r>
              <w:rPr>
                <w:rFonts w:ascii="宋体" w:hAnsi="宋体" w:eastAsia="宋体"/>
                <w:sz w:val="16"/>
              </w:rPr>
              <w:t>社会效益</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0BBCA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19D9B">
            <w:pPr>
              <w:jc w:val="center"/>
            </w:pPr>
            <w:r>
              <w:rPr>
                <w:rFonts w:ascii="宋体" w:hAnsi="宋体" w:eastAsia="宋体"/>
                <w:sz w:val="16"/>
              </w:rPr>
              <w:t>学院正常运转次数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E1762A">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F13570">
            <w:pPr>
              <w:jc w:val="center"/>
            </w:pPr>
            <w:r>
              <w:rPr>
                <w:rFonts w:ascii="宋体" w:hAnsi="宋体" w:eastAsia="宋体"/>
                <w:sz w:val="16"/>
              </w:rPr>
              <w:t>教学计划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29BE5">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868468">
            <w:pPr>
              <w:jc w:val="center"/>
            </w:pPr>
            <w:r>
              <w:rPr>
                <w:rFonts w:ascii="宋体" w:hAnsi="宋体" w:eastAsia="宋体"/>
                <w:sz w:val="16"/>
              </w:rPr>
              <w:t>=14次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83C778">
            <w:pPr>
              <w:jc w:val="center"/>
            </w:pPr>
            <w:r>
              <w:rPr>
                <w:rFonts w:ascii="宋体" w:hAnsi="宋体" w:eastAsia="宋体"/>
                <w:sz w:val="16"/>
              </w:rPr>
              <w:t>30</w:t>
            </w:r>
          </w:p>
        </w:tc>
      </w:tr>
      <w:tr w14:paraId="2948A7D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4E023">
            <w:pPr>
              <w:jc w:val="center"/>
            </w:pPr>
            <w:r>
              <w:rPr>
                <w:rFonts w:ascii="宋体" w:hAnsi="宋体" w:eastAsia="宋体"/>
                <w:sz w:val="16"/>
              </w:rPr>
              <w:t>可持续发展能力</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EB133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8121C">
            <w:pPr>
              <w:jc w:val="center"/>
            </w:pPr>
            <w:r>
              <w:rPr>
                <w:rFonts w:ascii="宋体" w:hAnsi="宋体" w:eastAsia="宋体"/>
                <w:sz w:val="16"/>
              </w:rPr>
              <w:t>学员结业合格率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D1957">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BFE0B">
            <w:pPr>
              <w:jc w:val="center"/>
            </w:pPr>
            <w:r>
              <w:rPr>
                <w:rFonts w:ascii="宋体" w:hAnsi="宋体" w:eastAsia="宋体"/>
                <w:sz w:val="16"/>
              </w:rPr>
              <w:t>教学计划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CA7E7B">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2250F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7C4405">
            <w:pPr>
              <w:jc w:val="center"/>
            </w:pPr>
            <w:r>
              <w:rPr>
                <w:rFonts w:ascii="宋体" w:hAnsi="宋体" w:eastAsia="宋体"/>
                <w:sz w:val="16"/>
              </w:rPr>
              <w:t>30</w:t>
            </w:r>
          </w:p>
        </w:tc>
      </w:tr>
    </w:tbl>
    <w:p w14:paraId="6ECD30DB">
      <w:r>
        <w:br w:type="page"/>
      </w:r>
    </w:p>
    <w:p w14:paraId="0FE29CA1">
      <w:pPr>
        <w:spacing w:line="640" w:lineRule="exact"/>
        <w:ind w:firstLine="640"/>
        <w:jc w:val="both"/>
        <w:outlineLvl w:val="2"/>
      </w:pPr>
      <w:r>
        <w:rPr>
          <w:rFonts w:ascii="黑体" w:hAnsi="黑体" w:eastAsia="黑体"/>
          <w:sz w:val="32"/>
        </w:rPr>
        <w:t>十二、其他需说明的事项</w:t>
      </w:r>
    </w:p>
    <w:p w14:paraId="3190FF4E">
      <w:pPr>
        <w:spacing w:line="580" w:lineRule="exact"/>
        <w:ind w:firstLine="640"/>
        <w:jc w:val="both"/>
      </w:pPr>
      <w:r>
        <w:rPr>
          <w:rFonts w:ascii="仿宋_GB2312" w:hAnsi="仿宋_GB2312" w:eastAsia="仿宋_GB2312"/>
          <w:b w:val="0"/>
          <w:sz w:val="32"/>
        </w:rPr>
        <w:t>本年本单位SM项目1个，全年预算数247.38万元，全年执行数247.38万元。</w:t>
      </w:r>
    </w:p>
    <w:p w14:paraId="0B47403B">
      <w:r>
        <w:br w:type="page"/>
      </w:r>
    </w:p>
    <w:p w14:paraId="1CAAF1A6">
      <w:pPr>
        <w:spacing w:line="240" w:lineRule="auto"/>
        <w:jc w:val="center"/>
        <w:outlineLvl w:val="1"/>
      </w:pPr>
      <w:r>
        <w:rPr>
          <w:rFonts w:ascii="黑体" w:hAnsi="黑体" w:eastAsia="黑体"/>
          <w:sz w:val="32"/>
        </w:rPr>
        <w:t>第三部分 专业名词解释</w:t>
      </w:r>
    </w:p>
    <w:p w14:paraId="2EA898C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64B424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616663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7D05AA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AB37E6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4FD59E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827DFD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FC5274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26BB44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6BC3FC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7922E9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F8F536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94913C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08111D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D1800A1">
      <w:r>
        <w:br w:type="page"/>
      </w:r>
    </w:p>
    <w:p w14:paraId="5041F33B">
      <w:pPr>
        <w:spacing w:line="240" w:lineRule="auto"/>
        <w:jc w:val="center"/>
        <w:outlineLvl w:val="1"/>
      </w:pPr>
      <w:r>
        <w:rPr>
          <w:rFonts w:ascii="黑体" w:hAnsi="黑体" w:eastAsia="黑体"/>
          <w:sz w:val="32"/>
        </w:rPr>
        <w:t>第四部分 部门决算报表（见附表）</w:t>
      </w:r>
    </w:p>
    <w:p w14:paraId="6E3AB7E1">
      <w:pPr>
        <w:spacing w:line="240" w:lineRule="auto"/>
        <w:ind w:firstLine="640"/>
        <w:jc w:val="both"/>
      </w:pPr>
      <w:r>
        <w:rPr>
          <w:rFonts w:ascii="仿宋_GB2312" w:hAnsi="仿宋_GB2312" w:eastAsia="仿宋_GB2312"/>
          <w:b w:val="0"/>
          <w:sz w:val="32"/>
        </w:rPr>
        <w:t>一、《收入支出决算总表》</w:t>
      </w:r>
    </w:p>
    <w:p w14:paraId="56A64035">
      <w:pPr>
        <w:spacing w:line="240" w:lineRule="auto"/>
        <w:ind w:firstLine="640"/>
        <w:jc w:val="both"/>
      </w:pPr>
      <w:r>
        <w:rPr>
          <w:rFonts w:ascii="仿宋_GB2312" w:hAnsi="仿宋_GB2312" w:eastAsia="仿宋_GB2312"/>
          <w:b w:val="0"/>
          <w:sz w:val="32"/>
        </w:rPr>
        <w:t>二、《收入决算表》</w:t>
      </w:r>
    </w:p>
    <w:p w14:paraId="78A27424">
      <w:pPr>
        <w:spacing w:line="240" w:lineRule="auto"/>
        <w:ind w:firstLine="640"/>
        <w:jc w:val="both"/>
      </w:pPr>
      <w:r>
        <w:rPr>
          <w:rFonts w:ascii="仿宋_GB2312" w:hAnsi="仿宋_GB2312" w:eastAsia="仿宋_GB2312"/>
          <w:b w:val="0"/>
          <w:sz w:val="32"/>
        </w:rPr>
        <w:t>三、《支出决算表》</w:t>
      </w:r>
    </w:p>
    <w:p w14:paraId="05AFF131">
      <w:pPr>
        <w:spacing w:line="240" w:lineRule="auto"/>
        <w:ind w:firstLine="640"/>
        <w:jc w:val="both"/>
      </w:pPr>
      <w:r>
        <w:rPr>
          <w:rFonts w:ascii="仿宋_GB2312" w:hAnsi="仿宋_GB2312" w:eastAsia="仿宋_GB2312"/>
          <w:b w:val="0"/>
          <w:sz w:val="32"/>
        </w:rPr>
        <w:t>四、《财政拨款收入支出决算总表》</w:t>
      </w:r>
    </w:p>
    <w:p w14:paraId="037109A8">
      <w:pPr>
        <w:spacing w:line="240" w:lineRule="auto"/>
        <w:ind w:firstLine="640"/>
        <w:jc w:val="both"/>
      </w:pPr>
      <w:r>
        <w:rPr>
          <w:rFonts w:ascii="仿宋_GB2312" w:hAnsi="仿宋_GB2312" w:eastAsia="仿宋_GB2312"/>
          <w:b w:val="0"/>
          <w:sz w:val="32"/>
        </w:rPr>
        <w:t>五、《一般公共预算财政拨款支出决算表》</w:t>
      </w:r>
    </w:p>
    <w:p w14:paraId="751DD4B8">
      <w:pPr>
        <w:spacing w:line="240" w:lineRule="auto"/>
        <w:ind w:firstLine="640"/>
        <w:jc w:val="both"/>
      </w:pPr>
      <w:r>
        <w:rPr>
          <w:rFonts w:ascii="仿宋_GB2312" w:hAnsi="仿宋_GB2312" w:eastAsia="仿宋_GB2312"/>
          <w:b w:val="0"/>
          <w:sz w:val="32"/>
        </w:rPr>
        <w:t>六、《一般公共预算财政拨款基本支出决算表》</w:t>
      </w:r>
    </w:p>
    <w:p w14:paraId="521FD383">
      <w:pPr>
        <w:spacing w:line="240" w:lineRule="auto"/>
        <w:ind w:firstLine="640"/>
        <w:jc w:val="both"/>
      </w:pPr>
      <w:r>
        <w:rPr>
          <w:rFonts w:ascii="仿宋_GB2312" w:hAnsi="仿宋_GB2312" w:eastAsia="仿宋_GB2312"/>
          <w:b w:val="0"/>
          <w:sz w:val="32"/>
        </w:rPr>
        <w:t>七、《政府性基金预算财政拨款收入支出决算表》</w:t>
      </w:r>
    </w:p>
    <w:p w14:paraId="6DF9CE5A">
      <w:pPr>
        <w:spacing w:line="240" w:lineRule="auto"/>
        <w:ind w:firstLine="640"/>
        <w:jc w:val="both"/>
      </w:pPr>
      <w:r>
        <w:rPr>
          <w:rFonts w:ascii="仿宋_GB2312" w:hAnsi="仿宋_GB2312" w:eastAsia="仿宋_GB2312"/>
          <w:b w:val="0"/>
          <w:sz w:val="32"/>
        </w:rPr>
        <w:t>八、《国有资本经营预算财政拨款收入支出决算表》</w:t>
      </w:r>
    </w:p>
    <w:p w14:paraId="536201F5">
      <w:pPr>
        <w:spacing w:line="240" w:lineRule="auto"/>
        <w:ind w:firstLine="640"/>
        <w:jc w:val="both"/>
      </w:pPr>
      <w:r>
        <w:rPr>
          <w:rFonts w:ascii="仿宋_GB2312" w:hAnsi="仿宋_GB2312" w:eastAsia="仿宋_GB2312"/>
          <w:b w:val="0"/>
          <w:sz w:val="32"/>
        </w:rPr>
        <w:t>九、《财政拨款“三公”经费支出决算表》</w:t>
      </w:r>
    </w:p>
    <w:p w14:paraId="10A74BB2">
      <w:pPr>
        <w:spacing w:line="240" w:lineRule="auto"/>
        <w:ind w:firstLine="640"/>
        <w:jc w:val="both"/>
      </w:pPr>
    </w:p>
    <w:p w14:paraId="7D35C5D7">
      <w:pPr>
        <w:spacing w:line="240" w:lineRule="auto"/>
        <w:ind w:firstLine="640"/>
        <w:jc w:val="both"/>
      </w:pPr>
    </w:p>
    <w:p w14:paraId="3AE2A293">
      <w:pPr>
        <w:spacing w:line="240" w:lineRule="auto"/>
        <w:ind w:firstLine="640"/>
        <w:jc w:val="both"/>
      </w:pPr>
    </w:p>
    <w:p w14:paraId="0CFAF408">
      <w:pPr>
        <w:spacing w:line="240" w:lineRule="auto"/>
        <w:ind w:firstLine="640"/>
        <w:jc w:val="both"/>
      </w:pPr>
    </w:p>
    <w:p w14:paraId="0EB4442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8C94AD3"/>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981AC3"/>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8DD20A9"/>
    <w:rsid w:val="795A0A34"/>
    <w:rsid w:val="7A0D3BC7"/>
    <w:rsid w:val="7A3A3CDB"/>
    <w:rsid w:val="7D3301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5910</Words>
  <Characters>6796</Characters>
  <Lines>0</Lines>
  <Paragraphs>0</Paragraphs>
  <TotalTime>10</TotalTime>
  <ScaleCrop>false</ScaleCrop>
  <LinksUpToDate>false</LinksUpToDate>
  <CharactersWithSpaces>6806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2025-10-15T07:13:25Z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eyJoZGlkIjoiZTliZGUwNWM5NjQxODUyZjhjYWVlMWZjZWZmNTI5MzgiLCJ1c2VySWQiOiIyMDM3MTI1NTkifQ==</vt:lpwstr>
  </property>
</Properties>
</file>