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FB1C0A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D017357">
      <w:r>
        <w:br w:type="page"/>
      </w:r>
    </w:p>
    <w:p w14:paraId="5BD01FC6">
      <w:pPr>
        <w:spacing w:line="640" w:lineRule="exact"/>
        <w:jc w:val="center"/>
        <w:outlineLvl w:val="1"/>
      </w:pPr>
      <w:r>
        <w:rPr>
          <w:rFonts w:ascii="黑体" w:hAnsi="黑体" w:eastAsia="黑体"/>
          <w:sz w:val="32"/>
        </w:rPr>
        <w:t>第一部分 单位概况</w:t>
      </w:r>
    </w:p>
    <w:p w14:paraId="1A993B71">
      <w:pPr>
        <w:spacing w:line="640" w:lineRule="exact"/>
        <w:ind w:firstLine="640"/>
        <w:jc w:val="both"/>
        <w:outlineLvl w:val="2"/>
      </w:pPr>
      <w:r>
        <w:rPr>
          <w:rFonts w:ascii="黑体" w:hAnsi="黑体" w:eastAsia="黑体"/>
          <w:sz w:val="32"/>
        </w:rPr>
        <w:t>一、主要职能</w:t>
      </w:r>
    </w:p>
    <w:p w14:paraId="2233F6BB">
      <w:pPr>
        <w:spacing w:line="580" w:lineRule="exact"/>
        <w:ind w:firstLine="640"/>
        <w:jc w:val="both"/>
        <w:rPr>
          <w:rFonts w:hint="eastAsia" w:eastAsia="仿宋_GB2312"/>
          <w:lang w:eastAsia="zh-CN"/>
        </w:rPr>
      </w:pPr>
      <w:r>
        <w:rPr>
          <w:rFonts w:ascii="仿宋_GB2312" w:hAnsi="仿宋_GB2312" w:eastAsia="仿宋_GB2312"/>
          <w:sz w:val="32"/>
        </w:rPr>
        <w:t>根据《中华人民共和国宪法</w:t>
      </w:r>
      <w:r>
        <w:rPr>
          <w:rFonts w:hint="eastAsia" w:ascii="仿宋_GB2312" w:hAnsi="仿宋_GB2312" w:eastAsia="仿宋_GB2312"/>
          <w:sz w:val="32"/>
          <w:lang w:eastAsia="zh-CN"/>
        </w:rPr>
        <w:t>》《</w:t>
      </w:r>
      <w:r>
        <w:rPr>
          <w:rFonts w:ascii="仿宋_GB2312" w:hAnsi="仿宋_GB2312" w:eastAsia="仿宋_GB2312"/>
          <w:sz w:val="32"/>
        </w:rPr>
        <w:t>中华人民共和国人民检察院组织法》和中共中央《关于政法领域全面深化改革的实施意见》，按照自治区党委机构编制委员会《关于印发自治区分州市、县市区人民检察院内设机构改革方案的通知》的精神，昌吉州人民检察院主要职能是</w:t>
      </w:r>
      <w:r>
        <w:rPr>
          <w:rFonts w:hint="eastAsia" w:ascii="仿宋_GB2312" w:hAnsi="仿宋_GB2312" w:eastAsia="仿宋_GB2312"/>
          <w:sz w:val="32"/>
          <w:lang w:eastAsia="zh-CN"/>
        </w:rPr>
        <w:t>：</w:t>
      </w:r>
    </w:p>
    <w:p w14:paraId="4C9C954F">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社会稳定和长治久安总目标，统一本地区检察机关思想和行动，坚持党对检察工作的绝对领导，坚决维护习近平总书记的核心地位，坚决维护党中央权威和集中统一领导。</w:t>
      </w:r>
    </w:p>
    <w:p w14:paraId="65073E92">
      <w:pPr>
        <w:spacing w:line="580" w:lineRule="exact"/>
        <w:ind w:firstLine="640"/>
        <w:jc w:val="both"/>
      </w:pPr>
      <w:r>
        <w:rPr>
          <w:rFonts w:ascii="仿宋_GB2312" w:hAnsi="仿宋_GB2312" w:eastAsia="仿宋_GB2312"/>
          <w:sz w:val="32"/>
        </w:rPr>
        <w:t>（二）依法向昌吉州人民代表大会及其常务委员会提出议案。</w:t>
      </w:r>
    </w:p>
    <w:p w14:paraId="4F5BBACB">
      <w:pPr>
        <w:spacing w:line="580" w:lineRule="exact"/>
        <w:ind w:firstLine="640"/>
        <w:jc w:val="both"/>
      </w:pPr>
      <w:r>
        <w:rPr>
          <w:rFonts w:ascii="仿宋_GB2312" w:hAnsi="仿宋_GB2312" w:eastAsia="仿宋_GB2312"/>
          <w:sz w:val="32"/>
        </w:rPr>
        <w:t>（三）领导本地区各级人民检察院的工作，对基层人民检察院相关业务进行指导，贯彻落实检察工作方针、总体规划，部署检察工作任务。</w:t>
      </w:r>
    </w:p>
    <w:p w14:paraId="22D2EDAD">
      <w:pPr>
        <w:spacing w:line="580" w:lineRule="exact"/>
        <w:ind w:firstLine="640"/>
        <w:jc w:val="both"/>
      </w:pPr>
      <w:r>
        <w:rPr>
          <w:rFonts w:ascii="仿宋_GB2312" w:hAnsi="仿宋_GB2312" w:eastAsia="仿宋_GB2312"/>
          <w:sz w:val="32"/>
        </w:rPr>
        <w:t>（四）依照法律规定对由昌吉州人民检察院直接受理的刑事案件行使侦查权，领导本地区各级人民检察院开展对依照法律规定由人民检察院直接受理的刑事案件的侦查工作。</w:t>
      </w:r>
    </w:p>
    <w:p w14:paraId="447DDEBA">
      <w:pPr>
        <w:spacing w:line="580" w:lineRule="exact"/>
        <w:ind w:firstLine="640"/>
        <w:jc w:val="both"/>
      </w:pPr>
      <w:r>
        <w:rPr>
          <w:rFonts w:ascii="仿宋_GB2312" w:hAnsi="仿宋_GB2312" w:eastAsia="仿宋_GB2312"/>
          <w:sz w:val="32"/>
        </w:rPr>
        <w:t>（五）对本地区重大刑事案件依法审查</w:t>
      </w:r>
      <w:r>
        <w:rPr>
          <w:rFonts w:hint="eastAsia" w:ascii="仿宋_GB2312" w:hAnsi="仿宋_GB2312" w:eastAsia="仿宋_GB2312"/>
          <w:sz w:val="32"/>
          <w:lang w:eastAsia="zh-CN"/>
        </w:rPr>
        <w:t>批准逮捕</w:t>
      </w:r>
      <w:r>
        <w:rPr>
          <w:rFonts w:ascii="仿宋_GB2312" w:hAnsi="仿宋_GB2312" w:eastAsia="仿宋_GB2312"/>
          <w:sz w:val="32"/>
        </w:rPr>
        <w:t>、决定</w:t>
      </w:r>
      <w:r>
        <w:rPr>
          <w:rFonts w:hint="eastAsia" w:ascii="仿宋_GB2312" w:hAnsi="仿宋_GB2312" w:eastAsia="仿宋_GB2312"/>
          <w:sz w:val="32"/>
          <w:lang w:eastAsia="zh-CN"/>
        </w:rPr>
        <w:t>逮捕</w:t>
      </w:r>
      <w:r>
        <w:rPr>
          <w:rFonts w:ascii="仿宋_GB2312" w:hAnsi="仿宋_GB2312" w:eastAsia="仿宋_GB2312"/>
          <w:sz w:val="32"/>
        </w:rPr>
        <w:t>、审查起诉，对报请追诉的案件进行审查，报请自治区人民检察院审查、决定是否追诉，领导本地区各级人民检察院开展对刑事犯罪案件的审查批准逮捕、决定逮捕、审查起诉工作。</w:t>
      </w:r>
    </w:p>
    <w:p w14:paraId="31FAC499">
      <w:pPr>
        <w:spacing w:line="580" w:lineRule="exact"/>
        <w:ind w:firstLine="640"/>
        <w:jc w:val="both"/>
      </w:pPr>
      <w:r>
        <w:rPr>
          <w:rFonts w:ascii="仿宋_GB2312" w:hAnsi="仿宋_GB2312" w:eastAsia="仿宋_GB2312"/>
          <w:sz w:val="32"/>
        </w:rPr>
        <w:t>（六）负责应由昌吉州人民检察院承办的刑事、民事、行政诉讼活动及刑事、民事、行政判决和裁定等生效法律文书执行活动的法律监督工作，领导本地区各级人民检察院对刑事、民事、行政诉讼活动及判决和裁定等生效法律文书执行活动的法律监督工作。</w:t>
      </w:r>
    </w:p>
    <w:p w14:paraId="69C65D6F">
      <w:pPr>
        <w:spacing w:line="580" w:lineRule="exact"/>
        <w:ind w:firstLine="640"/>
        <w:jc w:val="both"/>
      </w:pPr>
      <w:r>
        <w:rPr>
          <w:rFonts w:ascii="仿宋_GB2312" w:hAnsi="仿宋_GB2312" w:eastAsia="仿宋_GB2312"/>
          <w:sz w:val="32"/>
        </w:rPr>
        <w:t>（七）负责对本地区基层人民法院已发生法律效力、确有错误的判决和裁定，依法向昌吉州中级人民法院提出抗诉。负责对昌吉州中级人民法院已发生法律效力、确有错误的判决和裁定，依法提请自治区人民检察院向自治区高级人民法院提出抗诉。</w:t>
      </w:r>
    </w:p>
    <w:p w14:paraId="54163079">
      <w:pPr>
        <w:spacing w:line="580" w:lineRule="exact"/>
        <w:ind w:firstLine="640"/>
        <w:jc w:val="both"/>
      </w:pPr>
      <w:r>
        <w:rPr>
          <w:rFonts w:ascii="仿宋_GB2312" w:hAnsi="仿宋_GB2312" w:eastAsia="仿宋_GB2312"/>
          <w:sz w:val="32"/>
        </w:rPr>
        <w:t>（八）负责应由昌吉州人民检察院承办的提起公益诉讼工作，领导本地区各级人民检察院开展提起公益诉讼工作。</w:t>
      </w:r>
    </w:p>
    <w:p w14:paraId="5D904F9A">
      <w:pPr>
        <w:spacing w:line="580" w:lineRule="exact"/>
        <w:ind w:firstLine="640"/>
        <w:jc w:val="both"/>
      </w:pPr>
      <w:r>
        <w:rPr>
          <w:rFonts w:ascii="仿宋_GB2312" w:hAnsi="仿宋_GB2312" w:eastAsia="仿宋_GB2312"/>
          <w:sz w:val="32"/>
        </w:rPr>
        <w:t>（九）负责应由昌吉州人民检察院承办的对监狱、安置教育机构、看守所和社区矫正机构等执法活动的法律监督工作，领导本地区各级人民检察院开展对监狱、安置教育机构、看守所和社区矫正机构等执法活动的法律监督工作。</w:t>
      </w:r>
    </w:p>
    <w:p w14:paraId="5A659AE1">
      <w:pPr>
        <w:spacing w:line="580" w:lineRule="exact"/>
        <w:ind w:firstLine="640"/>
        <w:jc w:val="both"/>
      </w:pPr>
      <w:r>
        <w:rPr>
          <w:rFonts w:ascii="仿宋_GB2312" w:hAnsi="仿宋_GB2312" w:eastAsia="仿宋_GB2312"/>
          <w:sz w:val="32"/>
        </w:rPr>
        <w:t>（十）受理向昌吉州人民检察院的控告申诉，领导本地区各级人民检察院的控告申诉检察工作。</w:t>
      </w:r>
    </w:p>
    <w:p w14:paraId="2EC8E5DA">
      <w:pPr>
        <w:spacing w:line="580" w:lineRule="exact"/>
        <w:ind w:firstLine="640"/>
        <w:jc w:val="both"/>
      </w:pPr>
      <w:r>
        <w:rPr>
          <w:rFonts w:ascii="仿宋_GB2312" w:hAnsi="仿宋_GB2312" w:eastAsia="仿宋_GB2312"/>
          <w:sz w:val="32"/>
        </w:rPr>
        <w:t>（十一）对本地区各级人民检察院在行使检察权中作出的决定进行审查，纠正错误决定。</w:t>
      </w:r>
    </w:p>
    <w:p w14:paraId="3116AD83">
      <w:pPr>
        <w:spacing w:line="580" w:lineRule="exact"/>
        <w:ind w:firstLine="640"/>
        <w:jc w:val="both"/>
      </w:pPr>
      <w:r>
        <w:rPr>
          <w:rFonts w:ascii="仿宋_GB2312" w:hAnsi="仿宋_GB2312" w:eastAsia="仿宋_GB2312"/>
          <w:sz w:val="32"/>
        </w:rPr>
        <w:t>（十二）指导本地区检察机关的检察应用和理论研究工作。</w:t>
      </w:r>
    </w:p>
    <w:p w14:paraId="67467FF5">
      <w:pPr>
        <w:spacing w:line="580" w:lineRule="exact"/>
        <w:ind w:firstLine="640"/>
        <w:jc w:val="both"/>
      </w:pPr>
      <w:r>
        <w:rPr>
          <w:rFonts w:ascii="仿宋_GB2312" w:hAnsi="仿宋_GB2312" w:eastAsia="仿宋_GB2312"/>
          <w:sz w:val="32"/>
        </w:rPr>
        <w:t>（十三）负责本地区检察机关队伍建设和思想政治工作。领导本地区各级人民检察院依法管理检察官及其他检察人员的工作，组织指导本地区检察机关教育培训工作。</w:t>
      </w:r>
    </w:p>
    <w:p w14:paraId="6387973C">
      <w:pPr>
        <w:spacing w:line="580" w:lineRule="exact"/>
        <w:ind w:firstLine="640"/>
        <w:jc w:val="both"/>
      </w:pPr>
      <w:r>
        <w:rPr>
          <w:rFonts w:ascii="仿宋_GB2312" w:hAnsi="仿宋_GB2312" w:eastAsia="仿宋_GB2312"/>
          <w:sz w:val="32"/>
        </w:rPr>
        <w:t>（十四）协同昌吉州党委主管部门管理和考核基层人民检察院领导班子成员。</w:t>
      </w:r>
    </w:p>
    <w:p w14:paraId="4B01BA0F">
      <w:pPr>
        <w:spacing w:line="580" w:lineRule="exact"/>
        <w:ind w:firstLine="640"/>
        <w:jc w:val="both"/>
      </w:pPr>
      <w:r>
        <w:rPr>
          <w:rFonts w:ascii="仿宋_GB2312" w:hAnsi="仿宋_GB2312" w:eastAsia="仿宋_GB2312"/>
          <w:sz w:val="32"/>
        </w:rPr>
        <w:t>（十五）领导本地区各级人民检察院的检务督察工作。</w:t>
      </w:r>
    </w:p>
    <w:p w14:paraId="631BD469">
      <w:pPr>
        <w:spacing w:line="580" w:lineRule="exact"/>
        <w:ind w:firstLine="640"/>
        <w:jc w:val="both"/>
      </w:pPr>
      <w:r>
        <w:rPr>
          <w:rFonts w:ascii="仿宋_GB2312" w:hAnsi="仿宋_GB2312" w:eastAsia="仿宋_GB2312"/>
          <w:sz w:val="32"/>
        </w:rPr>
        <w:t>（十六）规划和指导本地区检察机关的财务装备工作，指导本地区检察机关的检察技术信息工作。</w:t>
      </w:r>
    </w:p>
    <w:p w14:paraId="1DFB8816">
      <w:pPr>
        <w:spacing w:line="580" w:lineRule="exact"/>
        <w:ind w:firstLine="640"/>
        <w:jc w:val="both"/>
      </w:pPr>
      <w:r>
        <w:rPr>
          <w:rFonts w:ascii="仿宋_GB2312" w:hAnsi="仿宋_GB2312" w:eastAsia="仿宋_GB2312"/>
          <w:sz w:val="32"/>
        </w:rPr>
        <w:t>（十七）负责其他应当由昌吉州人民检察院承办的事项。</w:t>
      </w:r>
    </w:p>
    <w:p w14:paraId="30ABDCB1">
      <w:pPr>
        <w:spacing w:line="640" w:lineRule="exact"/>
        <w:ind w:firstLine="640"/>
        <w:jc w:val="both"/>
        <w:outlineLvl w:val="2"/>
      </w:pPr>
      <w:r>
        <w:rPr>
          <w:rFonts w:ascii="黑体" w:hAnsi="黑体" w:eastAsia="黑体"/>
          <w:sz w:val="32"/>
        </w:rPr>
        <w:t>二、机构设置及人员情况</w:t>
      </w:r>
    </w:p>
    <w:p w14:paraId="0893F51B">
      <w:pPr>
        <w:spacing w:line="580" w:lineRule="exact"/>
        <w:ind w:firstLine="640"/>
        <w:jc w:val="both"/>
      </w:pPr>
      <w:r>
        <w:rPr>
          <w:rFonts w:ascii="仿宋_GB2312" w:hAnsi="仿宋_GB2312" w:eastAsia="仿宋_GB2312"/>
          <w:sz w:val="32"/>
        </w:rPr>
        <w:t>昌吉回族自治州人民检察院2024年度，实有人数153人，其中：在职人员82人，增加0人；离休人员0人，增加0人；退休人员71人,增加3人。</w:t>
      </w:r>
    </w:p>
    <w:p w14:paraId="7C216AA9">
      <w:pPr>
        <w:spacing w:line="580" w:lineRule="exact"/>
        <w:ind w:firstLine="640"/>
        <w:jc w:val="both"/>
      </w:pPr>
      <w:r>
        <w:rPr>
          <w:rFonts w:ascii="仿宋_GB2312" w:hAnsi="仿宋_GB2312" w:eastAsia="仿宋_GB2312"/>
          <w:sz w:val="32"/>
        </w:rPr>
        <w:t>昌吉回族自治州人民检察院无下属预算单位，下设16个科室，分别是：办公室、政治部、第一检察部、第二检察部、第三检察部、第四检察部、第五检察部、第六检察部、第七检察部、第八检察部、检务督察部、综合检察业务部、检察技术处、司法警察支队、机关党委、行政装备处。</w:t>
      </w:r>
    </w:p>
    <w:p w14:paraId="3BCD7F26">
      <w:r>
        <w:br w:type="page"/>
      </w:r>
    </w:p>
    <w:p w14:paraId="68382316">
      <w:pPr>
        <w:spacing w:line="240" w:lineRule="auto"/>
        <w:jc w:val="center"/>
        <w:outlineLvl w:val="1"/>
      </w:pPr>
      <w:r>
        <w:rPr>
          <w:rFonts w:ascii="黑体" w:hAnsi="黑体" w:eastAsia="黑体"/>
          <w:sz w:val="32"/>
        </w:rPr>
        <w:t>第二部分 部门决算情况说明</w:t>
      </w:r>
    </w:p>
    <w:p w14:paraId="41BEABFB">
      <w:pPr>
        <w:spacing w:line="640" w:lineRule="exact"/>
        <w:ind w:firstLine="640"/>
        <w:jc w:val="both"/>
        <w:outlineLvl w:val="2"/>
      </w:pPr>
      <w:r>
        <w:rPr>
          <w:rFonts w:ascii="黑体" w:hAnsi="黑体" w:eastAsia="黑体"/>
          <w:sz w:val="32"/>
        </w:rPr>
        <w:t>一、收入支出决算总体情况说明</w:t>
      </w:r>
    </w:p>
    <w:p w14:paraId="25A601ED">
      <w:pPr>
        <w:spacing w:line="580" w:lineRule="exact"/>
        <w:ind w:firstLine="640"/>
        <w:jc w:val="both"/>
      </w:pPr>
      <w:r>
        <w:rPr>
          <w:rFonts w:ascii="仿宋_GB2312" w:hAnsi="仿宋_GB2312" w:eastAsia="仿宋_GB2312"/>
          <w:b/>
          <w:sz w:val="32"/>
        </w:rPr>
        <w:t>2024年度收入总计3,881.39万元，</w:t>
      </w:r>
      <w:r>
        <w:rPr>
          <w:rFonts w:ascii="仿宋_GB2312" w:hAnsi="仿宋_GB2312" w:eastAsia="仿宋_GB2312"/>
          <w:b w:val="0"/>
          <w:sz w:val="32"/>
        </w:rPr>
        <w:t>其中：本年收入合计3,258.00万元，使用非财政拨款结余（含专用结余）0.00万元，年初结转和结余623.39万元。</w:t>
      </w:r>
    </w:p>
    <w:p w14:paraId="1E6D4F28">
      <w:pPr>
        <w:spacing w:line="580" w:lineRule="exact"/>
        <w:ind w:firstLine="640"/>
        <w:jc w:val="both"/>
      </w:pPr>
      <w:r>
        <w:rPr>
          <w:rFonts w:ascii="仿宋_GB2312" w:hAnsi="仿宋_GB2312" w:eastAsia="仿宋_GB2312"/>
          <w:b/>
          <w:sz w:val="32"/>
        </w:rPr>
        <w:t>2024年度支出总计3,881.39万元，</w:t>
      </w:r>
      <w:r>
        <w:rPr>
          <w:rFonts w:ascii="仿宋_GB2312" w:hAnsi="仿宋_GB2312" w:eastAsia="仿宋_GB2312"/>
          <w:b w:val="0"/>
          <w:sz w:val="32"/>
        </w:rPr>
        <w:t>其中：本年支出合计3,540.55万元，结余分配0.00万元，年末结转和结余340.83万元。</w:t>
      </w:r>
    </w:p>
    <w:p w14:paraId="0B3F0A80">
      <w:pPr>
        <w:spacing w:line="580" w:lineRule="exact"/>
        <w:ind w:firstLine="640"/>
        <w:jc w:val="both"/>
      </w:pPr>
      <w:r>
        <w:rPr>
          <w:rFonts w:ascii="仿宋_GB2312" w:hAnsi="仿宋_GB2312" w:eastAsia="仿宋_GB2312"/>
          <w:b w:val="0"/>
          <w:sz w:val="32"/>
        </w:rPr>
        <w:t>收入支出总体与上年相比，减少583.52万元，下降13.07%，主要原因是：本年减少公益诉讼专项经费、当年指定居所监视居住等项目，同时本年未成年保护工作经费、援疆机关运行补助等项目资金较上年减少。</w:t>
      </w:r>
    </w:p>
    <w:p w14:paraId="047DEA6B">
      <w:pPr>
        <w:spacing w:line="640" w:lineRule="exact"/>
        <w:ind w:firstLine="640"/>
        <w:jc w:val="both"/>
        <w:outlineLvl w:val="2"/>
      </w:pPr>
      <w:r>
        <w:rPr>
          <w:rFonts w:ascii="黑体" w:hAnsi="黑体" w:eastAsia="黑体"/>
          <w:sz w:val="32"/>
        </w:rPr>
        <w:t>二、收入决算情况说明</w:t>
      </w:r>
    </w:p>
    <w:p w14:paraId="56AC289B">
      <w:pPr>
        <w:spacing w:line="580" w:lineRule="exact"/>
        <w:ind w:firstLine="640"/>
        <w:jc w:val="both"/>
      </w:pPr>
      <w:r>
        <w:rPr>
          <w:rFonts w:ascii="仿宋_GB2312" w:hAnsi="仿宋_GB2312" w:eastAsia="仿宋_GB2312"/>
          <w:b/>
          <w:sz w:val="32"/>
        </w:rPr>
        <w:t>本年收入3,258.00万元，</w:t>
      </w:r>
      <w:r>
        <w:rPr>
          <w:rFonts w:ascii="仿宋_GB2312" w:hAnsi="仿宋_GB2312" w:eastAsia="仿宋_GB2312"/>
          <w:b w:val="0"/>
          <w:sz w:val="32"/>
        </w:rPr>
        <w:t>其中：财政拨款收入3,236.47万元，占99.34%；上级补助收入0.00万元，占0.00%；事业收入0.00万元，占0.00%；经营收入0.00万元，占0.00%；附属单位上缴收入0.00万元，占0.00%；其他收入21.53万元，占0.66%。</w:t>
      </w:r>
    </w:p>
    <w:p w14:paraId="0469BD14">
      <w:pPr>
        <w:spacing w:line="640" w:lineRule="exact"/>
        <w:ind w:firstLine="640"/>
        <w:jc w:val="both"/>
        <w:outlineLvl w:val="2"/>
      </w:pPr>
      <w:r>
        <w:rPr>
          <w:rFonts w:ascii="黑体" w:hAnsi="黑体" w:eastAsia="黑体"/>
          <w:sz w:val="32"/>
        </w:rPr>
        <w:t>三、支出决算情况说明</w:t>
      </w:r>
    </w:p>
    <w:p w14:paraId="4B1B795C">
      <w:pPr>
        <w:spacing w:line="580" w:lineRule="exact"/>
        <w:ind w:firstLine="640"/>
        <w:jc w:val="both"/>
      </w:pPr>
      <w:r>
        <w:rPr>
          <w:rFonts w:ascii="仿宋_GB2312" w:hAnsi="仿宋_GB2312" w:eastAsia="仿宋_GB2312"/>
          <w:b/>
          <w:sz w:val="32"/>
        </w:rPr>
        <w:t>本年支出3,540.55万元，</w:t>
      </w:r>
      <w:r>
        <w:rPr>
          <w:rFonts w:ascii="仿宋_GB2312" w:hAnsi="仿宋_GB2312" w:eastAsia="仿宋_GB2312"/>
          <w:b w:val="0"/>
          <w:sz w:val="32"/>
        </w:rPr>
        <w:t>其中：基本支出2,517.67万元，占71.11%；项目支出1,022.89万元，占28.89%；上缴上级支出0.00万元，占0.00%；经营支出0.00万元，占0.00%；对附属单位补助支出0.00万元，占0.00%。</w:t>
      </w:r>
    </w:p>
    <w:p w14:paraId="08CCC72D">
      <w:pPr>
        <w:spacing w:line="640" w:lineRule="exact"/>
        <w:ind w:firstLine="640"/>
        <w:jc w:val="both"/>
        <w:outlineLvl w:val="2"/>
      </w:pPr>
      <w:r>
        <w:rPr>
          <w:rFonts w:ascii="黑体" w:hAnsi="黑体" w:eastAsia="黑体"/>
          <w:sz w:val="32"/>
        </w:rPr>
        <w:t>四、财政拨款收入支出决算总体情况说明</w:t>
      </w:r>
    </w:p>
    <w:p w14:paraId="65D71E2E">
      <w:pPr>
        <w:spacing w:line="580" w:lineRule="exact"/>
        <w:ind w:firstLine="640"/>
        <w:jc w:val="both"/>
      </w:pPr>
      <w:r>
        <w:rPr>
          <w:rFonts w:ascii="仿宋_GB2312" w:hAnsi="仿宋_GB2312" w:eastAsia="仿宋_GB2312"/>
          <w:b/>
          <w:sz w:val="32"/>
        </w:rPr>
        <w:t>2024年度财政拨款收入总计3,236.47万元，</w:t>
      </w:r>
      <w:r>
        <w:rPr>
          <w:rFonts w:ascii="仿宋_GB2312" w:hAnsi="仿宋_GB2312" w:eastAsia="仿宋_GB2312"/>
          <w:b w:val="0"/>
          <w:sz w:val="32"/>
        </w:rPr>
        <w:t>其中：年初财政拨款结转和结余0.00万元，本年财政拨款收入3,236.47万元。</w:t>
      </w:r>
      <w:r>
        <w:rPr>
          <w:rFonts w:ascii="仿宋_GB2312" w:hAnsi="仿宋_GB2312" w:eastAsia="仿宋_GB2312"/>
          <w:b/>
          <w:sz w:val="32"/>
        </w:rPr>
        <w:t>财政拨款支出总计3,236.47万元，</w:t>
      </w:r>
      <w:r>
        <w:rPr>
          <w:rFonts w:ascii="仿宋_GB2312" w:hAnsi="仿宋_GB2312" w:eastAsia="仿宋_GB2312"/>
          <w:b w:val="0"/>
          <w:sz w:val="32"/>
        </w:rPr>
        <w:t>其中：年末财政拨款结转和结余0.00万元，本年财政拨款支出3,236.47万元。</w:t>
      </w:r>
    </w:p>
    <w:p w14:paraId="181382F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减少316.33万元，下降8.90%，主要原因是：本年减少公益诉讼专项经费、当年指定居所监视居住等项目；本年未成年保护工作经费较上年减少。</w:t>
      </w:r>
      <w:r>
        <w:rPr>
          <w:rFonts w:ascii="仿宋_GB2312" w:hAnsi="仿宋_GB2312" w:eastAsia="仿宋_GB2312"/>
          <w:b/>
          <w:sz w:val="32"/>
        </w:rPr>
        <w:t>与年初预算相比，</w:t>
      </w:r>
      <w:r>
        <w:rPr>
          <w:rFonts w:ascii="仿宋_GB2312" w:hAnsi="仿宋_GB2312" w:eastAsia="仿宋_GB2312"/>
          <w:b w:val="0"/>
          <w:sz w:val="32"/>
        </w:rPr>
        <w:t>年初预算数2,946.41万元，决算数3,236.47万元，预决算差异率9.84%，主要原因是：年中追加第二批中央转移支付资金项目，导致预决算存在差异。</w:t>
      </w:r>
    </w:p>
    <w:p w14:paraId="066AAFB1">
      <w:pPr>
        <w:spacing w:line="640" w:lineRule="exact"/>
        <w:ind w:firstLine="640"/>
        <w:jc w:val="both"/>
        <w:outlineLvl w:val="2"/>
      </w:pPr>
      <w:r>
        <w:rPr>
          <w:rFonts w:ascii="黑体" w:hAnsi="黑体" w:eastAsia="黑体"/>
          <w:sz w:val="32"/>
        </w:rPr>
        <w:t>五、一般公共预算财政拨款支出决算情况说明</w:t>
      </w:r>
    </w:p>
    <w:p w14:paraId="62591000">
      <w:pPr>
        <w:spacing w:line="640" w:lineRule="exact"/>
        <w:ind w:firstLine="640"/>
        <w:jc w:val="both"/>
        <w:outlineLvl w:val="3"/>
      </w:pPr>
      <w:r>
        <w:rPr>
          <w:rFonts w:ascii="楷体_GB2312" w:hAnsi="楷体_GB2312" w:eastAsia="楷体_GB2312"/>
          <w:b/>
          <w:sz w:val="32"/>
        </w:rPr>
        <w:t>（一）一般公共预算财政拨款支出决算总体情况</w:t>
      </w:r>
    </w:p>
    <w:p w14:paraId="4E975B84">
      <w:pPr>
        <w:spacing w:line="580" w:lineRule="exact"/>
        <w:ind w:firstLine="640"/>
        <w:jc w:val="both"/>
      </w:pPr>
      <w:r>
        <w:rPr>
          <w:rFonts w:ascii="仿宋_GB2312" w:hAnsi="仿宋_GB2312" w:eastAsia="仿宋_GB2312"/>
          <w:b/>
          <w:sz w:val="32"/>
        </w:rPr>
        <w:t>2024年度一般公共预算财政拨款支出3,236.47万元，</w:t>
      </w:r>
      <w:r>
        <w:rPr>
          <w:rFonts w:ascii="仿宋_GB2312" w:hAnsi="仿宋_GB2312" w:eastAsia="仿宋_GB2312"/>
          <w:b w:val="0"/>
          <w:sz w:val="32"/>
        </w:rPr>
        <w:t>占本年支出合计的91.41%。</w:t>
      </w:r>
      <w:r>
        <w:rPr>
          <w:rFonts w:ascii="仿宋_GB2312" w:hAnsi="仿宋_GB2312" w:eastAsia="仿宋_GB2312"/>
          <w:b/>
          <w:sz w:val="32"/>
        </w:rPr>
        <w:t>与上年相比，</w:t>
      </w:r>
      <w:r>
        <w:rPr>
          <w:rFonts w:ascii="仿宋_GB2312" w:hAnsi="仿宋_GB2312" w:eastAsia="仿宋_GB2312"/>
          <w:b w:val="0"/>
          <w:sz w:val="32"/>
        </w:rPr>
        <w:t>减少316.33万元，下降8.90%，主要原因是：本年减少公益诉讼专项经费、当年指定居所监视居住等项目；本年未成年保护工作经费较上年减少。</w:t>
      </w:r>
      <w:r>
        <w:rPr>
          <w:rFonts w:ascii="仿宋_GB2312" w:hAnsi="仿宋_GB2312" w:eastAsia="仿宋_GB2312"/>
          <w:b/>
          <w:sz w:val="32"/>
        </w:rPr>
        <w:t>与年初预算相比,</w:t>
      </w:r>
      <w:r>
        <w:rPr>
          <w:rFonts w:ascii="仿宋_GB2312" w:hAnsi="仿宋_GB2312" w:eastAsia="仿宋_GB2312"/>
          <w:b w:val="0"/>
          <w:sz w:val="32"/>
        </w:rPr>
        <w:t>年初预算数2,946.41万元，决算数3,236.47万元，预决算差异率9.84%，主要原因是：年中追加第二批中央转移支付资金项目，导致预决算存在差异。</w:t>
      </w:r>
    </w:p>
    <w:p w14:paraId="0472F734">
      <w:pPr>
        <w:spacing w:line="640" w:lineRule="exact"/>
        <w:ind w:firstLine="640"/>
        <w:jc w:val="both"/>
        <w:outlineLvl w:val="3"/>
      </w:pPr>
      <w:r>
        <w:rPr>
          <w:rFonts w:ascii="楷体_GB2312" w:hAnsi="楷体_GB2312" w:eastAsia="楷体_GB2312"/>
          <w:b/>
          <w:sz w:val="32"/>
        </w:rPr>
        <w:t>（二）一般公共预算财政拨款支出决算结构情况</w:t>
      </w:r>
    </w:p>
    <w:p w14:paraId="35A196E4">
      <w:pPr>
        <w:spacing w:line="580" w:lineRule="exact"/>
        <w:ind w:firstLine="640"/>
        <w:jc w:val="both"/>
      </w:pPr>
      <w:r>
        <w:rPr>
          <w:rFonts w:ascii="仿宋_GB2312" w:hAnsi="仿宋_GB2312" w:eastAsia="仿宋_GB2312"/>
          <w:b w:val="0"/>
          <w:sz w:val="32"/>
        </w:rPr>
        <w:t>1.公共安全支出(类)2,669.19万元,占82.47%。</w:t>
      </w:r>
    </w:p>
    <w:p w14:paraId="19ADC2CF">
      <w:pPr>
        <w:spacing w:line="580" w:lineRule="exact"/>
        <w:ind w:firstLine="640"/>
        <w:jc w:val="both"/>
      </w:pPr>
      <w:r>
        <w:rPr>
          <w:rFonts w:ascii="仿宋_GB2312" w:hAnsi="仿宋_GB2312" w:eastAsia="仿宋_GB2312"/>
          <w:b w:val="0"/>
          <w:sz w:val="32"/>
        </w:rPr>
        <w:t>2.社会保障和就业支出(类)330.56万元,占10.21%。</w:t>
      </w:r>
    </w:p>
    <w:p w14:paraId="271B1FF0">
      <w:pPr>
        <w:spacing w:line="580" w:lineRule="exact"/>
        <w:ind w:firstLine="640"/>
        <w:jc w:val="both"/>
      </w:pPr>
      <w:r>
        <w:rPr>
          <w:rFonts w:ascii="仿宋_GB2312" w:hAnsi="仿宋_GB2312" w:eastAsia="仿宋_GB2312"/>
          <w:b w:val="0"/>
          <w:sz w:val="32"/>
        </w:rPr>
        <w:t>3.卫生健康支出(类)78.06万元,占2.41%。</w:t>
      </w:r>
    </w:p>
    <w:p w14:paraId="46DF9D6A">
      <w:pPr>
        <w:spacing w:line="580" w:lineRule="exact"/>
        <w:ind w:firstLine="640"/>
        <w:jc w:val="both"/>
      </w:pPr>
      <w:r>
        <w:rPr>
          <w:rFonts w:ascii="仿宋_GB2312" w:hAnsi="仿宋_GB2312" w:eastAsia="仿宋_GB2312"/>
          <w:b w:val="0"/>
          <w:sz w:val="32"/>
        </w:rPr>
        <w:t>4.住房保障支出(类)140.02万元,占4.33%。</w:t>
      </w:r>
    </w:p>
    <w:p w14:paraId="035F4B3C">
      <w:pPr>
        <w:spacing w:line="580" w:lineRule="exact"/>
        <w:ind w:firstLine="640"/>
        <w:jc w:val="both"/>
      </w:pPr>
      <w:r>
        <w:rPr>
          <w:rFonts w:ascii="仿宋_GB2312" w:hAnsi="仿宋_GB2312" w:eastAsia="仿宋_GB2312"/>
          <w:b w:val="0"/>
          <w:sz w:val="32"/>
        </w:rPr>
        <w:t>5.其他支出(类)18.63万元,占0.58%。</w:t>
      </w:r>
    </w:p>
    <w:p w14:paraId="4B03096D">
      <w:pPr>
        <w:spacing w:line="640" w:lineRule="exact"/>
        <w:ind w:firstLine="640"/>
        <w:jc w:val="both"/>
        <w:outlineLvl w:val="3"/>
      </w:pPr>
      <w:r>
        <w:rPr>
          <w:rFonts w:ascii="楷体_GB2312" w:hAnsi="楷体_GB2312" w:eastAsia="楷体_GB2312"/>
          <w:b/>
          <w:sz w:val="32"/>
        </w:rPr>
        <w:t>（三）一般公共预算财政拨款支出决算具体情况</w:t>
      </w:r>
    </w:p>
    <w:p w14:paraId="0A8F73D6">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1.一般公共服务支出(类)统战事务(款)宗教事务(项):支出决算数为0.00万元，比上年决算减少2.36万元，下降100.00%,主要原因是：本年减少驻寺人员经费。</w:t>
      </w:r>
    </w:p>
    <w:p w14:paraId="72043C59">
      <w:pPr>
        <w:spacing w:line="580" w:lineRule="exact"/>
        <w:ind w:firstLine="640"/>
        <w:jc w:val="both"/>
      </w:pPr>
      <w:r>
        <w:rPr>
          <w:rFonts w:ascii="仿宋_GB2312" w:hAnsi="仿宋_GB2312" w:eastAsia="仿宋_GB2312"/>
          <w:b w:val="0"/>
          <w:sz w:val="32"/>
        </w:rPr>
        <w:t>2.公共安全支出(类)检察(款)行政运行(项):支出决算数为1,965.39万元，比上年决算增加115.54万元，增长6.25%,主要原因是：本年在职人员工资调增，导致相关人员经费较上年有所增加。</w:t>
      </w:r>
    </w:p>
    <w:p w14:paraId="2393FDAF">
      <w:pPr>
        <w:spacing w:line="580" w:lineRule="exact"/>
        <w:ind w:firstLine="640"/>
        <w:jc w:val="both"/>
      </w:pPr>
      <w:r>
        <w:rPr>
          <w:rFonts w:ascii="仿宋_GB2312" w:hAnsi="仿宋_GB2312" w:eastAsia="仿宋_GB2312"/>
          <w:b w:val="0"/>
          <w:sz w:val="32"/>
        </w:rPr>
        <w:t>3.公共安全支出(类)检察(款)一般行政管理事务(项):支出决算数为9.00万元，比上年决算减少6.98万元，下降43.68%,主要原因是：本年减少当年指定居所监视居住项目经费。</w:t>
      </w:r>
    </w:p>
    <w:p w14:paraId="39C54F44">
      <w:pPr>
        <w:spacing w:line="580" w:lineRule="exact"/>
        <w:ind w:firstLine="640"/>
        <w:jc w:val="both"/>
      </w:pPr>
      <w:r>
        <w:rPr>
          <w:rFonts w:ascii="仿宋_GB2312" w:hAnsi="仿宋_GB2312" w:eastAsia="仿宋_GB2312"/>
          <w:b w:val="0"/>
          <w:sz w:val="32"/>
        </w:rPr>
        <w:t>4.公共安全支出(类)检察(款)检察监督(项):支出决算数为35.00万元，比上年决算增加35.00万元，增长100.00%,主要原因是：本年功能科目调整，未成</w:t>
      </w:r>
      <w:r>
        <w:rPr>
          <w:rFonts w:hint="eastAsia" w:ascii="仿宋_GB2312" w:hAnsi="仿宋_GB2312" w:eastAsia="仿宋_GB2312"/>
          <w:b w:val="0"/>
          <w:sz w:val="32"/>
          <w:lang w:eastAsia="zh-CN"/>
        </w:rPr>
        <w:t>年人</w:t>
      </w:r>
      <w:r>
        <w:rPr>
          <w:rFonts w:ascii="仿宋_GB2312" w:hAnsi="仿宋_GB2312" w:eastAsia="仿宋_GB2312"/>
          <w:b w:val="0"/>
          <w:sz w:val="32"/>
        </w:rPr>
        <w:t>保护工作经费上年在其他检察支出科目列支，本年在检察监督科目列支，导致经费较上年增加。</w:t>
      </w:r>
    </w:p>
    <w:p w14:paraId="7702E53F">
      <w:pPr>
        <w:spacing w:line="580" w:lineRule="exact"/>
        <w:ind w:firstLine="640"/>
        <w:jc w:val="both"/>
      </w:pPr>
      <w:r>
        <w:rPr>
          <w:rFonts w:ascii="仿宋_GB2312" w:hAnsi="仿宋_GB2312" w:eastAsia="仿宋_GB2312"/>
          <w:b w:val="0"/>
          <w:sz w:val="32"/>
        </w:rPr>
        <w:t>5.公共安全支出(类)检察(款)其他检察支出(项):支出决算数为659.80万元，比上年决算减少509.87万元，下降43.59%,主要原因是：本年减少公益诉讼专项经费、中央转移支付资金；本年功能科目调整，未成</w:t>
      </w:r>
      <w:r>
        <w:rPr>
          <w:rFonts w:hint="eastAsia" w:ascii="仿宋_GB2312" w:hAnsi="仿宋_GB2312" w:eastAsia="仿宋_GB2312"/>
          <w:b w:val="0"/>
          <w:sz w:val="32"/>
          <w:lang w:eastAsia="zh-CN"/>
        </w:rPr>
        <w:t>年人</w:t>
      </w:r>
      <w:r>
        <w:rPr>
          <w:rFonts w:ascii="仿宋_GB2312" w:hAnsi="仿宋_GB2312" w:eastAsia="仿宋_GB2312"/>
          <w:b w:val="0"/>
          <w:sz w:val="32"/>
        </w:rPr>
        <w:t>保护工作经费上年在其他检察支出科目列支，本年在检察监督科目列支，同时减少未成年保护工作经费，导致经费较上年减少。</w:t>
      </w:r>
    </w:p>
    <w:p w14:paraId="3B223835">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6.社会保障和就业支出(类)行政事业单位养老支出(款)行政单位离退休(项):支出决算数为46.64万元，比上年决算增加16.69万元，增长55.73%,主要原因是：本年退休人员增加，发放退休人员基础绩效，退休费支出增加。</w:t>
      </w:r>
    </w:p>
    <w:p w14:paraId="46901BF3">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161.75万元，比上年决算减少66.56万元，下降29.15%,主要原因是：本年科目调整，部分职业年金经费上年在本科目列支，本年在机关事业单位职业年金缴费支出科目列支，导致养老保险缴费支出较上年减少。</w:t>
      </w:r>
    </w:p>
    <w:p w14:paraId="0FE5A818">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122.18万元，比上年决算增加104.92万元，增长607.88%,主要原因是：本年科目调整，部分职业年金经费上年在机关事业单位基本养老保险缴费支出科目列支，本年在本科目列支，导致职业年金缴费支出较上年增加。</w:t>
      </w:r>
    </w:p>
    <w:p w14:paraId="59844B0A">
      <w:pPr>
        <w:spacing w:line="580" w:lineRule="exact"/>
        <w:ind w:firstLine="640"/>
        <w:jc w:val="both"/>
      </w:pPr>
      <w:r>
        <w:rPr>
          <w:rFonts w:ascii="仿宋_GB2312" w:hAnsi="仿宋_GB2312" w:eastAsia="仿宋_GB2312"/>
          <w:b w:val="0"/>
          <w:sz w:val="32"/>
        </w:rPr>
        <w:t>9.卫生健康支出(类)行政事业单位医疗(款)行政单位医疗(项):支出决算数为72.00万元，比上年决算减少10.57万元，下降12.80%,主要原因是：因退休人员医疗保险制度改革，退休人员基本医疗不再由单位缴纳，导致经费较上年减少。</w:t>
      </w:r>
    </w:p>
    <w:p w14:paraId="5DBE40F1">
      <w:pPr>
        <w:spacing w:line="580" w:lineRule="exact"/>
        <w:ind w:firstLine="640"/>
        <w:jc w:val="both"/>
      </w:pPr>
      <w:r>
        <w:rPr>
          <w:rFonts w:ascii="仿宋_GB2312" w:hAnsi="仿宋_GB2312" w:eastAsia="仿宋_GB2312"/>
          <w:b w:val="0"/>
          <w:sz w:val="32"/>
        </w:rPr>
        <w:t>10.卫生健康支出(类)行政事业单位医疗(款)公务员医疗补助(项):支出决算数为5.15万元，比上年决算减少0.01万元，下降0.19%,主要原因是：本年在职人员调入，退休，人员职级不同，缴费基数不同，导致公务员医疗补助较上年减少。</w:t>
      </w:r>
    </w:p>
    <w:p w14:paraId="7DD146F9">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11.卫生健康支出(类)行政事业单位医疗(款)其他行政事业单位医疗支出(项):支出决算数为0.90万元，比上年决算增加0.03万元，增长3.45%,主要原因是：本年在职人员工资基数调增，医疗缴费基数上涨，相应支出增加。</w:t>
      </w:r>
    </w:p>
    <w:p w14:paraId="749F9092">
      <w:pPr>
        <w:spacing w:line="580" w:lineRule="exact"/>
        <w:ind w:firstLine="640"/>
        <w:jc w:val="both"/>
      </w:pPr>
      <w:r>
        <w:rPr>
          <w:rFonts w:ascii="仿宋_GB2312" w:hAnsi="仿宋_GB2312" w:eastAsia="仿宋_GB2312"/>
          <w:b w:val="0"/>
          <w:sz w:val="32"/>
        </w:rPr>
        <w:t>12.住房保障支出(类)住房改革支出(款)住房公积金(项):支出决算数为140.02万元，比上年决算增加15.85万元，增长12.76%,主要原因是：本年在职人员工资基数调增，公积金缴费基数上涨，相应支出增加。</w:t>
      </w:r>
    </w:p>
    <w:p w14:paraId="1E4F0732">
      <w:pPr>
        <w:spacing w:line="580" w:lineRule="exact"/>
        <w:ind w:firstLine="640"/>
        <w:jc w:val="both"/>
      </w:pPr>
      <w:r>
        <w:rPr>
          <w:rFonts w:ascii="仿宋_GB2312" w:hAnsi="仿宋_GB2312" w:eastAsia="仿宋_GB2312"/>
          <w:b w:val="0"/>
          <w:sz w:val="32"/>
        </w:rPr>
        <w:t>13.其他支出(类)其他支出(款)其他支出(项):支出决算数为18.63万元，比上年决算减少8.01万元，下降30.07%,主要原因是：本年为民办实事工作队人员调整，人员减少，为民办实事工作队经费较上年减少。</w:t>
      </w:r>
    </w:p>
    <w:p w14:paraId="5C1E34E9">
      <w:pPr>
        <w:spacing w:line="640" w:lineRule="exact"/>
        <w:ind w:firstLine="640"/>
        <w:jc w:val="both"/>
        <w:outlineLvl w:val="2"/>
      </w:pPr>
      <w:r>
        <w:rPr>
          <w:rFonts w:ascii="黑体" w:hAnsi="黑体" w:eastAsia="黑体"/>
          <w:sz w:val="32"/>
        </w:rPr>
        <w:t>六、一般公共预算财政拨款基本支出决算情况说明</w:t>
      </w:r>
    </w:p>
    <w:p w14:paraId="2A6FE96D">
      <w:pPr>
        <w:spacing w:line="580" w:lineRule="exact"/>
        <w:ind w:firstLine="640"/>
        <w:jc w:val="both"/>
      </w:pPr>
      <w:r>
        <w:rPr>
          <w:rFonts w:ascii="仿宋_GB2312" w:hAnsi="仿宋_GB2312" w:eastAsia="仿宋_GB2312"/>
          <w:b w:val="0"/>
          <w:sz w:val="32"/>
        </w:rPr>
        <w:t>2024年度一般公共预算财政拨款基本支出2,517.67万元，其中：</w:t>
      </w:r>
      <w:r>
        <w:rPr>
          <w:rFonts w:ascii="仿宋_GB2312" w:hAnsi="仿宋_GB2312" w:eastAsia="仿宋_GB2312"/>
          <w:b/>
          <w:sz w:val="32"/>
        </w:rPr>
        <w:t>人员经费2,302.31万元，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奖励金。</w:t>
      </w:r>
    </w:p>
    <w:p w14:paraId="339FC684">
      <w:pPr>
        <w:spacing w:line="580" w:lineRule="exact"/>
        <w:ind w:firstLine="640"/>
        <w:jc w:val="both"/>
      </w:pPr>
      <w:r>
        <w:rPr>
          <w:rFonts w:ascii="仿宋_GB2312" w:hAnsi="仿宋_GB2312" w:eastAsia="仿宋_GB2312"/>
          <w:b/>
          <w:sz w:val="32"/>
        </w:rPr>
        <w:t>公用经费215.35万元，</w:t>
      </w:r>
      <w:r>
        <w:rPr>
          <w:rFonts w:ascii="仿宋_GB2312" w:hAnsi="仿宋_GB2312" w:eastAsia="仿宋_GB2312"/>
          <w:b w:val="0"/>
          <w:sz w:val="32"/>
        </w:rPr>
        <w:t>包括：水费、电费、邮电费、取暖费、物业管理费、维修（护）费、公务接待费、劳务费、工会经费、福利费、公务用车运行维护费、其他商品和服务支出。</w:t>
      </w:r>
    </w:p>
    <w:p w14:paraId="17E01256">
      <w:pPr>
        <w:spacing w:line="640" w:lineRule="exact"/>
        <w:ind w:firstLine="640"/>
        <w:jc w:val="both"/>
        <w:outlineLvl w:val="2"/>
      </w:pPr>
      <w:r>
        <w:rPr>
          <w:rFonts w:ascii="黑体" w:hAnsi="黑体" w:eastAsia="黑体"/>
          <w:sz w:val="32"/>
        </w:rPr>
        <w:t>七、政府性基金预算财政拨款收入支出决算情况说明</w:t>
      </w:r>
    </w:p>
    <w:p w14:paraId="343B5FF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C83D930">
      <w:pPr>
        <w:spacing w:line="640" w:lineRule="exact"/>
        <w:ind w:firstLine="640"/>
        <w:jc w:val="both"/>
        <w:outlineLvl w:val="2"/>
      </w:pPr>
      <w:r>
        <w:rPr>
          <w:rFonts w:ascii="黑体" w:hAnsi="黑体" w:eastAsia="黑体"/>
          <w:sz w:val="32"/>
        </w:rPr>
        <w:t>八、国有资本经营预算财政拨款收入支出决算情况说明</w:t>
      </w:r>
    </w:p>
    <w:p w14:paraId="69A6AA6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72E92BB">
      <w:pPr>
        <w:spacing w:line="640" w:lineRule="exact"/>
        <w:ind w:firstLine="640"/>
        <w:jc w:val="both"/>
        <w:outlineLvl w:val="2"/>
      </w:pPr>
      <w:r>
        <w:rPr>
          <w:rFonts w:ascii="黑体" w:hAnsi="黑体" w:eastAsia="黑体"/>
          <w:sz w:val="32"/>
        </w:rPr>
        <w:t>九、财政拨款“三公”经费支出决算情况说明</w:t>
      </w:r>
    </w:p>
    <w:p w14:paraId="39F91D46">
      <w:pPr>
        <w:spacing w:line="580" w:lineRule="exact"/>
        <w:ind w:firstLine="640"/>
        <w:jc w:val="both"/>
      </w:pPr>
      <w:r>
        <w:rPr>
          <w:rFonts w:ascii="仿宋_GB2312" w:hAnsi="仿宋_GB2312" w:eastAsia="仿宋_GB2312"/>
          <w:b/>
          <w:sz w:val="32"/>
        </w:rPr>
        <w:t>2024年度财政拨款“三公”经费支出45.96万元，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45.00万元，占97.91%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公务用车运行维护费与上年一致无变化。公务接待费支出0.96万元，占2.09%，比上年增加0.00万元，增长0.00%，主要原因是：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5AA38242">
      <w:pPr>
        <w:spacing w:line="580" w:lineRule="exact"/>
        <w:ind w:firstLine="640"/>
        <w:jc w:val="both"/>
      </w:pPr>
      <w:r>
        <w:rPr>
          <w:rFonts w:ascii="仿宋_GB2312" w:hAnsi="仿宋_GB2312" w:eastAsia="仿宋_GB2312"/>
          <w:b/>
          <w:sz w:val="32"/>
        </w:rPr>
        <w:t>具体情况如下：</w:t>
      </w:r>
    </w:p>
    <w:p w14:paraId="26A2673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3751354">
      <w:pPr>
        <w:spacing w:line="580" w:lineRule="exact"/>
        <w:ind w:firstLine="640"/>
        <w:jc w:val="both"/>
      </w:pPr>
      <w:r>
        <w:rPr>
          <w:rFonts w:ascii="仿宋_GB2312" w:hAnsi="仿宋_GB2312" w:eastAsia="仿宋_GB2312"/>
          <w:b w:val="0"/>
          <w:sz w:val="32"/>
        </w:rPr>
        <w:t>公务用车购置及运行维护费45.00万元，其中：公务用车购置费0.00万元，公务用车运行维护费45.00万元。公务用车运行维护费开支内容包括车辆加油费、维修费、保险费、审车费、过路费等。公务用车购置数0辆，公务用车保有量18辆。国有资产占用情况中固定资产车辆18辆，与公务用车保有量差异原因是：本单位固定资产车辆与公务用车保有量一致无差异。</w:t>
      </w:r>
    </w:p>
    <w:p w14:paraId="7762DF59">
      <w:pPr>
        <w:spacing w:line="580" w:lineRule="exact"/>
        <w:ind w:firstLine="640"/>
        <w:jc w:val="both"/>
      </w:pPr>
      <w:r>
        <w:rPr>
          <w:rFonts w:ascii="仿宋_GB2312" w:hAnsi="仿宋_GB2312" w:eastAsia="仿宋_GB2312"/>
          <w:b w:val="0"/>
          <w:sz w:val="32"/>
        </w:rPr>
        <w:t>公务接待费0.96万元，开支内容包括接待上级领导检查、督导组检查、工作小组考察学习产生的就餐费。单位全年安排的国内公务接待8批次，102人次。</w:t>
      </w:r>
    </w:p>
    <w:p w14:paraId="2FAC000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45.96万元，决算数45.96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45.00万元，决算数45.00万元，预决算差异率0.00%，主要原因是：严格按照预算执行，预决算无差异。公务接待费全年预算数0.96万元，决算数0.96万元，预决算差异率0.00%，主要原因是：严格按照预算执行，预决算无差异。</w:t>
      </w:r>
    </w:p>
    <w:p w14:paraId="1EA8D237">
      <w:pPr>
        <w:spacing w:line="640" w:lineRule="exact"/>
        <w:ind w:firstLine="640"/>
        <w:jc w:val="both"/>
        <w:outlineLvl w:val="2"/>
      </w:pPr>
      <w:r>
        <w:rPr>
          <w:rFonts w:ascii="黑体" w:hAnsi="黑体" w:eastAsia="黑体"/>
          <w:sz w:val="32"/>
        </w:rPr>
        <w:t>十、其他重要事项的情况说明</w:t>
      </w:r>
    </w:p>
    <w:p w14:paraId="09366D68">
      <w:pPr>
        <w:spacing w:line="640" w:lineRule="exact"/>
        <w:ind w:firstLine="640"/>
        <w:jc w:val="both"/>
        <w:outlineLvl w:val="3"/>
      </w:pPr>
      <w:r>
        <w:rPr>
          <w:rFonts w:ascii="楷体_GB2312" w:hAnsi="楷体_GB2312" w:eastAsia="楷体_GB2312"/>
          <w:b/>
          <w:sz w:val="32"/>
        </w:rPr>
        <w:t>（一）机关运行经费及公用经费支出情况</w:t>
      </w:r>
    </w:p>
    <w:p w14:paraId="3377A1C4">
      <w:pPr>
        <w:spacing w:line="580" w:lineRule="exact"/>
        <w:ind w:firstLine="640"/>
        <w:jc w:val="both"/>
      </w:pPr>
      <w:r>
        <w:rPr>
          <w:rFonts w:ascii="仿宋_GB2312" w:hAnsi="仿宋_GB2312" w:eastAsia="仿宋_GB2312"/>
          <w:b w:val="0"/>
          <w:sz w:val="32"/>
        </w:rPr>
        <w:t>2024年度昌吉回族自治州人民检察院（行政单位和参照公务员法管理事业单位）机关运行经费支出215.35万元，比上年减少27.05万元，下降11.16%，主要原因是：严控经费支出，厉行节约，减少办公费、维修费。</w:t>
      </w:r>
    </w:p>
    <w:p w14:paraId="2E20FE76">
      <w:pPr>
        <w:spacing w:line="640" w:lineRule="exact"/>
        <w:ind w:firstLine="640"/>
        <w:jc w:val="both"/>
        <w:outlineLvl w:val="3"/>
      </w:pPr>
      <w:r>
        <w:rPr>
          <w:rFonts w:ascii="楷体_GB2312" w:hAnsi="楷体_GB2312" w:eastAsia="楷体_GB2312"/>
          <w:b/>
          <w:sz w:val="32"/>
        </w:rPr>
        <w:t>（二）政府采购情况</w:t>
      </w:r>
    </w:p>
    <w:p w14:paraId="35D93ADC">
      <w:pPr>
        <w:spacing w:line="580" w:lineRule="exact"/>
        <w:ind w:firstLine="640"/>
        <w:jc w:val="both"/>
      </w:pPr>
      <w:r>
        <w:rPr>
          <w:rFonts w:ascii="仿宋_GB2312" w:hAnsi="仿宋_GB2312" w:eastAsia="仿宋_GB2312"/>
          <w:b w:val="0"/>
          <w:sz w:val="32"/>
        </w:rPr>
        <w:t>2024年度政府采购支出总额449.96万元，其中：政府采购货物支出289.16万元、政府采购工程支出2.00万元、政府采购服务支出158.81万元。</w:t>
      </w:r>
    </w:p>
    <w:p w14:paraId="3171070A">
      <w:pPr>
        <w:spacing w:line="580" w:lineRule="exact"/>
        <w:ind w:firstLine="640"/>
        <w:jc w:val="both"/>
      </w:pPr>
      <w:r>
        <w:rPr>
          <w:rFonts w:ascii="仿宋_GB2312" w:hAnsi="仿宋_GB2312" w:eastAsia="仿宋_GB2312"/>
          <w:b w:val="0"/>
          <w:sz w:val="32"/>
        </w:rPr>
        <w:t>授予中小企业合同金额432.68万元，占政府采购支出总额的96.16%，其中：授予小微企业合同金额412.25万元，占政府采购支出总额的91.62%。</w:t>
      </w:r>
    </w:p>
    <w:p w14:paraId="5C0A7C87">
      <w:pPr>
        <w:spacing w:line="640" w:lineRule="exact"/>
        <w:ind w:firstLine="640"/>
        <w:jc w:val="both"/>
        <w:outlineLvl w:val="3"/>
      </w:pPr>
      <w:r>
        <w:rPr>
          <w:rFonts w:ascii="楷体_GB2312" w:hAnsi="楷体_GB2312" w:eastAsia="楷体_GB2312"/>
          <w:b/>
          <w:sz w:val="32"/>
        </w:rPr>
        <w:t>（三）国有资产占用情况说明</w:t>
      </w:r>
    </w:p>
    <w:p w14:paraId="4A2D8FE8">
      <w:pPr>
        <w:spacing w:line="580" w:lineRule="exact"/>
        <w:ind w:firstLine="640"/>
        <w:jc w:val="both"/>
      </w:pPr>
      <w:r>
        <w:rPr>
          <w:rFonts w:ascii="仿宋_GB2312" w:hAnsi="仿宋_GB2312" w:eastAsia="仿宋_GB2312"/>
          <w:b w:val="0"/>
          <w:sz w:val="32"/>
        </w:rPr>
        <w:t>截至2024年12月31日，房屋12,802.86平方米，价值3,510.74万元。车辆18辆，价值500.99万元，其中：副部（省）级及以上领导用车0辆、主要负责人用车0辆、机要通信用车0辆、应急保障用车0辆、执法执勤用车16辆、特种专业技术用车0辆、离退休干部服务用车0辆、其他用车2辆，其他用车主要是：一般公务用车。单价100万元（含）以上设备（不含车辆）1台（套）。</w:t>
      </w:r>
    </w:p>
    <w:p w14:paraId="6494F9A7">
      <w:pPr>
        <w:spacing w:line="640" w:lineRule="exact"/>
        <w:ind w:firstLine="640"/>
        <w:jc w:val="both"/>
        <w:outlineLvl w:val="2"/>
      </w:pPr>
      <w:r>
        <w:rPr>
          <w:rFonts w:ascii="黑体" w:hAnsi="黑体" w:eastAsia="黑体"/>
          <w:sz w:val="32"/>
        </w:rPr>
        <w:t>十一、预算绩效的情况说明</w:t>
      </w:r>
    </w:p>
    <w:p w14:paraId="149DB1C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根据预算绩效管理要求，本单位2024年度预算绩效管理形成整体支出绩效自评表1个，全年预算总额3,881.39万元，实际执行总额3,540.55万元；预算绩效评价项目</w:t>
      </w:r>
      <w:r>
        <w:rPr>
          <w:rFonts w:hint="eastAsia" w:ascii="仿宋_GB2312" w:hAnsi="仿宋_GB2312" w:eastAsia="仿宋_GB2312"/>
          <w:b w:val="0"/>
          <w:sz w:val="32"/>
          <w:lang w:val="en-US" w:eastAsia="zh-CN"/>
        </w:rPr>
        <w:t>6</w:t>
      </w:r>
      <w:r>
        <w:rPr>
          <w:rFonts w:ascii="仿宋_GB2312" w:hAnsi="仿宋_GB2312" w:eastAsia="仿宋_GB2312"/>
          <w:b w:val="0"/>
          <w:sz w:val="32"/>
        </w:rPr>
        <w:t>个，全年预算数</w:t>
      </w:r>
      <w:r>
        <w:rPr>
          <w:rFonts w:hint="eastAsia" w:ascii="仿宋_GB2312" w:hAnsi="仿宋_GB2312" w:eastAsia="仿宋_GB2312"/>
          <w:b w:val="0"/>
          <w:sz w:val="32"/>
        </w:rPr>
        <w:t>1</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088.40</w:t>
      </w:r>
      <w:r>
        <w:rPr>
          <w:rFonts w:ascii="仿宋_GB2312" w:hAnsi="仿宋_GB2312" w:eastAsia="仿宋_GB2312"/>
          <w:b w:val="0"/>
          <w:sz w:val="32"/>
        </w:rPr>
        <w:t>万元，全年执行数</w:t>
      </w:r>
      <w:r>
        <w:rPr>
          <w:rFonts w:hint="eastAsia" w:ascii="仿宋_GB2312" w:hAnsi="仿宋_GB2312" w:eastAsia="仿宋_GB2312"/>
          <w:b w:val="0"/>
          <w:sz w:val="32"/>
        </w:rPr>
        <w:t>1</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007.00</w:t>
      </w:r>
      <w:r>
        <w:rPr>
          <w:rFonts w:ascii="仿宋_GB2312" w:hAnsi="仿宋_GB2312" w:eastAsia="仿宋_GB2312"/>
          <w:b w:val="0"/>
          <w:sz w:val="32"/>
        </w:rPr>
        <w:t>万元。预算绩效管理取得的成效：一是确保资金的高效使用，切实发挥财政资金的使用效果；二是建立“预算编制-执行</w:t>
      </w:r>
      <w:r>
        <w:rPr>
          <w:rFonts w:hint="eastAsia" w:ascii="仿宋_GB2312" w:hAnsi="仿宋_GB2312" w:eastAsia="仿宋_GB2312"/>
          <w:b w:val="0"/>
          <w:sz w:val="32"/>
          <w:lang w:eastAsia="zh-CN"/>
        </w:rPr>
        <w:t>－</w:t>
      </w:r>
      <w:r>
        <w:rPr>
          <w:rFonts w:ascii="仿宋_GB2312" w:hAnsi="仿宋_GB2312" w:eastAsia="仿宋_GB2312"/>
          <w:b w:val="0"/>
          <w:sz w:val="32"/>
        </w:rPr>
        <w:t>评价</w:t>
      </w:r>
      <w:r>
        <w:rPr>
          <w:rFonts w:hint="eastAsia" w:ascii="仿宋_GB2312" w:hAnsi="仿宋_GB2312" w:eastAsia="仿宋_GB2312"/>
          <w:b w:val="0"/>
          <w:sz w:val="32"/>
          <w:lang w:eastAsia="zh-CN"/>
        </w:rPr>
        <w:t>－</w:t>
      </w:r>
      <w:r>
        <w:rPr>
          <w:rFonts w:ascii="仿宋_GB2312" w:hAnsi="仿宋_GB2312" w:eastAsia="仿宋_GB2312"/>
          <w:b w:val="0"/>
          <w:sz w:val="32"/>
        </w:rPr>
        <w:t>应用”全流程绩效管理机制，实现项目预算绩效目标申报率100%；三是根据绩效评价结果，优先保障高效益项目，提升资金使用效益。发现的问题及原因：一是部分项目绩效目标设定不够精准，存在“指标模糊、量化不足”情况，缺乏可衡量的量化标准。业务部门对绩效目标编制理解不深，财务部门与业务部门沟通衔接不充分，前期目标论证缺乏专业指导；二是绩效监控时效性不足，部分项目执行中未及时跟踪绩效目标完成进度，导致个别项目后期出现资金闲置或目标偏离，部分工作人员对绩效监控重视程度不够，重资金拨付、轻过程管理。下一步改进措施：一是强化绩效目标管理，组织业务部门开展绩效目标编制培训，明确量化指标设定标准，确保目标可衡量、可考核；二是建立动态监控机制，实时跟踪项目资金使用和绩效目标完成情况；定期发布监控报告，对偏离目标的项目及时预警，督促整改。具体附整体支出绩效自评表，</w:t>
      </w:r>
      <w:bookmarkStart w:id="0" w:name="_GoBack"/>
      <w:r>
        <w:rPr>
          <w:rFonts w:ascii="仿宋_GB2312" w:hAnsi="仿宋_GB2312" w:eastAsia="仿宋_GB2312"/>
          <w:b w:val="0"/>
          <w:sz w:val="32"/>
        </w:rPr>
        <w:t>项目支出绩效自评表</w:t>
      </w:r>
      <w:bookmarkEnd w:id="0"/>
      <w:r>
        <w:rPr>
          <w:rFonts w:ascii="仿宋_GB2312" w:hAnsi="仿宋_GB2312" w:eastAsia="仿宋_GB2312"/>
          <w:b w:val="0"/>
          <w:sz w:val="32"/>
        </w:rPr>
        <w:t>和评价报告。</w:t>
      </w:r>
    </w:p>
    <w:p w14:paraId="0A14A95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B7E482A">
        <w:tblPrEx>
          <w:tblCellMar>
            <w:top w:w="0" w:type="dxa"/>
            <w:left w:w="108" w:type="dxa"/>
            <w:bottom w:w="0" w:type="dxa"/>
            <w:right w:w="108" w:type="dxa"/>
          </w:tblCellMar>
        </w:tblPrEx>
        <w:tc>
          <w:tcPr>
            <w:tcW w:w="8847" w:type="dxa"/>
            <w:gridSpan w:val="9"/>
            <w:vAlign w:val="center"/>
          </w:tcPr>
          <w:p w14:paraId="3A787FDE">
            <w:pPr>
              <w:jc w:val="center"/>
            </w:pPr>
            <w:r>
              <w:rPr>
                <w:rFonts w:ascii="宋体" w:hAnsi="宋体" w:eastAsia="宋体"/>
                <w:sz w:val="24"/>
              </w:rPr>
              <w:t>单位整体支出绩效自评表</w:t>
            </w:r>
          </w:p>
        </w:tc>
      </w:tr>
      <w:tr w14:paraId="1E720B72">
        <w:tblPrEx>
          <w:tblCellMar>
            <w:top w:w="0" w:type="dxa"/>
            <w:left w:w="108" w:type="dxa"/>
            <w:bottom w:w="0" w:type="dxa"/>
            <w:right w:w="108" w:type="dxa"/>
          </w:tblCellMar>
        </w:tblPrEx>
        <w:tc>
          <w:tcPr>
            <w:tcW w:w="8847" w:type="dxa"/>
            <w:gridSpan w:val="9"/>
            <w:vAlign w:val="center"/>
          </w:tcPr>
          <w:p w14:paraId="09B28D86">
            <w:pPr>
              <w:jc w:val="center"/>
            </w:pPr>
            <w:r>
              <w:rPr>
                <w:rFonts w:ascii="宋体" w:hAnsi="宋体" w:eastAsia="宋体"/>
                <w:sz w:val="24"/>
              </w:rPr>
              <w:t>（2024年度）</w:t>
            </w:r>
          </w:p>
        </w:tc>
      </w:tr>
      <w:tr w14:paraId="1D43F01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0F2F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3B9CF5B">
            <w:pPr>
              <w:jc w:val="center"/>
            </w:pPr>
            <w:r>
              <w:rPr>
                <w:rFonts w:ascii="宋体" w:hAnsi="宋体" w:eastAsia="宋体"/>
                <w:sz w:val="16"/>
              </w:rPr>
              <w:t>昌吉回族自治州人民检察院</w:t>
            </w:r>
          </w:p>
        </w:tc>
      </w:tr>
      <w:tr w14:paraId="7725CF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40A6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74C8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7C26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6143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A245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A64C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2E26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730CD">
            <w:pPr>
              <w:jc w:val="center"/>
            </w:pPr>
            <w:r>
              <w:rPr>
                <w:rFonts w:ascii="宋体" w:hAnsi="宋体" w:eastAsia="宋体"/>
                <w:sz w:val="16"/>
              </w:rPr>
              <w:t>得分</w:t>
            </w:r>
          </w:p>
        </w:tc>
      </w:tr>
      <w:tr w14:paraId="279DBC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876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44D3E">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FE47F">
            <w:pPr>
              <w:jc w:val="center"/>
            </w:pPr>
            <w:r>
              <w:rPr>
                <w:rFonts w:ascii="宋体" w:hAnsi="宋体" w:eastAsia="宋体"/>
                <w:sz w:val="16"/>
              </w:rPr>
              <w:t>573.50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7D6B9">
            <w:pPr>
              <w:jc w:val="center"/>
            </w:pPr>
            <w:r>
              <w:rPr>
                <w:rFonts w:ascii="宋体" w:hAnsi="宋体" w:eastAsia="宋体"/>
                <w:sz w:val="16"/>
              </w:rPr>
              <w:t>674.80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C21DB">
            <w:pPr>
              <w:jc w:val="center"/>
            </w:pPr>
            <w:r>
              <w:rPr>
                <w:rFonts w:ascii="宋体" w:hAnsi="宋体" w:eastAsia="宋体"/>
                <w:sz w:val="16"/>
              </w:rPr>
              <w:t>674.80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527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0AC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0D882">
            <w:pPr>
              <w:jc w:val="center"/>
            </w:pPr>
            <w:r>
              <w:rPr>
                <w:rFonts w:ascii="宋体" w:hAnsi="宋体" w:eastAsia="宋体"/>
                <w:sz w:val="16"/>
              </w:rPr>
              <w:t>-</w:t>
            </w:r>
          </w:p>
        </w:tc>
      </w:tr>
      <w:tr w14:paraId="023516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54E4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42D9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91EBA">
            <w:pPr>
              <w:jc w:val="center"/>
            </w:pPr>
            <w:r>
              <w:rPr>
                <w:rFonts w:ascii="宋体" w:hAnsi="宋体" w:eastAsia="宋体"/>
                <w:sz w:val="16"/>
              </w:rPr>
              <w:t>2,372.91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88560">
            <w:pPr>
              <w:jc w:val="center"/>
            </w:pPr>
            <w:r>
              <w:rPr>
                <w:rFonts w:ascii="宋体" w:hAnsi="宋体" w:eastAsia="宋体"/>
                <w:sz w:val="16"/>
              </w:rPr>
              <w:t>2,561.67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B5D67">
            <w:pPr>
              <w:jc w:val="center"/>
            </w:pPr>
            <w:r>
              <w:rPr>
                <w:rFonts w:ascii="宋体" w:hAnsi="宋体" w:eastAsia="宋体"/>
                <w:sz w:val="16"/>
              </w:rPr>
              <w:t>2,561.66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9CA3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54B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37BED">
            <w:pPr>
              <w:jc w:val="center"/>
            </w:pPr>
            <w:r>
              <w:rPr>
                <w:rFonts w:ascii="宋体" w:hAnsi="宋体" w:eastAsia="宋体"/>
                <w:sz w:val="16"/>
              </w:rPr>
              <w:t>-</w:t>
            </w:r>
          </w:p>
        </w:tc>
      </w:tr>
      <w:tr w14:paraId="038375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B67F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EB81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7342C">
            <w:pPr>
              <w:jc w:val="center"/>
            </w:pPr>
            <w:r>
              <w:rPr>
                <w:rFonts w:ascii="宋体" w:hAnsi="宋体" w:eastAsia="宋体"/>
                <w:sz w:val="16"/>
              </w:rPr>
              <w:t>429.80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B2FA0">
            <w:pPr>
              <w:jc w:val="center"/>
            </w:pPr>
            <w:r>
              <w:rPr>
                <w:rFonts w:ascii="宋体" w:hAnsi="宋体" w:eastAsia="宋体"/>
                <w:sz w:val="16"/>
              </w:rPr>
              <w:t>644.92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20B20">
            <w:pPr>
              <w:jc w:val="center"/>
            </w:pPr>
            <w:r>
              <w:rPr>
                <w:rFonts w:ascii="宋体" w:hAnsi="宋体" w:eastAsia="宋体"/>
                <w:sz w:val="16"/>
              </w:rPr>
              <w:t>304.09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672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126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45395">
            <w:pPr>
              <w:jc w:val="center"/>
            </w:pPr>
            <w:r>
              <w:rPr>
                <w:rFonts w:ascii="宋体" w:hAnsi="宋体" w:eastAsia="宋体"/>
                <w:sz w:val="16"/>
              </w:rPr>
              <w:t>-</w:t>
            </w:r>
          </w:p>
        </w:tc>
      </w:tr>
      <w:tr w14:paraId="231D9B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F569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28F6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E3B8C">
            <w:pPr>
              <w:jc w:val="center"/>
            </w:pPr>
            <w:r>
              <w:rPr>
                <w:rFonts w:ascii="宋体" w:hAnsi="宋体" w:eastAsia="宋体"/>
                <w:sz w:val="16"/>
              </w:rPr>
              <w:t>3,376.21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E2F76">
            <w:pPr>
              <w:jc w:val="center"/>
            </w:pPr>
            <w:r>
              <w:rPr>
                <w:rFonts w:ascii="宋体" w:hAnsi="宋体" w:eastAsia="宋体"/>
                <w:sz w:val="16"/>
              </w:rPr>
              <w:t>3,881.39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03111">
            <w:pPr>
              <w:jc w:val="center"/>
            </w:pPr>
            <w:r>
              <w:rPr>
                <w:rFonts w:ascii="宋体" w:hAnsi="宋体" w:eastAsia="宋体"/>
                <w:sz w:val="16"/>
              </w:rPr>
              <w:t>3,540.55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5DB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31B9C">
            <w:pPr>
              <w:jc w:val="center"/>
            </w:pPr>
            <w:r>
              <w:rPr>
                <w:rFonts w:ascii="宋体" w:hAnsi="宋体" w:eastAsia="宋体"/>
                <w:sz w:val="16"/>
              </w:rPr>
              <w:t>91.22%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518FE">
            <w:pPr>
              <w:jc w:val="center"/>
            </w:pPr>
            <w:r>
              <w:rPr>
                <w:rFonts w:ascii="宋体" w:hAnsi="宋体" w:eastAsia="宋体"/>
                <w:sz w:val="16"/>
              </w:rPr>
              <w:t>9.12</w:t>
            </w:r>
          </w:p>
        </w:tc>
      </w:tr>
      <w:tr w14:paraId="50B55B3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1E62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DADDB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953EAB">
            <w:pPr>
              <w:jc w:val="center"/>
            </w:pPr>
            <w:r>
              <w:rPr>
                <w:rFonts w:ascii="宋体" w:hAnsi="宋体" w:eastAsia="宋体"/>
                <w:sz w:val="16"/>
              </w:rPr>
              <w:t>实际完成情况</w:t>
            </w:r>
          </w:p>
        </w:tc>
      </w:tr>
      <w:tr w14:paraId="763769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7348E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0775EF">
            <w:pPr>
              <w:jc w:val="both"/>
            </w:pPr>
            <w:r>
              <w:rPr>
                <w:rFonts w:ascii="宋体" w:hAnsi="宋体" w:eastAsia="宋体"/>
                <w:sz w:val="16"/>
              </w:rPr>
              <w:t>深入贯彻习近平新时代中国特色社会主义思想，深入贯彻党的路线方针政策和决策部署，聚焦社会稳定和长治久安总目标，全面优化刑事检察监督,保障被监管人的合法权益；持续加强</w:t>
            </w:r>
            <w:r>
              <w:rPr>
                <w:rFonts w:hint="eastAsia" w:ascii="宋体" w:hAnsi="宋体"/>
                <w:sz w:val="16"/>
                <w:lang w:eastAsia="zh-CN"/>
              </w:rPr>
              <w:t>民事</w:t>
            </w:r>
            <w:r>
              <w:rPr>
                <w:rFonts w:ascii="宋体" w:hAnsi="宋体" w:eastAsia="宋体"/>
                <w:sz w:val="16"/>
              </w:rPr>
              <w:t>行政检察监督；大力推进公益诉讼检察 ；不断深化信访工作；打造忠诚干净担当的过硬检察队伍，保障检察业务工作正常运行，保障检察人员专项福利。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2EEBB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全年预算数为3881.39万元，全年执行数为3540.56万元，总预算执行率为91.22%。2024年</w:t>
            </w:r>
            <w:r>
              <w:rPr>
                <w:rFonts w:hint="eastAsia" w:ascii="宋体" w:hAnsi="宋体"/>
                <w:sz w:val="16"/>
                <w:lang w:eastAsia="zh-CN"/>
              </w:rPr>
              <w:t>本单位</w:t>
            </w:r>
            <w:r>
              <w:rPr>
                <w:rFonts w:ascii="宋体" w:hAnsi="宋体" w:eastAsia="宋体"/>
                <w:sz w:val="16"/>
              </w:rPr>
              <w:t>完成以下工作内容：1.州院自办公益诉讼案件3件；2.开展未成年人保护法治宣传6次；3.司法救助案件办结率100%；4.认罪认罚从宽适用率84.39%等。通过以上工作的实施，持续筑牢司法公正防线。</w:t>
            </w:r>
          </w:p>
        </w:tc>
      </w:tr>
      <w:tr w14:paraId="7D33626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AFD5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D8DA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DC5A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3604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092E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EEBD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6A30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87EB5">
            <w:pPr>
              <w:jc w:val="center"/>
            </w:pPr>
            <w:r>
              <w:rPr>
                <w:rFonts w:ascii="宋体" w:hAnsi="宋体" w:eastAsia="宋体"/>
                <w:sz w:val="16"/>
              </w:rPr>
              <w:t>得分</w:t>
            </w:r>
          </w:p>
        </w:tc>
      </w:tr>
      <w:tr w14:paraId="619158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B4858F">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B3AFC">
            <w:pPr>
              <w:jc w:val="center"/>
            </w:pPr>
            <w:r>
              <w:rPr>
                <w:rFonts w:ascii="宋体" w:hAnsi="宋体" w:eastAsia="宋体"/>
                <w:sz w:val="16"/>
              </w:rPr>
              <w:t>州院自办公益诉讼案件</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CDCFC">
            <w:pPr>
              <w:jc w:val="center"/>
            </w:pPr>
            <w:r>
              <w:rPr>
                <w:rFonts w:ascii="宋体" w:hAnsi="宋体" w:eastAsia="宋体"/>
                <w:sz w:val="16"/>
              </w:rPr>
              <w:t>州院自办公益诉讼案件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E25CD">
            <w:pPr>
              <w:jc w:val="center"/>
            </w:pPr>
            <w:r>
              <w:rPr>
                <w:rFonts w:ascii="宋体" w:hAnsi="宋体" w:eastAsia="宋体"/>
                <w:sz w:val="16"/>
              </w:rPr>
              <w:t>&gt;=3件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96900">
            <w:pPr>
              <w:jc w:val="center"/>
            </w:pPr>
            <w:r>
              <w:rPr>
                <w:rFonts w:ascii="宋体" w:hAnsi="宋体" w:eastAsia="宋体"/>
                <w:sz w:val="16"/>
              </w:rPr>
              <w:t>昌吉州人民检察院绩效考核指标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A447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FFA17">
            <w:pPr>
              <w:jc w:val="center"/>
            </w:pPr>
            <w:r>
              <w:rPr>
                <w:rFonts w:ascii="宋体" w:hAnsi="宋体" w:eastAsia="宋体"/>
                <w:sz w:val="16"/>
              </w:rPr>
              <w:t>3件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08386">
            <w:pPr>
              <w:jc w:val="center"/>
            </w:pPr>
            <w:r>
              <w:rPr>
                <w:rFonts w:ascii="宋体" w:hAnsi="宋体" w:eastAsia="宋体"/>
                <w:sz w:val="16"/>
              </w:rPr>
              <w:t>20</w:t>
            </w:r>
          </w:p>
        </w:tc>
      </w:tr>
      <w:tr w14:paraId="48C9D4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B341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5F09E">
            <w:pPr>
              <w:jc w:val="center"/>
            </w:pPr>
            <w:r>
              <w:rPr>
                <w:rFonts w:ascii="宋体" w:hAnsi="宋体" w:eastAsia="宋体"/>
                <w:sz w:val="16"/>
              </w:rPr>
              <w:t>开展未成年人保护法治宣传</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661AA">
            <w:pPr>
              <w:jc w:val="center"/>
            </w:pPr>
            <w:r>
              <w:rPr>
                <w:rFonts w:ascii="宋体" w:hAnsi="宋体" w:eastAsia="宋体"/>
                <w:sz w:val="16"/>
              </w:rPr>
              <w:t>开展未成年人保护法治宣传3次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DF927">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7009B">
            <w:pPr>
              <w:jc w:val="center"/>
            </w:pPr>
            <w:r>
              <w:rPr>
                <w:rFonts w:ascii="宋体" w:hAnsi="宋体" w:eastAsia="宋体"/>
                <w:sz w:val="16"/>
              </w:rPr>
              <w:t>昌吉州人民检察院绩效考核指标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4010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6CEA2">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8660B">
            <w:pPr>
              <w:jc w:val="center"/>
            </w:pPr>
            <w:r>
              <w:rPr>
                <w:rFonts w:ascii="宋体" w:hAnsi="宋体" w:eastAsia="宋体"/>
                <w:sz w:val="16"/>
              </w:rPr>
              <w:t>20</w:t>
            </w:r>
          </w:p>
        </w:tc>
      </w:tr>
      <w:tr w14:paraId="06FA59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5C17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60814">
            <w:pPr>
              <w:jc w:val="center"/>
            </w:pPr>
            <w:r>
              <w:rPr>
                <w:rFonts w:ascii="宋体" w:hAnsi="宋体" w:eastAsia="宋体"/>
                <w:sz w:val="16"/>
              </w:rPr>
              <w:t>司法救助案件办结率，以提请审批案件为办结结点</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70D6D">
            <w:pPr>
              <w:jc w:val="center"/>
            </w:pPr>
            <w:r>
              <w:rPr>
                <w:rFonts w:ascii="宋体" w:hAnsi="宋体" w:eastAsia="宋体"/>
                <w:sz w:val="16"/>
              </w:rPr>
              <w:t>司法救助案件办结率，以提请审批案件为办结结点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05D1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1775D">
            <w:pPr>
              <w:jc w:val="center"/>
            </w:pPr>
            <w:r>
              <w:rPr>
                <w:rFonts w:ascii="宋体" w:hAnsi="宋体" w:eastAsia="宋体"/>
                <w:sz w:val="16"/>
              </w:rPr>
              <w:t>昌吉州人民检察院绩效考核指标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982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696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248EA">
            <w:pPr>
              <w:jc w:val="center"/>
            </w:pPr>
            <w:r>
              <w:rPr>
                <w:rFonts w:ascii="宋体" w:hAnsi="宋体" w:eastAsia="宋体"/>
                <w:sz w:val="16"/>
              </w:rPr>
              <w:t>10</w:t>
            </w:r>
          </w:p>
        </w:tc>
      </w:tr>
      <w:tr w14:paraId="76B5D8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134A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A8B17">
            <w:pPr>
              <w:jc w:val="center"/>
            </w:pPr>
            <w:r>
              <w:rPr>
                <w:rFonts w:ascii="宋体" w:hAnsi="宋体" w:eastAsia="宋体"/>
                <w:sz w:val="16"/>
              </w:rPr>
              <w:t>认罪认罚从宽适用率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B7CAE">
            <w:pPr>
              <w:jc w:val="center"/>
            </w:pPr>
            <w:r>
              <w:rPr>
                <w:rFonts w:ascii="宋体" w:hAnsi="宋体" w:eastAsia="宋体"/>
                <w:sz w:val="16"/>
              </w:rPr>
              <w:t>认罪认罚从宽适用率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91E68">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7C856">
            <w:pPr>
              <w:jc w:val="center"/>
            </w:pPr>
            <w:r>
              <w:rPr>
                <w:rFonts w:ascii="宋体" w:hAnsi="宋体" w:eastAsia="宋体"/>
                <w:sz w:val="16"/>
              </w:rPr>
              <w:t>昌吉州人民检察院绩效考核指标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9E5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55C47">
            <w:pPr>
              <w:jc w:val="center"/>
            </w:pPr>
            <w:r>
              <w:rPr>
                <w:rFonts w:ascii="宋体" w:hAnsi="宋体" w:eastAsia="宋体"/>
                <w:sz w:val="16"/>
              </w:rPr>
              <w:t>84.39%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97304">
            <w:pPr>
              <w:jc w:val="center"/>
            </w:pPr>
            <w:r>
              <w:rPr>
                <w:rFonts w:ascii="宋体" w:hAnsi="宋体" w:eastAsia="宋体"/>
                <w:sz w:val="16"/>
              </w:rPr>
              <w:t>10</w:t>
            </w:r>
          </w:p>
        </w:tc>
      </w:tr>
      <w:tr w14:paraId="6A94BC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594D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44970">
            <w:pPr>
              <w:jc w:val="center"/>
            </w:pPr>
            <w:r>
              <w:rPr>
                <w:rFonts w:ascii="宋体" w:hAnsi="宋体" w:eastAsia="宋体"/>
                <w:sz w:val="16"/>
              </w:rPr>
              <w:t>诉前羁押率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97790">
            <w:pPr>
              <w:jc w:val="center"/>
            </w:pPr>
            <w:r>
              <w:rPr>
                <w:rFonts w:ascii="宋体" w:hAnsi="宋体" w:eastAsia="宋体"/>
                <w:sz w:val="16"/>
              </w:rPr>
              <w:t>诉前羁押率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E763C">
            <w:pPr>
              <w:jc w:val="center"/>
            </w:pPr>
            <w:r>
              <w:rPr>
                <w:rFonts w:ascii="宋体" w:hAnsi="宋体" w:eastAsia="宋体"/>
                <w:sz w:val="16"/>
              </w:rPr>
              <w:t>&lt;=35%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BE55C">
            <w:pPr>
              <w:jc w:val="center"/>
            </w:pPr>
            <w:r>
              <w:rPr>
                <w:rFonts w:ascii="宋体" w:hAnsi="宋体" w:eastAsia="宋体"/>
                <w:sz w:val="16"/>
              </w:rPr>
              <w:t>检察机关案件质量评查指标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D23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71E54">
            <w:pPr>
              <w:jc w:val="center"/>
            </w:pPr>
            <w:r>
              <w:rPr>
                <w:rFonts w:ascii="宋体" w:hAnsi="宋体" w:eastAsia="宋体"/>
                <w:sz w:val="16"/>
              </w:rPr>
              <w:t>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A9399">
            <w:pPr>
              <w:jc w:val="center"/>
            </w:pPr>
            <w:r>
              <w:rPr>
                <w:rFonts w:ascii="宋体" w:hAnsi="宋体" w:eastAsia="宋体"/>
                <w:sz w:val="16"/>
              </w:rPr>
              <w:t>10</w:t>
            </w:r>
          </w:p>
        </w:tc>
      </w:tr>
      <w:tr w14:paraId="21B44D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778F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C507B">
            <w:pPr>
              <w:jc w:val="center"/>
            </w:pPr>
            <w:r>
              <w:rPr>
                <w:rFonts w:ascii="宋体" w:hAnsi="宋体" w:eastAsia="宋体"/>
                <w:sz w:val="16"/>
              </w:rPr>
              <w:t>社会治理检察建议采纳率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C6AD5">
            <w:pPr>
              <w:jc w:val="center"/>
            </w:pPr>
            <w:r>
              <w:rPr>
                <w:rFonts w:ascii="宋体" w:hAnsi="宋体" w:eastAsia="宋体"/>
                <w:sz w:val="16"/>
              </w:rPr>
              <w:t>社会治理检察建议采纳率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F0184">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148EE">
            <w:pPr>
              <w:jc w:val="center"/>
            </w:pPr>
            <w:r>
              <w:rPr>
                <w:rFonts w:ascii="宋体" w:hAnsi="宋体" w:eastAsia="宋体"/>
                <w:sz w:val="16"/>
              </w:rPr>
              <w:t>检察机关案件质量主要评价指标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121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4DE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63224">
            <w:pPr>
              <w:jc w:val="center"/>
            </w:pPr>
            <w:r>
              <w:rPr>
                <w:rFonts w:ascii="宋体" w:hAnsi="宋体" w:eastAsia="宋体"/>
                <w:sz w:val="16"/>
              </w:rPr>
              <w:t>10</w:t>
            </w:r>
          </w:p>
        </w:tc>
      </w:tr>
      <w:tr w14:paraId="0EF317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DD07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2574">
            <w:pPr>
              <w:jc w:val="center"/>
            </w:pPr>
            <w:r>
              <w:rPr>
                <w:rFonts w:ascii="宋体" w:hAnsi="宋体" w:eastAsia="宋体"/>
                <w:sz w:val="16"/>
              </w:rPr>
              <w:t>附条件不起诉率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A1AF2">
            <w:pPr>
              <w:jc w:val="center"/>
            </w:pPr>
            <w:r>
              <w:rPr>
                <w:rFonts w:ascii="宋体" w:hAnsi="宋体" w:eastAsia="宋体"/>
                <w:sz w:val="16"/>
              </w:rPr>
              <w:t>附条件不起诉率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8B983">
            <w:pPr>
              <w:jc w:val="center"/>
            </w:pPr>
            <w:r>
              <w:rPr>
                <w:rFonts w:ascii="宋体" w:hAnsi="宋体" w:eastAsia="宋体"/>
                <w:sz w:val="16"/>
              </w:rPr>
              <w:t>&lt;=30%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BBFB3">
            <w:pPr>
              <w:jc w:val="center"/>
            </w:pPr>
            <w:r>
              <w:rPr>
                <w:rFonts w:ascii="宋体" w:hAnsi="宋体" w:eastAsia="宋体"/>
                <w:sz w:val="16"/>
              </w:rPr>
              <w:t>检察机关案件质量主要评价指标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B93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9584F">
            <w:pPr>
              <w:jc w:val="center"/>
            </w:pPr>
            <w:r>
              <w:rPr>
                <w:rFonts w:ascii="宋体" w:hAnsi="宋体" w:eastAsia="宋体"/>
                <w:sz w:val="16"/>
              </w:rPr>
              <w:t>14.02%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31D91">
            <w:pPr>
              <w:jc w:val="center"/>
            </w:pPr>
            <w:r>
              <w:rPr>
                <w:rFonts w:ascii="宋体" w:hAnsi="宋体" w:eastAsia="宋体"/>
                <w:sz w:val="16"/>
              </w:rPr>
              <w:t>10</w:t>
            </w:r>
          </w:p>
        </w:tc>
      </w:tr>
    </w:tbl>
    <w:p w14:paraId="6636A61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327A0276">
        <w:tblPrEx>
          <w:tblCellMar>
            <w:top w:w="0" w:type="dxa"/>
            <w:left w:w="108" w:type="dxa"/>
            <w:bottom w:w="0" w:type="dxa"/>
            <w:right w:w="108" w:type="dxa"/>
          </w:tblCellMar>
        </w:tblPrEx>
        <w:tc>
          <w:tcPr>
            <w:tcW w:w="8848" w:type="dxa"/>
            <w:gridSpan w:val="14"/>
            <w:vAlign w:val="center"/>
          </w:tcPr>
          <w:p w14:paraId="07AE00D4">
            <w:pPr>
              <w:jc w:val="center"/>
            </w:pPr>
            <w:r>
              <w:rPr>
                <w:rFonts w:ascii="宋体" w:hAnsi="宋体" w:eastAsia="宋体"/>
                <w:sz w:val="24"/>
              </w:rPr>
              <w:t>项目支出绩效自评表</w:t>
            </w:r>
          </w:p>
        </w:tc>
      </w:tr>
      <w:tr w14:paraId="24FB7CF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4D2DC7">
            <w:pPr>
              <w:jc w:val="center"/>
            </w:pPr>
            <w:r>
              <w:rPr>
                <w:rFonts w:ascii="宋体" w:hAnsi="宋体" w:eastAsia="宋体"/>
                <w:sz w:val="24"/>
              </w:rPr>
              <w:t>(2024年度)</w:t>
            </w:r>
          </w:p>
        </w:tc>
      </w:tr>
      <w:tr w14:paraId="68A47B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AF6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A3FAC6">
            <w:pPr>
              <w:jc w:val="center"/>
            </w:pPr>
            <w:r>
              <w:rPr>
                <w:rFonts w:ascii="宋体" w:hAnsi="宋体" w:eastAsia="宋体"/>
                <w:sz w:val="16"/>
              </w:rPr>
              <w:t>“庭州英才”人才计划2024年支持资金</w:t>
            </w:r>
          </w:p>
        </w:tc>
      </w:tr>
      <w:tr w14:paraId="4EDB4E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2F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55F7D9">
            <w:pPr>
              <w:jc w:val="center"/>
            </w:pPr>
            <w:r>
              <w:rPr>
                <w:rFonts w:ascii="宋体" w:hAnsi="宋体" w:eastAsia="宋体"/>
                <w:sz w:val="16"/>
              </w:rPr>
              <w:t>昌吉回族自治州人民检察院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E60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92CE84">
            <w:pPr>
              <w:jc w:val="center"/>
            </w:pPr>
            <w:r>
              <w:rPr>
                <w:rFonts w:ascii="宋体" w:hAnsi="宋体" w:eastAsia="宋体"/>
                <w:sz w:val="16"/>
              </w:rPr>
              <w:t>昌吉回族自治州人民检察院本级</w:t>
            </w:r>
          </w:p>
        </w:tc>
      </w:tr>
      <w:tr w14:paraId="7477A8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0284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291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A6B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317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5DF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5D27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C21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D5C91">
            <w:pPr>
              <w:jc w:val="center"/>
            </w:pPr>
            <w:r>
              <w:rPr>
                <w:rFonts w:ascii="宋体" w:hAnsi="宋体" w:eastAsia="宋体"/>
                <w:sz w:val="16"/>
              </w:rPr>
              <w:t>得分</w:t>
            </w:r>
          </w:p>
        </w:tc>
      </w:tr>
      <w:tr w14:paraId="62E7C3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FA6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4EE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B3C4F">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46A1B">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E2895">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78B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AFBB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471F0">
            <w:pPr>
              <w:jc w:val="center"/>
            </w:pPr>
            <w:r>
              <w:rPr>
                <w:rFonts w:ascii="宋体" w:hAnsi="宋体" w:eastAsia="宋体"/>
                <w:sz w:val="16"/>
              </w:rPr>
              <w:t>10.00</w:t>
            </w:r>
          </w:p>
        </w:tc>
      </w:tr>
      <w:tr w14:paraId="37481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FDC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8C2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54184">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F05FA">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3765D">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238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A05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3987">
            <w:pPr>
              <w:jc w:val="center"/>
            </w:pPr>
            <w:r>
              <w:rPr>
                <w:rFonts w:ascii="宋体" w:hAnsi="宋体" w:eastAsia="宋体"/>
                <w:sz w:val="16"/>
              </w:rPr>
              <w:t>—</w:t>
            </w:r>
          </w:p>
        </w:tc>
      </w:tr>
      <w:tr w14:paraId="080155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032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B299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2F2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5A1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091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892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FEF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48E0A">
            <w:pPr>
              <w:jc w:val="center"/>
            </w:pPr>
            <w:r>
              <w:rPr>
                <w:rFonts w:ascii="宋体" w:hAnsi="宋体" w:eastAsia="宋体"/>
                <w:sz w:val="16"/>
              </w:rPr>
              <w:t>—</w:t>
            </w:r>
          </w:p>
        </w:tc>
      </w:tr>
      <w:tr w14:paraId="0CF8B5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F68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B5141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962991">
            <w:pPr>
              <w:jc w:val="center"/>
            </w:pPr>
            <w:r>
              <w:rPr>
                <w:rFonts w:ascii="宋体" w:hAnsi="宋体" w:eastAsia="宋体"/>
                <w:sz w:val="16"/>
              </w:rPr>
              <w:t>实际完成情况</w:t>
            </w:r>
          </w:p>
        </w:tc>
      </w:tr>
      <w:tr w14:paraId="7DDDBD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313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C2D806">
            <w:pPr>
              <w:jc w:val="both"/>
            </w:pPr>
            <w:r>
              <w:rPr>
                <w:rFonts w:ascii="宋体" w:hAnsi="宋体" w:eastAsia="宋体"/>
                <w:sz w:val="16"/>
              </w:rPr>
              <w:t>本项目计划培训标准人才数量3人，全年参加业务培训4次以上，至少完成法律法规典型案例2个，人才个人补助不超过6万元，工作经费不超过3万元，提高专业人才高质效办案能力。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F049D1">
            <w:pPr>
              <w:jc w:val="both"/>
            </w:pPr>
            <w:r>
              <w:rPr>
                <w:rFonts w:hint="eastAsia" w:ascii="宋体" w:hAnsi="宋体"/>
                <w:sz w:val="16"/>
                <w:lang w:eastAsia="zh-CN"/>
              </w:rPr>
              <w:t>截至</w:t>
            </w:r>
            <w:r>
              <w:rPr>
                <w:rFonts w:ascii="宋体" w:hAnsi="宋体" w:eastAsia="宋体"/>
                <w:sz w:val="16"/>
              </w:rPr>
              <w:t>2024年12月31日，该项目实际完成培训标准人才数量3人，全年参加业务培训4次，完成法律法规典型案例2个，人才个人补助6万元，工作经费3万元，通过项目的实施，提高专业人才高质效办案能力。</w:t>
            </w:r>
          </w:p>
        </w:tc>
      </w:tr>
      <w:tr w14:paraId="282A00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4E02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E3D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04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20B5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524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3F6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B4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2A3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F95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0E7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59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110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6F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3E1C">
            <w:pPr>
              <w:jc w:val="center"/>
            </w:pPr>
            <w:r>
              <w:rPr>
                <w:rFonts w:ascii="宋体" w:hAnsi="宋体" w:eastAsia="宋体"/>
                <w:sz w:val="16"/>
              </w:rPr>
              <w:t>偏差原因分析及改进措施</w:t>
            </w:r>
          </w:p>
        </w:tc>
      </w:tr>
      <w:tr w14:paraId="44F24A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72D9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FC4A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5CD3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B847">
            <w:pPr>
              <w:jc w:val="center"/>
            </w:pPr>
            <w:r>
              <w:rPr>
                <w:rFonts w:ascii="宋体" w:hAnsi="宋体" w:eastAsia="宋体"/>
                <w:sz w:val="16"/>
              </w:rPr>
              <w:t>培养人才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0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9AE9">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6A1A">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5E3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F7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B77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F2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EC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2B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C42D">
            <w:pPr>
              <w:jc w:val="center"/>
            </w:pPr>
          </w:p>
        </w:tc>
      </w:tr>
      <w:tr w14:paraId="5F12EF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EB4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A4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100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0A19">
            <w:pPr>
              <w:jc w:val="center"/>
            </w:pPr>
            <w:r>
              <w:rPr>
                <w:rFonts w:ascii="宋体" w:hAnsi="宋体" w:eastAsia="宋体"/>
                <w:sz w:val="16"/>
              </w:rPr>
              <w:t>参加培训次数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F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C86A2">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50B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869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6F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6A7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81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4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D0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6DDF">
            <w:pPr>
              <w:jc w:val="center"/>
            </w:pPr>
          </w:p>
        </w:tc>
      </w:tr>
      <w:tr w14:paraId="266EF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616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221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1B5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A55F5">
            <w:pPr>
              <w:jc w:val="center"/>
            </w:pPr>
            <w:r>
              <w:rPr>
                <w:rFonts w:ascii="宋体" w:hAnsi="宋体" w:eastAsia="宋体"/>
                <w:sz w:val="16"/>
              </w:rPr>
              <w:t>法律法规典型案例形成数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9C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BC37F">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72B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78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AA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5B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62B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74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CA5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21F6">
            <w:pPr>
              <w:jc w:val="center"/>
            </w:pPr>
          </w:p>
        </w:tc>
      </w:tr>
      <w:tr w14:paraId="02627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E43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212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FE2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8F02">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DA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1A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506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93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8A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E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09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69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54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C78D">
            <w:pPr>
              <w:jc w:val="center"/>
            </w:pPr>
          </w:p>
        </w:tc>
      </w:tr>
      <w:tr w14:paraId="0B742D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2DD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645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D45C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172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93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8DF71">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61FB1">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1C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CDD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07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AE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3E6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47A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2FAA">
            <w:pPr>
              <w:jc w:val="center"/>
            </w:pPr>
          </w:p>
        </w:tc>
      </w:tr>
      <w:tr w14:paraId="6C99F2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14C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4E404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93FA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92C4">
            <w:pPr>
              <w:jc w:val="center"/>
            </w:pPr>
            <w:r>
              <w:rPr>
                <w:rFonts w:ascii="宋体" w:hAnsi="宋体" w:eastAsia="宋体"/>
                <w:sz w:val="16"/>
              </w:rPr>
              <w:t>个人补助经费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278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77983">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CFE4">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1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9A2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4A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F4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534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062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E8B2">
            <w:pPr>
              <w:jc w:val="center"/>
            </w:pPr>
          </w:p>
        </w:tc>
      </w:tr>
      <w:tr w14:paraId="63049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8A1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586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11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9DDC">
            <w:pPr>
              <w:jc w:val="center"/>
            </w:pPr>
            <w:r>
              <w:rPr>
                <w:rFonts w:ascii="宋体" w:hAnsi="宋体" w:eastAsia="宋体"/>
                <w:sz w:val="16"/>
              </w:rPr>
              <w:t>人才工作经费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37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5403">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EF95">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64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BD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71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C0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25B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BD5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22A36">
            <w:pPr>
              <w:jc w:val="center"/>
            </w:pPr>
          </w:p>
        </w:tc>
      </w:tr>
      <w:tr w14:paraId="429127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98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98D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A2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69D9">
            <w:pPr>
              <w:jc w:val="center"/>
            </w:pPr>
            <w:r>
              <w:rPr>
                <w:rFonts w:ascii="宋体" w:hAnsi="宋体" w:eastAsia="宋体"/>
                <w:sz w:val="16"/>
              </w:rPr>
              <w:t>提升高质效办案能力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B70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0B46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2D7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CDB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B1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97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857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47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D2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D8B4">
            <w:pPr>
              <w:jc w:val="center"/>
            </w:pPr>
          </w:p>
        </w:tc>
      </w:tr>
      <w:tr w14:paraId="41FC1B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637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2D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4BC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D52A8">
            <w:pPr>
              <w:jc w:val="center"/>
            </w:pPr>
            <w:r>
              <w:rPr>
                <w:rFonts w:ascii="宋体" w:hAnsi="宋体" w:eastAsia="宋体"/>
                <w:sz w:val="16"/>
              </w:rPr>
              <w:t>培养人才满意度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9A6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0B2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7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118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6AA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A7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BF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EE7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48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801C6">
            <w:pPr>
              <w:jc w:val="center"/>
            </w:pPr>
            <w:r>
              <w:rPr>
                <w:rFonts w:ascii="宋体" w:hAnsi="宋体" w:eastAsia="宋体"/>
                <w:sz w:val="16"/>
              </w:rPr>
              <w:t>三个培养人才对本次庭州英才培养计划满意度高，全员满意。</w:t>
            </w:r>
          </w:p>
        </w:tc>
      </w:tr>
      <w:tr w14:paraId="150EA0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619B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00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82A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E09D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23D1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70B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EFF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C7E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5A3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D75C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3E8E3"/>
        </w:tc>
      </w:tr>
    </w:tbl>
    <w:p w14:paraId="40EEF324">
      <w:r>
        <w:br w:type="page"/>
      </w:r>
    </w:p>
    <w:tbl>
      <w:tblPr>
        <w:tblStyle w:val="9"/>
        <w:tblW w:w="0" w:type="auto"/>
        <w:tblInd w:w="0" w:type="dxa"/>
        <w:tblLayout w:type="autofit"/>
        <w:tblCellMar>
          <w:top w:w="0" w:type="dxa"/>
          <w:left w:w="108" w:type="dxa"/>
          <w:bottom w:w="0" w:type="dxa"/>
          <w:right w:w="108" w:type="dxa"/>
        </w:tblCellMar>
      </w:tblPr>
      <w:tblGrid>
        <w:gridCol w:w="627"/>
        <w:gridCol w:w="622"/>
        <w:gridCol w:w="622"/>
        <w:gridCol w:w="628"/>
        <w:gridCol w:w="625"/>
        <w:gridCol w:w="631"/>
        <w:gridCol w:w="776"/>
        <w:gridCol w:w="776"/>
        <w:gridCol w:w="631"/>
        <w:gridCol w:w="622"/>
        <w:gridCol w:w="622"/>
        <w:gridCol w:w="622"/>
        <w:gridCol w:w="625"/>
        <w:gridCol w:w="631"/>
      </w:tblGrid>
      <w:tr w14:paraId="3BC9C5DE">
        <w:tblPrEx>
          <w:tblCellMar>
            <w:top w:w="0" w:type="dxa"/>
            <w:left w:w="108" w:type="dxa"/>
            <w:bottom w:w="0" w:type="dxa"/>
            <w:right w:w="108" w:type="dxa"/>
          </w:tblCellMar>
        </w:tblPrEx>
        <w:tc>
          <w:tcPr>
            <w:tcW w:w="8848" w:type="dxa"/>
            <w:gridSpan w:val="14"/>
            <w:vAlign w:val="center"/>
          </w:tcPr>
          <w:p w14:paraId="4ACFD7F7">
            <w:pPr>
              <w:jc w:val="center"/>
            </w:pPr>
            <w:r>
              <w:rPr>
                <w:rFonts w:ascii="宋体" w:hAnsi="宋体" w:eastAsia="宋体"/>
                <w:sz w:val="24"/>
              </w:rPr>
              <w:t>项目支出绩效自评表</w:t>
            </w:r>
          </w:p>
        </w:tc>
      </w:tr>
      <w:tr w14:paraId="732461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66474D">
            <w:pPr>
              <w:jc w:val="center"/>
            </w:pPr>
            <w:r>
              <w:rPr>
                <w:rFonts w:ascii="宋体" w:hAnsi="宋体" w:eastAsia="宋体"/>
                <w:sz w:val="24"/>
              </w:rPr>
              <w:t>(2024年度)</w:t>
            </w:r>
          </w:p>
        </w:tc>
      </w:tr>
      <w:tr w14:paraId="072EBA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6BE6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E20928">
            <w:pPr>
              <w:jc w:val="center"/>
            </w:pPr>
            <w:r>
              <w:rPr>
                <w:rFonts w:ascii="宋体" w:hAnsi="宋体" w:eastAsia="宋体"/>
                <w:sz w:val="16"/>
              </w:rPr>
              <w:t>未成年人保护工作经费</w:t>
            </w:r>
          </w:p>
        </w:tc>
      </w:tr>
      <w:tr w14:paraId="60A744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CF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EFE0A0">
            <w:pPr>
              <w:jc w:val="center"/>
            </w:pPr>
            <w:r>
              <w:rPr>
                <w:rFonts w:ascii="宋体" w:hAnsi="宋体" w:eastAsia="宋体"/>
                <w:sz w:val="16"/>
              </w:rPr>
              <w:t>昌吉回族自治州人民检察院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0A4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64A8C4">
            <w:pPr>
              <w:jc w:val="center"/>
            </w:pPr>
            <w:r>
              <w:rPr>
                <w:rFonts w:ascii="宋体" w:hAnsi="宋体" w:eastAsia="宋体"/>
                <w:sz w:val="16"/>
              </w:rPr>
              <w:t>昌吉回族自治州人民检察院本级</w:t>
            </w:r>
          </w:p>
        </w:tc>
      </w:tr>
      <w:tr w14:paraId="4BD279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933A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DCE9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B57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796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582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0EB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D05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592B">
            <w:pPr>
              <w:jc w:val="center"/>
            </w:pPr>
            <w:r>
              <w:rPr>
                <w:rFonts w:ascii="宋体" w:hAnsi="宋体" w:eastAsia="宋体"/>
                <w:sz w:val="16"/>
              </w:rPr>
              <w:t>得分</w:t>
            </w:r>
          </w:p>
        </w:tc>
      </w:tr>
      <w:tr w14:paraId="70CD48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5BE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11E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4AD21">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129BE">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70655">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550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29B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48FA">
            <w:pPr>
              <w:jc w:val="center"/>
            </w:pPr>
            <w:r>
              <w:rPr>
                <w:rFonts w:ascii="宋体" w:hAnsi="宋体" w:eastAsia="宋体"/>
                <w:sz w:val="16"/>
              </w:rPr>
              <w:t>10.00</w:t>
            </w:r>
          </w:p>
        </w:tc>
      </w:tr>
      <w:tr w14:paraId="3A3764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CBA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E67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01D4D">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9D30E">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F52E6">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F57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AE6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27C05">
            <w:pPr>
              <w:jc w:val="center"/>
            </w:pPr>
            <w:r>
              <w:rPr>
                <w:rFonts w:ascii="宋体" w:hAnsi="宋体" w:eastAsia="宋体"/>
                <w:sz w:val="16"/>
              </w:rPr>
              <w:t>—</w:t>
            </w:r>
          </w:p>
        </w:tc>
      </w:tr>
      <w:tr w14:paraId="250CE4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404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E7AF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ED3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D44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D60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EC4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810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B8742">
            <w:pPr>
              <w:jc w:val="center"/>
            </w:pPr>
            <w:r>
              <w:rPr>
                <w:rFonts w:ascii="宋体" w:hAnsi="宋体" w:eastAsia="宋体"/>
                <w:sz w:val="16"/>
              </w:rPr>
              <w:t>—</w:t>
            </w:r>
          </w:p>
        </w:tc>
      </w:tr>
      <w:tr w14:paraId="1B6B08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3E3D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E3D2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18C201">
            <w:pPr>
              <w:jc w:val="center"/>
            </w:pPr>
            <w:r>
              <w:rPr>
                <w:rFonts w:ascii="宋体" w:hAnsi="宋体" w:eastAsia="宋体"/>
                <w:sz w:val="16"/>
              </w:rPr>
              <w:t>实际完成情况</w:t>
            </w:r>
          </w:p>
        </w:tc>
      </w:tr>
      <w:tr w14:paraId="0BB80D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003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9101C7">
            <w:pPr>
              <w:jc w:val="both"/>
            </w:pPr>
            <w:r>
              <w:rPr>
                <w:rFonts w:ascii="宋体" w:hAnsi="宋体" w:eastAsia="宋体"/>
                <w:sz w:val="16"/>
              </w:rPr>
              <w:t>为加强未成年人救助、保护机构等场所建设，预防未成年人违法犯罪，守护“祖国未来”健康成长，开展法治宣传6次以上，帮教罪错未成年人20人次以上，附条件不起诉率不低于20%，推进保障涉罪和被害未成年人家庭回归正常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82AE60">
            <w:pPr>
              <w:jc w:val="both"/>
            </w:pPr>
            <w:r>
              <w:rPr>
                <w:rFonts w:ascii="宋体" w:hAnsi="宋体" w:eastAsia="宋体"/>
                <w:sz w:val="16"/>
              </w:rPr>
              <w:t>截至2024年12月31日，本项目实际完成情况为，加强未成年人救助、保护机构等场所建设，预防未成年人违法犯罪，守护“祖国未来”健康成长，开展法治宣传6次，帮教罪错未成年人20人次，附条件不起诉率14.02%，通过项目的实施，推进保障涉罪和被害未成年人家庭回归正常生活。</w:t>
            </w:r>
          </w:p>
        </w:tc>
      </w:tr>
      <w:tr w14:paraId="67BD50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F16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C8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8D0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4D1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82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A0D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A0C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F32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3F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D68F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DD1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293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29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7C676">
            <w:pPr>
              <w:jc w:val="center"/>
            </w:pPr>
            <w:r>
              <w:rPr>
                <w:rFonts w:ascii="宋体" w:hAnsi="宋体" w:eastAsia="宋体"/>
                <w:sz w:val="16"/>
              </w:rPr>
              <w:t>偏差原因分析及改进措施</w:t>
            </w:r>
          </w:p>
        </w:tc>
      </w:tr>
      <w:tr w14:paraId="58E3AC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DE9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B91A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E79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1E221">
            <w:pPr>
              <w:jc w:val="center"/>
            </w:pPr>
            <w:r>
              <w:rPr>
                <w:rFonts w:ascii="宋体" w:hAnsi="宋体" w:eastAsia="宋体"/>
                <w:sz w:val="16"/>
              </w:rPr>
              <w:t>开展法治宣传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58C5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66D52">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C38D">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E8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55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B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14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53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4E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A30B">
            <w:pPr>
              <w:jc w:val="center"/>
            </w:pPr>
          </w:p>
        </w:tc>
      </w:tr>
      <w:tr w14:paraId="4FEBD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EB9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B6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D7C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0BF2">
            <w:pPr>
              <w:jc w:val="center"/>
            </w:pPr>
            <w:r>
              <w:rPr>
                <w:rFonts w:ascii="宋体" w:hAnsi="宋体" w:eastAsia="宋体"/>
                <w:sz w:val="16"/>
              </w:rPr>
              <w:t>帮教罪错未成年人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3A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E8D29">
            <w:pPr>
              <w:jc w:val="center"/>
            </w:pPr>
            <w:r>
              <w:rPr>
                <w:rFonts w:ascii="宋体" w:hAnsi="宋体" w:eastAsia="宋体"/>
                <w:sz w:val="16"/>
              </w:rPr>
              <w:t>&gt;=20人次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1D75">
            <w:pPr>
              <w:jc w:val="center"/>
            </w:pPr>
            <w:r>
              <w:rPr>
                <w:rFonts w:ascii="宋体" w:hAnsi="宋体" w:eastAsia="宋体"/>
                <w:sz w:val="16"/>
              </w:rPr>
              <w:t>=20人次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45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E2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7A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EF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3C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235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E84D">
            <w:pPr>
              <w:jc w:val="center"/>
            </w:pPr>
          </w:p>
        </w:tc>
      </w:tr>
      <w:tr w14:paraId="6563F8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BEF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4DC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AC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831CD">
            <w:pPr>
              <w:jc w:val="center"/>
            </w:pPr>
            <w:r>
              <w:rPr>
                <w:rFonts w:ascii="宋体" w:hAnsi="宋体" w:eastAsia="宋体"/>
                <w:sz w:val="16"/>
              </w:rPr>
              <w:t>附条件不起诉率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51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03AC">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9541">
            <w:pPr>
              <w:jc w:val="center"/>
            </w:pPr>
            <w:r>
              <w:rPr>
                <w:rFonts w:ascii="宋体" w:hAnsi="宋体" w:eastAsia="宋体"/>
                <w:sz w:val="16"/>
              </w:rPr>
              <w:t>=14.02%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C118">
            <w:pPr>
              <w:jc w:val="center"/>
            </w:pPr>
            <w:r>
              <w:rPr>
                <w:rFonts w:ascii="宋体" w:hAnsi="宋体" w:eastAsia="宋体"/>
                <w:sz w:val="16"/>
              </w:rPr>
              <w:t>70.1%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853A">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4C0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0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BC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FAD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C994">
            <w:pPr>
              <w:jc w:val="center"/>
            </w:pPr>
            <w:r>
              <w:rPr>
                <w:rFonts w:ascii="宋体" w:hAnsi="宋体" w:eastAsia="宋体"/>
                <w:sz w:val="16"/>
              </w:rPr>
              <w:t>按照上级院工作要求，提质增效，</w:t>
            </w:r>
            <w:r>
              <w:rPr>
                <w:rFonts w:hint="eastAsia" w:ascii="宋体" w:hAnsi="宋体"/>
                <w:sz w:val="16"/>
                <w:lang w:eastAsia="zh-CN"/>
              </w:rPr>
              <w:t>降低</w:t>
            </w:r>
            <w:r>
              <w:rPr>
                <w:rFonts w:ascii="宋体" w:hAnsi="宋体" w:eastAsia="宋体"/>
                <w:sz w:val="16"/>
              </w:rPr>
              <w:t>附条件不起诉率的指标要求。</w:t>
            </w:r>
          </w:p>
        </w:tc>
      </w:tr>
      <w:tr w14:paraId="15E57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337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2BEF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72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8CB4F">
            <w:pPr>
              <w:jc w:val="center"/>
            </w:pPr>
            <w:r>
              <w:rPr>
                <w:rFonts w:ascii="宋体" w:hAnsi="宋体" w:eastAsia="宋体"/>
                <w:sz w:val="16"/>
              </w:rPr>
              <w:t>未成</w:t>
            </w:r>
            <w:r>
              <w:rPr>
                <w:rFonts w:hint="eastAsia" w:ascii="宋体" w:hAnsi="宋体"/>
                <w:sz w:val="16"/>
                <w:lang w:eastAsia="zh-CN"/>
              </w:rPr>
              <w:t>年人</w:t>
            </w:r>
            <w:r>
              <w:rPr>
                <w:rFonts w:ascii="宋体" w:hAnsi="宋体" w:eastAsia="宋体"/>
                <w:sz w:val="16"/>
              </w:rPr>
              <w:t>保护工作经费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5D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78EE">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FFED">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43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94A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78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F63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72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7AB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3627A">
            <w:pPr>
              <w:jc w:val="center"/>
            </w:pPr>
          </w:p>
        </w:tc>
      </w:tr>
      <w:tr w14:paraId="6F8D8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012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2D7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7CC38">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26E5">
            <w:pPr>
              <w:jc w:val="center"/>
            </w:pPr>
            <w:r>
              <w:rPr>
                <w:rFonts w:ascii="宋体" w:hAnsi="宋体" w:eastAsia="宋体"/>
                <w:sz w:val="16"/>
              </w:rPr>
              <w:t>常态化开展心理疏导的支出成本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12B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7B23">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7CFF">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9FE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9BF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3A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8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DE1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AB6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9CFE">
            <w:pPr>
              <w:jc w:val="center"/>
            </w:pPr>
            <w:r>
              <w:rPr>
                <w:rFonts w:ascii="宋体" w:hAnsi="宋体" w:eastAsia="宋体"/>
                <w:sz w:val="16"/>
              </w:rPr>
              <w:t>年初目标申报时，该成本被包含在总金额35万元中，数据重复，实际支出在其他成本指标中。</w:t>
            </w:r>
          </w:p>
        </w:tc>
      </w:tr>
      <w:tr w14:paraId="4B079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5E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0B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C9E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A1351">
            <w:pPr>
              <w:jc w:val="center"/>
            </w:pPr>
            <w:r>
              <w:rPr>
                <w:rFonts w:ascii="宋体" w:hAnsi="宋体" w:eastAsia="宋体"/>
                <w:sz w:val="16"/>
              </w:rPr>
              <w:t>保障涉罪和被害未成年人家庭回归正常生活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2F6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72ACD">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2B6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5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98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E9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928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61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45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89E2B">
            <w:pPr>
              <w:jc w:val="center"/>
            </w:pPr>
          </w:p>
        </w:tc>
      </w:tr>
      <w:tr w14:paraId="7E933E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97D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1E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80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7149F">
            <w:pPr>
              <w:jc w:val="center"/>
            </w:pPr>
            <w:r>
              <w:rPr>
                <w:rFonts w:ascii="宋体" w:hAnsi="宋体" w:eastAsia="宋体"/>
                <w:sz w:val="16"/>
              </w:rPr>
              <w:t>未成年监护人对帮教、救助工作的满意度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3B6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C99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7BA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048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8E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7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AB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DD4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E5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6F729">
            <w:pPr>
              <w:jc w:val="center"/>
            </w:pPr>
            <w:r>
              <w:rPr>
                <w:rFonts w:ascii="宋体" w:hAnsi="宋体" w:eastAsia="宋体"/>
                <w:sz w:val="16"/>
              </w:rPr>
              <w:t>对未成年人提供心理疏导，跟踪回访等帮教、救助工作，效果好，其监护人满意率高。</w:t>
            </w:r>
          </w:p>
        </w:tc>
      </w:tr>
      <w:tr w14:paraId="09823C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8AB0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CB4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50E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42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C8E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C37EB">
            <w:pPr>
              <w:jc w:val="center"/>
            </w:pPr>
            <w:r>
              <w:rPr>
                <w:rFonts w:ascii="宋体" w:hAnsi="宋体" w:eastAsia="宋体"/>
                <w:sz w:val="16"/>
              </w:rPr>
              <w:t>82.52分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E4A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86BE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BB4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04F9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B7DBB"/>
        </w:tc>
      </w:tr>
    </w:tbl>
    <w:p w14:paraId="5BEA50A8">
      <w:r>
        <w:br w:type="page"/>
      </w:r>
    </w:p>
    <w:tbl>
      <w:tblPr>
        <w:tblStyle w:val="9"/>
        <w:tblW w:w="0" w:type="auto"/>
        <w:tblInd w:w="0" w:type="dxa"/>
        <w:tblLayout w:type="autofit"/>
        <w:tblCellMar>
          <w:top w:w="0" w:type="dxa"/>
          <w:left w:w="108" w:type="dxa"/>
          <w:bottom w:w="0" w:type="dxa"/>
          <w:right w:w="108" w:type="dxa"/>
        </w:tblCellMar>
      </w:tblPr>
      <w:tblGrid>
        <w:gridCol w:w="618"/>
        <w:gridCol w:w="594"/>
        <w:gridCol w:w="594"/>
        <w:gridCol w:w="618"/>
        <w:gridCol w:w="606"/>
        <w:gridCol w:w="856"/>
        <w:gridCol w:w="776"/>
        <w:gridCol w:w="696"/>
        <w:gridCol w:w="630"/>
        <w:gridCol w:w="594"/>
        <w:gridCol w:w="594"/>
        <w:gridCol w:w="594"/>
        <w:gridCol w:w="594"/>
        <w:gridCol w:w="696"/>
      </w:tblGrid>
      <w:tr w14:paraId="4425E1E5">
        <w:tblPrEx>
          <w:tblCellMar>
            <w:top w:w="0" w:type="dxa"/>
            <w:left w:w="108" w:type="dxa"/>
            <w:bottom w:w="0" w:type="dxa"/>
            <w:right w:w="108" w:type="dxa"/>
          </w:tblCellMar>
        </w:tblPrEx>
        <w:tc>
          <w:tcPr>
            <w:tcW w:w="8848" w:type="dxa"/>
            <w:gridSpan w:val="14"/>
            <w:vAlign w:val="center"/>
          </w:tcPr>
          <w:p w14:paraId="4373830D">
            <w:pPr>
              <w:jc w:val="center"/>
            </w:pPr>
            <w:r>
              <w:rPr>
                <w:rFonts w:ascii="宋体" w:hAnsi="宋体" w:eastAsia="宋体"/>
                <w:sz w:val="24"/>
              </w:rPr>
              <w:t>项目支出绩效自评表</w:t>
            </w:r>
          </w:p>
        </w:tc>
      </w:tr>
      <w:tr w14:paraId="16E5FFB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8033CD">
            <w:pPr>
              <w:jc w:val="center"/>
            </w:pPr>
            <w:r>
              <w:rPr>
                <w:rFonts w:ascii="宋体" w:hAnsi="宋体" w:eastAsia="宋体"/>
                <w:sz w:val="24"/>
              </w:rPr>
              <w:t>(2024年度)</w:t>
            </w:r>
          </w:p>
        </w:tc>
      </w:tr>
      <w:tr w14:paraId="6CF838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C0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50F6B7">
            <w:pPr>
              <w:jc w:val="center"/>
            </w:pPr>
            <w:r>
              <w:rPr>
                <w:rFonts w:ascii="宋体" w:hAnsi="宋体" w:eastAsia="宋体"/>
                <w:sz w:val="16"/>
              </w:rPr>
              <w:t>机关运行补助（自有资金）</w:t>
            </w:r>
          </w:p>
        </w:tc>
      </w:tr>
      <w:tr w14:paraId="500127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FF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0B7EB">
            <w:pPr>
              <w:jc w:val="center"/>
            </w:pPr>
            <w:r>
              <w:rPr>
                <w:rFonts w:ascii="宋体" w:hAnsi="宋体" w:eastAsia="宋体"/>
                <w:sz w:val="16"/>
              </w:rPr>
              <w:t>昌吉回族自治州人民检察院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57F8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DFB09C">
            <w:pPr>
              <w:jc w:val="center"/>
            </w:pPr>
            <w:r>
              <w:rPr>
                <w:rFonts w:ascii="宋体" w:hAnsi="宋体" w:eastAsia="宋体"/>
                <w:sz w:val="16"/>
              </w:rPr>
              <w:t>昌吉回族自治州人民检察院本级</w:t>
            </w:r>
          </w:p>
        </w:tc>
      </w:tr>
      <w:tr w14:paraId="3B2EFB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ED8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4C48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D69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D19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3F2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3AF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FC7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FE64B">
            <w:pPr>
              <w:jc w:val="center"/>
            </w:pPr>
            <w:r>
              <w:rPr>
                <w:rFonts w:ascii="宋体" w:hAnsi="宋体" w:eastAsia="宋体"/>
                <w:sz w:val="16"/>
              </w:rPr>
              <w:t>得分</w:t>
            </w:r>
          </w:p>
        </w:tc>
      </w:tr>
      <w:tr w14:paraId="7B4420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ED8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D6D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99042">
            <w:pPr>
              <w:jc w:val="center"/>
            </w:pPr>
            <w:r>
              <w:rPr>
                <w:rFonts w:ascii="宋体" w:hAnsi="宋体" w:eastAsia="宋体"/>
                <w:sz w:val="16"/>
              </w:rPr>
              <w:t>259.80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767FE">
            <w:pPr>
              <w:jc w:val="center"/>
            </w:pPr>
            <w:r>
              <w:rPr>
                <w:rFonts w:ascii="宋体" w:hAnsi="宋体" w:eastAsia="宋体"/>
                <w:sz w:val="16"/>
              </w:rPr>
              <w:t>129.90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A4808">
            <w:pPr>
              <w:jc w:val="center"/>
            </w:pPr>
            <w:r>
              <w:rPr>
                <w:rFonts w:ascii="宋体" w:hAnsi="宋体" w:eastAsia="宋体"/>
                <w:sz w:val="16"/>
              </w:rPr>
              <w:t>121.15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596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35A7E">
            <w:pPr>
              <w:jc w:val="center"/>
            </w:pPr>
            <w:r>
              <w:rPr>
                <w:rFonts w:ascii="宋体" w:hAnsi="宋体" w:eastAsia="宋体"/>
                <w:sz w:val="16"/>
              </w:rPr>
              <w:t>93.26%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BB69">
            <w:pPr>
              <w:jc w:val="center"/>
            </w:pPr>
            <w:r>
              <w:rPr>
                <w:rFonts w:ascii="宋体" w:hAnsi="宋体" w:eastAsia="宋体"/>
                <w:sz w:val="16"/>
              </w:rPr>
              <w:t>8.32</w:t>
            </w:r>
          </w:p>
        </w:tc>
      </w:tr>
      <w:tr w14:paraId="1C1807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F8F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2C6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21A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B52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CBE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0CF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6D2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8129">
            <w:pPr>
              <w:jc w:val="center"/>
            </w:pPr>
            <w:r>
              <w:rPr>
                <w:rFonts w:ascii="宋体" w:hAnsi="宋体" w:eastAsia="宋体"/>
                <w:sz w:val="16"/>
              </w:rPr>
              <w:t>—</w:t>
            </w:r>
          </w:p>
        </w:tc>
      </w:tr>
      <w:tr w14:paraId="654D0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21F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0A04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CEB01">
            <w:pPr>
              <w:jc w:val="center"/>
            </w:pPr>
            <w:r>
              <w:rPr>
                <w:rFonts w:ascii="宋体" w:hAnsi="宋体" w:eastAsia="宋体"/>
                <w:sz w:val="16"/>
              </w:rPr>
              <w:t>259.80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584FC">
            <w:pPr>
              <w:jc w:val="center"/>
            </w:pPr>
            <w:r>
              <w:rPr>
                <w:rFonts w:ascii="宋体" w:hAnsi="宋体" w:eastAsia="宋体"/>
                <w:sz w:val="16"/>
              </w:rPr>
              <w:t>129.90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714DA">
            <w:pPr>
              <w:jc w:val="center"/>
            </w:pPr>
            <w:r>
              <w:rPr>
                <w:rFonts w:ascii="宋体" w:hAnsi="宋体" w:eastAsia="宋体"/>
                <w:sz w:val="16"/>
              </w:rPr>
              <w:t>121.15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E1A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45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9DEC7">
            <w:pPr>
              <w:jc w:val="center"/>
            </w:pPr>
            <w:r>
              <w:rPr>
                <w:rFonts w:ascii="宋体" w:hAnsi="宋体" w:eastAsia="宋体"/>
                <w:sz w:val="16"/>
              </w:rPr>
              <w:t>—</w:t>
            </w:r>
          </w:p>
        </w:tc>
      </w:tr>
      <w:tr w14:paraId="24BAAD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543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C159B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34A9C2">
            <w:pPr>
              <w:jc w:val="center"/>
            </w:pPr>
            <w:r>
              <w:rPr>
                <w:rFonts w:ascii="宋体" w:hAnsi="宋体" w:eastAsia="宋体"/>
                <w:sz w:val="16"/>
              </w:rPr>
              <w:t>实际完成情况</w:t>
            </w:r>
          </w:p>
        </w:tc>
      </w:tr>
      <w:tr w14:paraId="535B5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E1D6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4F7EA">
            <w:pPr>
              <w:jc w:val="both"/>
            </w:pPr>
            <w:r>
              <w:rPr>
                <w:rFonts w:ascii="宋体" w:hAnsi="宋体" w:eastAsia="宋体"/>
                <w:sz w:val="16"/>
              </w:rPr>
              <w:t>受财政预算公用经费数量有限，其不足部分由单位</w:t>
            </w:r>
            <w:r>
              <w:rPr>
                <w:rFonts w:hint="eastAsia" w:ascii="宋体" w:hAnsi="宋体"/>
                <w:sz w:val="16"/>
                <w:lang w:eastAsia="zh-CN"/>
              </w:rPr>
              <w:t>自有</w:t>
            </w:r>
            <w:r>
              <w:rPr>
                <w:rFonts w:ascii="宋体" w:hAnsi="宋体" w:eastAsia="宋体"/>
                <w:sz w:val="16"/>
              </w:rPr>
              <w:t>资金予以保障。引导和支持基层检察院开展业务工作，帮助提高地方检察院的办案和装备保障水平1、支持办公业务开展，提高经费保障，保障办案业务工作开展，开展法治宣传3次以上，州院自办公益诉讼案件3件以上，以提请审批案件为办结结点，办结率90%以上，诉前羁押率低于35%；2、保障机关运转的常规经费；3、保障业务工作</w:t>
            </w:r>
            <w:r>
              <w:rPr>
                <w:rFonts w:hint="eastAsia" w:ascii="宋体" w:hAnsi="宋体"/>
                <w:sz w:val="16"/>
                <w:lang w:eastAsia="zh-CN"/>
              </w:rPr>
              <w:t>必需的</w:t>
            </w:r>
            <w:r>
              <w:rPr>
                <w:rFonts w:ascii="宋体" w:hAnsi="宋体" w:eastAsia="宋体"/>
                <w:sz w:val="16"/>
              </w:rPr>
              <w:t>经费支出，机关运行补助总支出低于259.8万元，机关运行补助劳务支出低于25万元。引导和支持基层检察院开展业务工作，帮助提高地方检察院的办案和装备保障水平，促进办案业务开展稳步推进。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7ABFDD">
            <w:pPr>
              <w:jc w:val="both"/>
            </w:pPr>
            <w:r>
              <w:rPr>
                <w:rFonts w:hint="eastAsia" w:ascii="宋体" w:hAnsi="宋体"/>
                <w:sz w:val="16"/>
                <w:lang w:eastAsia="zh-CN"/>
              </w:rPr>
              <w:t>截至</w:t>
            </w:r>
            <w:r>
              <w:rPr>
                <w:rFonts w:ascii="宋体" w:hAnsi="宋体" w:eastAsia="宋体"/>
                <w:sz w:val="16"/>
              </w:rPr>
              <w:t>2024年12月31日，该项目实际完成支持办公业务开展，提高经费保障，保障办案业务工作开展，开展法治宣传3次，州院自办公益诉讼案件3件，以提请审批案件为办结结点，办结率100%，诉前羁押率17%；机关运行补助总支出121.75万元，机关运行补助劳务支出低于7万元。通过项目的实施，引导和支持基层检察院开展业务工作，帮助提高地方检察院的办案和装备保障水平，促进办案业务开展稳步推进。</w:t>
            </w:r>
          </w:p>
        </w:tc>
      </w:tr>
      <w:tr w14:paraId="091194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782C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74A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41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4F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149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411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36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46F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D7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D8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132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D92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10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D848C">
            <w:pPr>
              <w:jc w:val="center"/>
            </w:pPr>
            <w:r>
              <w:rPr>
                <w:rFonts w:ascii="宋体" w:hAnsi="宋体" w:eastAsia="宋体"/>
                <w:sz w:val="16"/>
              </w:rPr>
              <w:t>偏差原因分析及改进措施</w:t>
            </w:r>
          </w:p>
        </w:tc>
      </w:tr>
      <w:tr w14:paraId="793405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5D40C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1AC40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45C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ED03">
            <w:pPr>
              <w:jc w:val="center"/>
            </w:pPr>
            <w:r>
              <w:rPr>
                <w:rFonts w:ascii="宋体" w:hAnsi="宋体" w:eastAsia="宋体"/>
                <w:sz w:val="16"/>
              </w:rPr>
              <w:t>开展未成年人保护法治宣传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016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6083">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1A16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C5A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AD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48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133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DE3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C8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006C">
            <w:pPr>
              <w:jc w:val="center"/>
            </w:pPr>
          </w:p>
        </w:tc>
      </w:tr>
      <w:tr w14:paraId="66ACD9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BE0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45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B0F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7305">
            <w:pPr>
              <w:jc w:val="center"/>
            </w:pPr>
            <w:r>
              <w:rPr>
                <w:rFonts w:ascii="宋体" w:hAnsi="宋体" w:eastAsia="宋体"/>
                <w:sz w:val="16"/>
              </w:rPr>
              <w:t>州院自办公益诉讼案件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BF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F1BFC">
            <w:pPr>
              <w:jc w:val="center"/>
            </w:pPr>
            <w:r>
              <w:rPr>
                <w:rFonts w:ascii="宋体" w:hAnsi="宋体" w:eastAsia="宋体"/>
                <w:sz w:val="16"/>
              </w:rPr>
              <w:t>&gt;=3件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1044">
            <w:pPr>
              <w:jc w:val="center"/>
            </w:pPr>
            <w:r>
              <w:rPr>
                <w:rFonts w:ascii="宋体" w:hAnsi="宋体" w:eastAsia="宋体"/>
                <w:sz w:val="16"/>
              </w:rPr>
              <w:t>=3件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3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10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0B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4C4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B5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F6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843F">
            <w:pPr>
              <w:jc w:val="center"/>
            </w:pPr>
          </w:p>
        </w:tc>
      </w:tr>
      <w:tr w14:paraId="26D1DA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B6E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A35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F98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10B24">
            <w:pPr>
              <w:jc w:val="center"/>
            </w:pPr>
            <w:r>
              <w:rPr>
                <w:rFonts w:ascii="宋体" w:hAnsi="宋体" w:eastAsia="宋体"/>
                <w:sz w:val="16"/>
              </w:rPr>
              <w:t>司法救助案件，以提请审批案件为办结结点，办结率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6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99F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BB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301E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6F29">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71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DF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B1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05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E234F">
            <w:pPr>
              <w:jc w:val="center"/>
            </w:pPr>
            <w:r>
              <w:rPr>
                <w:rFonts w:ascii="宋体" w:hAnsi="宋体" w:eastAsia="宋体"/>
                <w:sz w:val="16"/>
              </w:rPr>
              <w:t>按照上级检察院2024年工作要求，提质增效，司法救助案件全部办结，办结率为100%</w:t>
            </w:r>
            <w:r>
              <w:rPr>
                <w:rFonts w:hint="eastAsia" w:ascii="宋体" w:hAnsi="宋体"/>
                <w:sz w:val="16"/>
                <w:lang w:eastAsia="zh-CN"/>
              </w:rPr>
              <w:t>。</w:t>
            </w:r>
          </w:p>
        </w:tc>
      </w:tr>
      <w:tr w14:paraId="23DDF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EE5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BD5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705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E533">
            <w:pPr>
              <w:jc w:val="center"/>
            </w:pPr>
            <w:r>
              <w:rPr>
                <w:rFonts w:ascii="宋体" w:hAnsi="宋体" w:eastAsia="宋体"/>
                <w:sz w:val="16"/>
              </w:rPr>
              <w:t>诉前羁押率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22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45524">
            <w:pPr>
              <w:jc w:val="center"/>
            </w:pPr>
            <w:r>
              <w:rPr>
                <w:rFonts w:ascii="宋体" w:hAnsi="宋体" w:eastAsia="宋体"/>
                <w:sz w:val="16"/>
              </w:rPr>
              <w:t>&lt;=35%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4F43">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DFFE1">
            <w:pPr>
              <w:jc w:val="center"/>
            </w:pPr>
            <w:r>
              <w:rPr>
                <w:rFonts w:ascii="宋体" w:hAnsi="宋体" w:eastAsia="宋体"/>
                <w:sz w:val="16"/>
              </w:rPr>
              <w:t>48.57%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180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7C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987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DC8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6A9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224E">
            <w:pPr>
              <w:jc w:val="center"/>
            </w:pPr>
            <w:r>
              <w:rPr>
                <w:rFonts w:ascii="宋体" w:hAnsi="宋体" w:eastAsia="宋体"/>
                <w:sz w:val="16"/>
              </w:rPr>
              <w:t>按照上级检察院2024年工作要求，提质增效，降低诉前积压率的工作要求。</w:t>
            </w:r>
          </w:p>
        </w:tc>
      </w:tr>
      <w:tr w14:paraId="375AD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B81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A0D10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B84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F5D01">
            <w:pPr>
              <w:jc w:val="center"/>
            </w:pPr>
            <w:r>
              <w:rPr>
                <w:rFonts w:ascii="宋体" w:hAnsi="宋体" w:eastAsia="宋体"/>
                <w:sz w:val="16"/>
              </w:rPr>
              <w:t>机关运行补助其他支出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04C0">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611B">
            <w:pPr>
              <w:jc w:val="center"/>
            </w:pPr>
            <w:r>
              <w:rPr>
                <w:rFonts w:ascii="宋体" w:hAnsi="宋体" w:eastAsia="宋体"/>
                <w:sz w:val="16"/>
              </w:rPr>
              <w:t>&lt;=122.90万元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F1A7">
            <w:pPr>
              <w:jc w:val="center"/>
            </w:pPr>
            <w:r>
              <w:rPr>
                <w:rFonts w:ascii="宋体" w:hAnsi="宋体" w:eastAsia="宋体"/>
                <w:sz w:val="16"/>
              </w:rPr>
              <w:t>=114.15万元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FFEDC">
            <w:pPr>
              <w:jc w:val="center"/>
            </w:pPr>
            <w:r>
              <w:rPr>
                <w:rFonts w:ascii="宋体" w:hAnsi="宋体" w:eastAsia="宋体"/>
                <w:sz w:val="16"/>
              </w:rPr>
              <w:t>92.88%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FAEC">
            <w:pPr>
              <w:jc w:val="center"/>
            </w:pPr>
            <w:r>
              <w:rPr>
                <w:rFonts w:ascii="宋体" w:hAnsi="宋体" w:eastAsia="宋体"/>
                <w:sz w:val="16"/>
              </w:rPr>
              <w:t>14.8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46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F84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1C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61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DA0D">
            <w:pPr>
              <w:jc w:val="center"/>
            </w:pPr>
            <w:r>
              <w:rPr>
                <w:rFonts w:ascii="宋体" w:hAnsi="宋体" w:eastAsia="宋体"/>
                <w:sz w:val="16"/>
              </w:rPr>
              <w:t>机关运行补助年初预算不够细化，导致年末执行率出现偏差。</w:t>
            </w:r>
          </w:p>
        </w:tc>
      </w:tr>
      <w:tr w14:paraId="2864F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F91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CF3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0C3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0F86">
            <w:pPr>
              <w:jc w:val="center"/>
            </w:pPr>
            <w:r>
              <w:rPr>
                <w:rFonts w:ascii="宋体" w:hAnsi="宋体" w:eastAsia="宋体"/>
                <w:sz w:val="16"/>
              </w:rPr>
              <w:t>机关运行劳务支出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EE8B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914B2">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0A8D">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1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60F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E35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77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88A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4D2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79F30">
            <w:pPr>
              <w:jc w:val="center"/>
            </w:pPr>
            <w:r>
              <w:rPr>
                <w:rFonts w:ascii="宋体" w:hAnsi="宋体" w:eastAsia="宋体"/>
                <w:sz w:val="16"/>
              </w:rPr>
              <w:t>机关运行补助中劳务费支出年初预算不够精准，导致年末执行率出现偏差。</w:t>
            </w:r>
          </w:p>
        </w:tc>
      </w:tr>
      <w:tr w14:paraId="00F19B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669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2D7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36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5EEE">
            <w:pPr>
              <w:jc w:val="center"/>
            </w:pPr>
            <w:r>
              <w:rPr>
                <w:rFonts w:ascii="宋体" w:hAnsi="宋体" w:eastAsia="宋体"/>
                <w:sz w:val="16"/>
              </w:rPr>
              <w:t>重大紧急信息工作，杜绝出现迟、漏、瞒、误报现象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F42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93F5">
            <w:pPr>
              <w:jc w:val="center"/>
            </w:pPr>
            <w:r>
              <w:rPr>
                <w:rFonts w:ascii="宋体" w:hAnsi="宋体" w:eastAsia="宋体"/>
                <w:sz w:val="16"/>
              </w:rPr>
              <w:t>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148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0F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2594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3B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EDB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2C9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5A8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6889">
            <w:pPr>
              <w:jc w:val="center"/>
            </w:pPr>
          </w:p>
        </w:tc>
      </w:tr>
      <w:tr w14:paraId="0BC917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6214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AD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586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3A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5E9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90F22">
            <w:pPr>
              <w:jc w:val="center"/>
            </w:pPr>
            <w:r>
              <w:rPr>
                <w:rFonts w:ascii="宋体" w:hAnsi="宋体" w:eastAsia="宋体"/>
                <w:sz w:val="16"/>
              </w:rPr>
              <w:t>84.02分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B233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F968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72E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323B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D5E4C1"/>
        </w:tc>
      </w:tr>
    </w:tbl>
    <w:p w14:paraId="771709F3">
      <w:r>
        <w:br w:type="page"/>
      </w:r>
    </w:p>
    <w:p w14:paraId="0F1FEABE">
      <w:pPr>
        <w:spacing w:line="640" w:lineRule="exact"/>
        <w:ind w:firstLine="640"/>
        <w:jc w:val="both"/>
        <w:outlineLvl w:val="2"/>
      </w:pPr>
      <w:r>
        <w:rPr>
          <w:rFonts w:ascii="黑体" w:hAnsi="黑体" w:eastAsia="黑体"/>
          <w:sz w:val="32"/>
        </w:rPr>
        <w:t>十二、其他需说明的事项</w:t>
      </w:r>
    </w:p>
    <w:p w14:paraId="5A1BD9E5">
      <w:pPr>
        <w:spacing w:line="580" w:lineRule="exact"/>
        <w:ind w:firstLine="640"/>
        <w:jc w:val="both"/>
      </w:pPr>
      <w:r>
        <w:rPr>
          <w:rFonts w:ascii="仿宋_GB2312" w:hAnsi="仿宋_GB2312" w:eastAsia="仿宋_GB2312"/>
          <w:b w:val="0"/>
          <w:sz w:val="32"/>
        </w:rPr>
        <w:t>本年本单位SM项目3个，全年预算数914.50万元，全年执行数841.85万元。</w:t>
      </w:r>
    </w:p>
    <w:p w14:paraId="23EA7167">
      <w:r>
        <w:br w:type="page"/>
      </w:r>
    </w:p>
    <w:p w14:paraId="5537A20C">
      <w:pPr>
        <w:spacing w:line="240" w:lineRule="auto"/>
        <w:jc w:val="center"/>
        <w:outlineLvl w:val="1"/>
      </w:pPr>
      <w:r>
        <w:rPr>
          <w:rFonts w:ascii="黑体" w:hAnsi="黑体" w:eastAsia="黑体"/>
          <w:sz w:val="32"/>
        </w:rPr>
        <w:t>第三部分 专业名词解释</w:t>
      </w:r>
    </w:p>
    <w:p w14:paraId="2BA0C1C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59414B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6A8945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5FE752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E351DF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FD93E4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08C2F7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5BA736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6C5952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58BF7F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27F434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54D756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936B1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57F6E7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7078C1A">
      <w:r>
        <w:br w:type="page"/>
      </w:r>
    </w:p>
    <w:p w14:paraId="291FA6DB">
      <w:pPr>
        <w:spacing w:line="240" w:lineRule="auto"/>
        <w:jc w:val="center"/>
        <w:outlineLvl w:val="1"/>
      </w:pPr>
      <w:r>
        <w:rPr>
          <w:rFonts w:ascii="黑体" w:hAnsi="黑体" w:eastAsia="黑体"/>
          <w:sz w:val="32"/>
        </w:rPr>
        <w:t>第四部分 部门决算报表（见附表）</w:t>
      </w:r>
    </w:p>
    <w:p w14:paraId="369A65BF">
      <w:pPr>
        <w:spacing w:line="240" w:lineRule="auto"/>
        <w:ind w:firstLine="640"/>
        <w:jc w:val="both"/>
      </w:pPr>
      <w:r>
        <w:rPr>
          <w:rFonts w:ascii="仿宋_GB2312" w:hAnsi="仿宋_GB2312" w:eastAsia="仿宋_GB2312"/>
          <w:b w:val="0"/>
          <w:sz w:val="32"/>
        </w:rPr>
        <w:t>一、《收入支出决算总表》</w:t>
      </w:r>
    </w:p>
    <w:p w14:paraId="2567AC92">
      <w:pPr>
        <w:spacing w:line="240" w:lineRule="auto"/>
        <w:ind w:firstLine="640"/>
        <w:jc w:val="both"/>
      </w:pPr>
      <w:r>
        <w:rPr>
          <w:rFonts w:ascii="仿宋_GB2312" w:hAnsi="仿宋_GB2312" w:eastAsia="仿宋_GB2312"/>
          <w:b w:val="0"/>
          <w:sz w:val="32"/>
        </w:rPr>
        <w:t>二、《收入决算表》</w:t>
      </w:r>
    </w:p>
    <w:p w14:paraId="1543AFC5">
      <w:pPr>
        <w:spacing w:line="240" w:lineRule="auto"/>
        <w:ind w:firstLine="640"/>
        <w:jc w:val="both"/>
      </w:pPr>
      <w:r>
        <w:rPr>
          <w:rFonts w:ascii="仿宋_GB2312" w:hAnsi="仿宋_GB2312" w:eastAsia="仿宋_GB2312"/>
          <w:b w:val="0"/>
          <w:sz w:val="32"/>
        </w:rPr>
        <w:t>三、《支出决算表》</w:t>
      </w:r>
    </w:p>
    <w:p w14:paraId="123FCF32">
      <w:pPr>
        <w:spacing w:line="240" w:lineRule="auto"/>
        <w:ind w:firstLine="640"/>
        <w:jc w:val="both"/>
      </w:pPr>
      <w:r>
        <w:rPr>
          <w:rFonts w:ascii="仿宋_GB2312" w:hAnsi="仿宋_GB2312" w:eastAsia="仿宋_GB2312"/>
          <w:b w:val="0"/>
          <w:sz w:val="32"/>
        </w:rPr>
        <w:t>四、《财政拨款收入支出决算总表》</w:t>
      </w:r>
    </w:p>
    <w:p w14:paraId="43C353BB">
      <w:pPr>
        <w:spacing w:line="240" w:lineRule="auto"/>
        <w:ind w:firstLine="640"/>
        <w:jc w:val="both"/>
      </w:pPr>
      <w:r>
        <w:rPr>
          <w:rFonts w:ascii="仿宋_GB2312" w:hAnsi="仿宋_GB2312" w:eastAsia="仿宋_GB2312"/>
          <w:b w:val="0"/>
          <w:sz w:val="32"/>
        </w:rPr>
        <w:t>五、《一般公共预算财政拨款支出决算表》</w:t>
      </w:r>
    </w:p>
    <w:p w14:paraId="27429A6D">
      <w:pPr>
        <w:spacing w:line="240" w:lineRule="auto"/>
        <w:ind w:firstLine="640"/>
        <w:jc w:val="both"/>
      </w:pPr>
      <w:r>
        <w:rPr>
          <w:rFonts w:ascii="仿宋_GB2312" w:hAnsi="仿宋_GB2312" w:eastAsia="仿宋_GB2312"/>
          <w:b w:val="0"/>
          <w:sz w:val="32"/>
        </w:rPr>
        <w:t>六、《一般公共预算财政拨款基本支出决算表》</w:t>
      </w:r>
    </w:p>
    <w:p w14:paraId="1E3928FE">
      <w:pPr>
        <w:spacing w:line="240" w:lineRule="auto"/>
        <w:ind w:firstLine="640"/>
        <w:jc w:val="both"/>
      </w:pPr>
      <w:r>
        <w:rPr>
          <w:rFonts w:ascii="仿宋_GB2312" w:hAnsi="仿宋_GB2312" w:eastAsia="仿宋_GB2312"/>
          <w:b w:val="0"/>
          <w:sz w:val="32"/>
        </w:rPr>
        <w:t>七、《政府性基金预算财政拨款收入支出决算表》</w:t>
      </w:r>
    </w:p>
    <w:p w14:paraId="6A16E89B">
      <w:pPr>
        <w:spacing w:line="240" w:lineRule="auto"/>
        <w:ind w:firstLine="640"/>
        <w:jc w:val="both"/>
      </w:pPr>
      <w:r>
        <w:rPr>
          <w:rFonts w:ascii="仿宋_GB2312" w:hAnsi="仿宋_GB2312" w:eastAsia="仿宋_GB2312"/>
          <w:b w:val="0"/>
          <w:sz w:val="32"/>
        </w:rPr>
        <w:t>八、《国有资本经营预算财政拨款收入支出决算表》</w:t>
      </w:r>
    </w:p>
    <w:p w14:paraId="59778C06">
      <w:pPr>
        <w:spacing w:line="240" w:lineRule="auto"/>
        <w:ind w:firstLine="640"/>
        <w:jc w:val="both"/>
      </w:pPr>
      <w:r>
        <w:rPr>
          <w:rFonts w:ascii="仿宋_GB2312" w:hAnsi="仿宋_GB2312" w:eastAsia="仿宋_GB2312"/>
          <w:b w:val="0"/>
          <w:sz w:val="32"/>
        </w:rPr>
        <w:t>九、《财政拨款“三公”经费支出决算表》</w:t>
      </w:r>
    </w:p>
    <w:p w14:paraId="094F4AAB">
      <w:pPr>
        <w:spacing w:line="240" w:lineRule="auto"/>
        <w:ind w:firstLine="640"/>
        <w:jc w:val="both"/>
      </w:pPr>
    </w:p>
    <w:p w14:paraId="740B7546">
      <w:pPr>
        <w:spacing w:line="240" w:lineRule="auto"/>
        <w:ind w:firstLine="640"/>
        <w:jc w:val="both"/>
      </w:pPr>
    </w:p>
    <w:p w14:paraId="446DAD4B">
      <w:pPr>
        <w:spacing w:line="240" w:lineRule="auto"/>
        <w:ind w:firstLine="640"/>
        <w:jc w:val="both"/>
      </w:pPr>
    </w:p>
    <w:p w14:paraId="67F5C595">
      <w:pPr>
        <w:spacing w:line="240" w:lineRule="auto"/>
        <w:ind w:firstLine="640"/>
        <w:jc w:val="both"/>
      </w:pPr>
    </w:p>
    <w:p w14:paraId="0C76D40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54939C-BF74-4DED-B3A3-F1DD51F7DC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8EF26D7-DD41-4FE6-9AAB-D98DE575D3AE}"/>
  </w:font>
  <w:font w:name="仿宋_GB2312">
    <w:altName w:val="仿宋"/>
    <w:panose1 w:val="02010609030101010101"/>
    <w:charset w:val="86"/>
    <w:family w:val="modern"/>
    <w:pitch w:val="default"/>
    <w:sig w:usb0="00000000" w:usb1="00000000" w:usb2="00000000" w:usb3="00000000" w:csb0="00040000" w:csb1="00000000"/>
    <w:embedRegular r:id="rId3" w:fontKey="{9BF13861-B153-4D60-9038-B641D116B7DA}"/>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213B58F5-FEDE-4DB6-8EA6-8FBC9C5EA81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501E6D"/>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360FA6"/>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6745</Words>
  <Characters>7700</Characters>
  <Lines>0</Lines>
  <Paragraphs>0</Paragraphs>
  <TotalTime>7</TotalTime>
  <ScaleCrop>false</ScaleCrop>
  <LinksUpToDate>false</LinksUpToDate>
  <CharactersWithSpaces>7709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