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8B0228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val="en-US" w:eastAsia="zh-CN"/>
        </w:rPr>
        <w:t>昌吉回族自治州青少年活动中心2024</w:t>
      </w:r>
      <w:r>
        <w:rPr>
          <w:rFonts w:hint="eastAsia" w:ascii="方正小标宋_GBK" w:hAnsi="宋体" w:eastAsia="方正小标宋_GBK"/>
          <w:sz w:val="44"/>
          <w:szCs w:val="44"/>
          <w:highlight w:val="none"/>
          <w:lang w:eastAsia="zh-CN"/>
        </w:rPr>
        <w:t>年度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3ACD1F6">
      <w:r>
        <w:br w:type="page"/>
      </w:r>
    </w:p>
    <w:p w14:paraId="66AE22EB">
      <w:pPr>
        <w:spacing w:line="640" w:lineRule="exact"/>
        <w:jc w:val="center"/>
        <w:outlineLvl w:val="1"/>
      </w:pPr>
      <w:r>
        <w:rPr>
          <w:rFonts w:ascii="黑体" w:hAnsi="黑体" w:eastAsia="黑体"/>
          <w:sz w:val="32"/>
        </w:rPr>
        <w:t>第一部分 单位概况</w:t>
      </w:r>
    </w:p>
    <w:p w14:paraId="6A466C6A">
      <w:pPr>
        <w:spacing w:line="640" w:lineRule="exact"/>
        <w:ind w:firstLine="640"/>
        <w:jc w:val="both"/>
        <w:outlineLvl w:val="2"/>
      </w:pPr>
      <w:r>
        <w:rPr>
          <w:rFonts w:ascii="黑体" w:hAnsi="黑体" w:eastAsia="黑体"/>
          <w:sz w:val="32"/>
        </w:rPr>
        <w:t>一、主要职能</w:t>
      </w:r>
    </w:p>
    <w:p w14:paraId="63B69ADF">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运用各种文化艺术手段，寓教于乐，对青少年儿童进行共产主义教育、文化科学知识教育、生产劳动教育及体育、美育等方面的业余教育。</w:t>
      </w:r>
    </w:p>
    <w:p w14:paraId="3A873F03">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以社会效益、人才效益为主导，在保证社会效益的前提下，努力实现社会效益、经济效益和人才效益的有机统一。</w:t>
      </w:r>
    </w:p>
    <w:p w14:paraId="23362D34">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通过青少年活动中心和校内外开展形式多样、内容丰富的兴趣培训班、科普活动班、青少年军警校、法制税校、春夏秋冬令营等，丰富青少年儿童的生活，发展对他们科学、技术、体育、艺术等方面的兴趣和创造才能，为培养社会主义合格的接班人创造良好的学习环境。</w:t>
      </w:r>
    </w:p>
    <w:p w14:paraId="4556B158">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组织自治州青少年儿童与州内外青少年儿童的交流与学习，组织参加全国、区、州大赛，增进地区间青少年儿童的了解与友谊。</w:t>
      </w:r>
    </w:p>
    <w:p w14:paraId="06F8D66E">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指导各县市青少年活动中心（青少年宫）的工作。</w:t>
      </w:r>
    </w:p>
    <w:p w14:paraId="30C0306F">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承办昌吉州青少年活动中心交办的各项工作。</w:t>
      </w:r>
    </w:p>
    <w:p w14:paraId="7A659C31">
      <w:pPr>
        <w:spacing w:line="640" w:lineRule="exact"/>
        <w:ind w:firstLine="640"/>
        <w:jc w:val="both"/>
        <w:outlineLvl w:val="2"/>
      </w:pPr>
      <w:r>
        <w:rPr>
          <w:rFonts w:ascii="黑体" w:hAnsi="黑体" w:eastAsia="黑体"/>
          <w:sz w:val="32"/>
        </w:rPr>
        <w:t>二、机构设置及人员情况</w:t>
      </w:r>
    </w:p>
    <w:p w14:paraId="617EB594">
      <w:pPr>
        <w:spacing w:line="580" w:lineRule="exact"/>
        <w:ind w:firstLine="640"/>
        <w:jc w:val="both"/>
      </w:pPr>
      <w:r>
        <w:rPr>
          <w:rFonts w:ascii="仿宋_GB2312" w:hAnsi="仿宋_GB2312" w:eastAsia="仿宋_GB2312"/>
          <w:sz w:val="32"/>
        </w:rPr>
        <w:t>昌吉回族自治州青少年活动中心2024年度，实有人数5人，其中：在职人员5人，减少2人；离休人员0人，增加0人；退休人员0人,减少1人。</w:t>
      </w:r>
    </w:p>
    <w:p w14:paraId="72D8C7C9">
      <w:pPr>
        <w:spacing w:line="580" w:lineRule="exact"/>
        <w:ind w:firstLine="640"/>
        <w:jc w:val="both"/>
      </w:pPr>
      <w:r>
        <w:rPr>
          <w:rFonts w:ascii="仿宋_GB2312" w:hAnsi="仿宋_GB2312" w:eastAsia="仿宋_GB2312"/>
          <w:sz w:val="32"/>
        </w:rPr>
        <w:t>昌吉回族自治州青少年活动中心无下属预算单位，下设1个科室，分别是：办公室。</w:t>
      </w:r>
    </w:p>
    <w:p w14:paraId="16BDDA0C">
      <w:r>
        <w:br w:type="page"/>
      </w:r>
    </w:p>
    <w:p w14:paraId="492CD2B3">
      <w:pPr>
        <w:spacing w:line="240" w:lineRule="auto"/>
        <w:jc w:val="center"/>
        <w:outlineLvl w:val="1"/>
      </w:pPr>
      <w:r>
        <w:rPr>
          <w:rFonts w:ascii="黑体" w:hAnsi="黑体" w:eastAsia="黑体"/>
          <w:sz w:val="32"/>
        </w:rPr>
        <w:t>第二部分 部门决算情况说明</w:t>
      </w:r>
    </w:p>
    <w:p w14:paraId="53505104">
      <w:pPr>
        <w:spacing w:line="640" w:lineRule="exact"/>
        <w:ind w:firstLine="640"/>
        <w:jc w:val="both"/>
        <w:outlineLvl w:val="2"/>
      </w:pPr>
      <w:r>
        <w:rPr>
          <w:rFonts w:ascii="黑体" w:hAnsi="黑体" w:eastAsia="黑体"/>
          <w:sz w:val="32"/>
        </w:rPr>
        <w:t>一、收入支出决算总体情况说明</w:t>
      </w:r>
    </w:p>
    <w:p w14:paraId="52E0BE59">
      <w:pPr>
        <w:spacing w:line="580" w:lineRule="exact"/>
        <w:ind w:firstLine="640"/>
        <w:jc w:val="both"/>
      </w:pPr>
      <w:r>
        <w:rPr>
          <w:rFonts w:ascii="仿宋_GB2312" w:hAnsi="仿宋_GB2312" w:eastAsia="仿宋_GB2312"/>
          <w:b/>
          <w:sz w:val="32"/>
        </w:rPr>
        <w:t>2024年度收入总计179.10万元，</w:t>
      </w:r>
      <w:r>
        <w:rPr>
          <w:rFonts w:ascii="仿宋_GB2312" w:hAnsi="仿宋_GB2312" w:eastAsia="仿宋_GB2312"/>
          <w:b w:val="0"/>
          <w:sz w:val="32"/>
        </w:rPr>
        <w:t>其中：本年收入合计179.10万元，使用非财政拨款结余（含专用结余）0.00万元，年初结转和结余0.00万元。</w:t>
      </w:r>
    </w:p>
    <w:p w14:paraId="6A7ED801">
      <w:pPr>
        <w:spacing w:line="580" w:lineRule="exact"/>
        <w:ind w:firstLine="640"/>
        <w:jc w:val="both"/>
      </w:pPr>
      <w:r>
        <w:rPr>
          <w:rFonts w:ascii="仿宋_GB2312" w:hAnsi="仿宋_GB2312" w:eastAsia="仿宋_GB2312"/>
          <w:b/>
          <w:sz w:val="32"/>
        </w:rPr>
        <w:t>2024年度支出总计179.10万元，</w:t>
      </w:r>
      <w:r>
        <w:rPr>
          <w:rFonts w:ascii="仿宋_GB2312" w:hAnsi="仿宋_GB2312" w:eastAsia="仿宋_GB2312"/>
          <w:b w:val="0"/>
          <w:sz w:val="32"/>
        </w:rPr>
        <w:t>其中：本年支出合计150.66万元，结余分配28.44万元，年末结转和结余0.00万元。</w:t>
      </w:r>
    </w:p>
    <w:p w14:paraId="7F52E86B">
      <w:pPr>
        <w:spacing w:line="580" w:lineRule="exact"/>
        <w:ind w:firstLine="640"/>
        <w:jc w:val="both"/>
      </w:pPr>
      <w:r>
        <w:rPr>
          <w:rFonts w:ascii="仿宋_GB2312" w:hAnsi="仿宋_GB2312" w:eastAsia="仿宋_GB2312"/>
          <w:b w:val="0"/>
          <w:sz w:val="32"/>
        </w:rPr>
        <w:t>收入支出总体与上年相比，减少27.21万元，下降13.19%，主要原因是：本年在职人员减少，相关人员经费较上年减少。本年单位培训费减少。</w:t>
      </w:r>
    </w:p>
    <w:p w14:paraId="09A630FF">
      <w:pPr>
        <w:spacing w:line="640" w:lineRule="exact"/>
        <w:ind w:firstLine="640"/>
        <w:jc w:val="both"/>
        <w:outlineLvl w:val="2"/>
      </w:pPr>
      <w:r>
        <w:rPr>
          <w:rFonts w:ascii="黑体" w:hAnsi="黑体" w:eastAsia="黑体"/>
          <w:sz w:val="32"/>
        </w:rPr>
        <w:t>二、收入决算情况说明</w:t>
      </w:r>
    </w:p>
    <w:p w14:paraId="5852231D">
      <w:pPr>
        <w:spacing w:line="580" w:lineRule="exact"/>
        <w:ind w:firstLine="640"/>
        <w:jc w:val="both"/>
      </w:pPr>
      <w:r>
        <w:rPr>
          <w:rFonts w:ascii="仿宋_GB2312" w:hAnsi="仿宋_GB2312" w:eastAsia="仿宋_GB2312"/>
          <w:b/>
          <w:sz w:val="32"/>
        </w:rPr>
        <w:t>本年收入179.10万元，</w:t>
      </w:r>
      <w:r>
        <w:rPr>
          <w:rFonts w:ascii="仿宋_GB2312" w:hAnsi="仿宋_GB2312" w:eastAsia="仿宋_GB2312"/>
          <w:b w:val="0"/>
          <w:sz w:val="32"/>
        </w:rPr>
        <w:t>其中：财政拨款收入96.80万元，占54.05%；上级补助收入0.00万元，占0.00%；事业收入0.00万元，占0.00%；经营收入0.00万元，占0.00%；附属单位上缴收入0.00万元，占0.00%；其他收入82.30万元，占45.95%。</w:t>
      </w:r>
    </w:p>
    <w:p w14:paraId="048282C5">
      <w:pPr>
        <w:spacing w:line="640" w:lineRule="exact"/>
        <w:ind w:firstLine="640"/>
        <w:jc w:val="both"/>
        <w:outlineLvl w:val="2"/>
      </w:pPr>
      <w:r>
        <w:rPr>
          <w:rFonts w:ascii="黑体" w:hAnsi="黑体" w:eastAsia="黑体"/>
          <w:sz w:val="32"/>
        </w:rPr>
        <w:t>三、支出决算情况说明</w:t>
      </w:r>
    </w:p>
    <w:p w14:paraId="11EC3712">
      <w:pPr>
        <w:spacing w:line="580" w:lineRule="exact"/>
        <w:ind w:firstLine="640"/>
        <w:jc w:val="both"/>
      </w:pPr>
      <w:r>
        <w:rPr>
          <w:rFonts w:ascii="仿宋_GB2312" w:hAnsi="仿宋_GB2312" w:eastAsia="仿宋_GB2312"/>
          <w:b/>
          <w:sz w:val="32"/>
        </w:rPr>
        <w:t>本年支出150.66万元，</w:t>
      </w:r>
      <w:r>
        <w:rPr>
          <w:rFonts w:ascii="仿宋_GB2312" w:hAnsi="仿宋_GB2312" w:eastAsia="仿宋_GB2312"/>
          <w:b w:val="0"/>
          <w:sz w:val="32"/>
        </w:rPr>
        <w:t>其中：基本支出150.66万元，占100.00%；项目支出0.00万元，占0.00%；上缴上级支出0.00万元，占0.00%；经营支出0.00万元，占0.00%；对附属单位补助支出0.00万元，占0.00%。</w:t>
      </w:r>
    </w:p>
    <w:p w14:paraId="23919F14">
      <w:pPr>
        <w:spacing w:line="640" w:lineRule="exact"/>
        <w:ind w:firstLine="640"/>
        <w:jc w:val="both"/>
        <w:outlineLvl w:val="2"/>
      </w:pPr>
      <w:r>
        <w:rPr>
          <w:rFonts w:ascii="黑体" w:hAnsi="黑体" w:eastAsia="黑体"/>
          <w:sz w:val="32"/>
        </w:rPr>
        <w:t>四、财政拨款收入支出决算总体情况说明</w:t>
      </w:r>
    </w:p>
    <w:p w14:paraId="2B221201">
      <w:pPr>
        <w:spacing w:line="580" w:lineRule="exact"/>
        <w:ind w:firstLine="640"/>
        <w:jc w:val="both"/>
      </w:pPr>
      <w:r>
        <w:rPr>
          <w:rFonts w:ascii="仿宋_GB2312" w:hAnsi="仿宋_GB2312" w:eastAsia="仿宋_GB2312"/>
          <w:b/>
          <w:sz w:val="32"/>
        </w:rPr>
        <w:t>2024年度财政拨款收入总计96.80万元，</w:t>
      </w:r>
      <w:r>
        <w:rPr>
          <w:rFonts w:ascii="仿宋_GB2312" w:hAnsi="仿宋_GB2312" w:eastAsia="仿宋_GB2312"/>
          <w:b w:val="0"/>
          <w:sz w:val="32"/>
        </w:rPr>
        <w:t>其中：年初财政拨款结转和结余0.00万元，本年财政拨款收入96.80万元。</w:t>
      </w:r>
      <w:r>
        <w:rPr>
          <w:rFonts w:ascii="仿宋_GB2312" w:hAnsi="仿宋_GB2312" w:eastAsia="仿宋_GB2312"/>
          <w:b/>
          <w:sz w:val="32"/>
        </w:rPr>
        <w:t>财政拨款支出总计96.80万元，</w:t>
      </w:r>
      <w:r>
        <w:rPr>
          <w:rFonts w:ascii="仿宋_GB2312" w:hAnsi="仿宋_GB2312" w:eastAsia="仿宋_GB2312"/>
          <w:b w:val="0"/>
          <w:sz w:val="32"/>
        </w:rPr>
        <w:t>其中：年末财政拨款结转和结余0.00万元，本年财政拨款支出96.80万元。</w:t>
      </w:r>
    </w:p>
    <w:p w14:paraId="73B0C87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减少5.44万元，下降5.32%，主要原因是：本年在职人员减少，相关人员经费较上年减少。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年初预算数106.64万元，决算数96.80万元，预决算差异率-9.23%，主要原因是：本年在职人员减少，年中调减人员经费，导致预决算存在差异。</w:t>
      </w:r>
    </w:p>
    <w:p w14:paraId="46984331">
      <w:pPr>
        <w:spacing w:line="640" w:lineRule="exact"/>
        <w:ind w:firstLine="640"/>
        <w:jc w:val="both"/>
        <w:outlineLvl w:val="2"/>
      </w:pPr>
      <w:r>
        <w:rPr>
          <w:rFonts w:ascii="黑体" w:hAnsi="黑体" w:eastAsia="黑体"/>
          <w:sz w:val="32"/>
        </w:rPr>
        <w:t>五、一般公共预算财政拨款支出决算情况说明</w:t>
      </w:r>
    </w:p>
    <w:p w14:paraId="562E4695">
      <w:pPr>
        <w:spacing w:line="640" w:lineRule="exact"/>
        <w:ind w:firstLine="640"/>
        <w:jc w:val="both"/>
        <w:outlineLvl w:val="3"/>
      </w:pPr>
      <w:r>
        <w:rPr>
          <w:rFonts w:ascii="楷体_GB2312" w:hAnsi="楷体_GB2312" w:eastAsia="楷体_GB2312"/>
          <w:b/>
          <w:sz w:val="32"/>
        </w:rPr>
        <w:t>（一）一般公共预算财政拨款支出决算总体情况</w:t>
      </w:r>
    </w:p>
    <w:p w14:paraId="54674297">
      <w:pPr>
        <w:spacing w:line="580" w:lineRule="exact"/>
        <w:ind w:firstLine="640"/>
        <w:jc w:val="both"/>
      </w:pPr>
      <w:r>
        <w:rPr>
          <w:rFonts w:ascii="仿宋_GB2312" w:hAnsi="仿宋_GB2312" w:eastAsia="仿宋_GB2312"/>
          <w:b/>
          <w:sz w:val="32"/>
        </w:rPr>
        <w:t>2024年度一般公共预算财政拨款支出96.80万元，</w:t>
      </w:r>
      <w:r>
        <w:rPr>
          <w:rFonts w:ascii="仿宋_GB2312" w:hAnsi="仿宋_GB2312" w:eastAsia="仿宋_GB2312"/>
          <w:b w:val="0"/>
          <w:sz w:val="32"/>
        </w:rPr>
        <w:t>占本年支出合计的64.25%。</w:t>
      </w:r>
      <w:r>
        <w:rPr>
          <w:rFonts w:ascii="仿宋_GB2312" w:hAnsi="仿宋_GB2312" w:eastAsia="仿宋_GB2312"/>
          <w:b/>
          <w:sz w:val="32"/>
        </w:rPr>
        <w:t>与上年相比，</w:t>
      </w:r>
      <w:r>
        <w:rPr>
          <w:rFonts w:ascii="仿宋_GB2312" w:hAnsi="仿宋_GB2312" w:eastAsia="仿宋_GB2312"/>
          <w:b w:val="0"/>
          <w:sz w:val="32"/>
        </w:rPr>
        <w:t>减少5.44万元，下降5.32%，主要原因是：本年在职人员减少，相关人员经费较上年减少。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年初预算数106.64万元，决算数96.80万元，预决算差异率-9.23%，主要原因是：本年在职人员减少，年中调减人员经费，导致预决算存在差异。</w:t>
      </w:r>
    </w:p>
    <w:p w14:paraId="5C999D3E">
      <w:pPr>
        <w:spacing w:line="640" w:lineRule="exact"/>
        <w:ind w:firstLine="640"/>
        <w:jc w:val="both"/>
        <w:outlineLvl w:val="3"/>
      </w:pPr>
      <w:r>
        <w:rPr>
          <w:rFonts w:ascii="楷体_GB2312" w:hAnsi="楷体_GB2312" w:eastAsia="楷体_GB2312"/>
          <w:b/>
          <w:sz w:val="32"/>
        </w:rPr>
        <w:t>（二）一般公共预算财政拨款支出决算结构情况</w:t>
      </w:r>
    </w:p>
    <w:p w14:paraId="38F97AB4">
      <w:pPr>
        <w:spacing w:line="580" w:lineRule="exact"/>
        <w:ind w:firstLine="640"/>
        <w:jc w:val="both"/>
      </w:pPr>
      <w:r>
        <w:rPr>
          <w:rFonts w:ascii="仿宋_GB2312" w:hAnsi="仿宋_GB2312" w:eastAsia="仿宋_GB2312"/>
          <w:b w:val="0"/>
          <w:sz w:val="32"/>
        </w:rPr>
        <w:t>1.一般公共服务支出(类)64.08万元,占66.20%。</w:t>
      </w:r>
    </w:p>
    <w:p w14:paraId="420B0BF6">
      <w:pPr>
        <w:spacing w:line="580" w:lineRule="exact"/>
        <w:ind w:firstLine="640"/>
        <w:jc w:val="both"/>
      </w:pPr>
      <w:r>
        <w:rPr>
          <w:rFonts w:ascii="仿宋_GB2312" w:hAnsi="仿宋_GB2312" w:eastAsia="仿宋_GB2312"/>
          <w:b w:val="0"/>
          <w:sz w:val="32"/>
        </w:rPr>
        <w:t>2.社会保障和就业支出(类)17.28万元,占17.85%。</w:t>
      </w:r>
    </w:p>
    <w:p w14:paraId="2D82057C">
      <w:pPr>
        <w:spacing w:line="580" w:lineRule="exact"/>
        <w:ind w:firstLine="640"/>
        <w:jc w:val="both"/>
      </w:pPr>
      <w:r>
        <w:rPr>
          <w:rFonts w:ascii="仿宋_GB2312" w:hAnsi="仿宋_GB2312" w:eastAsia="仿宋_GB2312"/>
          <w:b w:val="0"/>
          <w:sz w:val="32"/>
        </w:rPr>
        <w:t>3.卫生健康支出(类)6.13万元,占6.33%。</w:t>
      </w:r>
    </w:p>
    <w:p w14:paraId="1C4495A2">
      <w:pPr>
        <w:spacing w:line="580" w:lineRule="exact"/>
        <w:ind w:firstLine="640"/>
        <w:jc w:val="both"/>
      </w:pPr>
      <w:r>
        <w:rPr>
          <w:rFonts w:ascii="仿宋_GB2312" w:hAnsi="仿宋_GB2312" w:eastAsia="仿宋_GB2312"/>
          <w:b w:val="0"/>
          <w:sz w:val="32"/>
        </w:rPr>
        <w:t>4.住房保障支出(类)9.30万元,占9.61%。</w:t>
      </w:r>
    </w:p>
    <w:p w14:paraId="2F328AC3">
      <w:pPr>
        <w:spacing w:line="640" w:lineRule="exact"/>
        <w:ind w:firstLine="640"/>
        <w:jc w:val="both"/>
        <w:outlineLvl w:val="3"/>
      </w:pPr>
      <w:r>
        <w:rPr>
          <w:rFonts w:ascii="楷体_GB2312" w:hAnsi="楷体_GB2312" w:eastAsia="楷体_GB2312"/>
          <w:b/>
          <w:sz w:val="32"/>
        </w:rPr>
        <w:t>（三）一般公共预算财政拨款支出决算具体情况</w:t>
      </w:r>
    </w:p>
    <w:p w14:paraId="02C1969F">
      <w:pPr>
        <w:spacing w:line="580" w:lineRule="exact"/>
        <w:ind w:firstLine="640"/>
        <w:jc w:val="both"/>
      </w:pPr>
      <w:r>
        <w:rPr>
          <w:rFonts w:ascii="仿宋_GB2312" w:hAnsi="仿宋_GB2312" w:eastAsia="仿宋_GB2312"/>
          <w:b w:val="0"/>
          <w:sz w:val="32"/>
        </w:rPr>
        <w:t>1.一般公共服务支出(类)群众团体事务(款)事业运行(项):支出决算数为64.08万元，比上年决算减少10.69万元，下降14.30%,主要原因是：本年在职人员减少，相应人员经费较上年减少。</w:t>
      </w:r>
    </w:p>
    <w:p w14:paraId="14718AB6">
      <w:pPr>
        <w:spacing w:line="580" w:lineRule="exact"/>
        <w:ind w:firstLine="640"/>
        <w:jc w:val="both"/>
      </w:pPr>
      <w:r>
        <w:rPr>
          <w:rFonts w:ascii="仿宋_GB2312" w:hAnsi="仿宋_GB2312" w:eastAsia="仿宋_GB2312"/>
          <w:b w:val="0"/>
          <w:sz w:val="32"/>
        </w:rPr>
        <w:t>2.社会保障和就业支出(类)行政事业单位养老支出(款)事业单位离退休(项):支出决算数为0.09万元，比上年决算减少0.32万元，下降78.05%,主要原因是：上年补发退休人员绩效，本年无补发退休人员绩效，导致相关经费较上年减少。</w:t>
      </w:r>
    </w:p>
    <w:p w14:paraId="0D886065">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11.46万元，比上年决算增加2.81万元，增长32.49%,主要原因是：本年在职人员工资基数调增，养老缴费基数上涨，相应支出增加。</w:t>
      </w:r>
    </w:p>
    <w:p w14:paraId="456D0839">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5.73万元，比上年决算增加1.41万元，增长32.64%,主要原因是：本年在职人员工资基数调增，职业年金缴费基数上涨，相应支出增加。</w:t>
      </w:r>
    </w:p>
    <w:p w14:paraId="51F19500">
      <w:pPr>
        <w:spacing w:line="580" w:lineRule="exact"/>
        <w:ind w:firstLine="640"/>
        <w:jc w:val="both"/>
      </w:pPr>
      <w:r>
        <w:rPr>
          <w:rFonts w:ascii="仿宋_GB2312" w:hAnsi="仿宋_GB2312" w:eastAsia="仿宋_GB2312"/>
          <w:b w:val="0"/>
          <w:sz w:val="32"/>
        </w:rPr>
        <w:t>5.卫生健康支出(类)行政事业单位医疗(款)事业单位医疗(项):支出决算数为5.73万元，比上年决算增加1.18万元，增长25.93%,主要原因是：本年在职人员工资基数调增，医疗缴费基数上涨，相应支出增加。</w:t>
      </w:r>
    </w:p>
    <w:p w14:paraId="42E24DAD">
      <w:pPr>
        <w:spacing w:line="580" w:lineRule="exact"/>
        <w:ind w:firstLine="640"/>
        <w:jc w:val="both"/>
      </w:pPr>
      <w:r>
        <w:rPr>
          <w:rFonts w:ascii="仿宋_GB2312" w:hAnsi="仿宋_GB2312" w:eastAsia="仿宋_GB2312"/>
          <w:b w:val="0"/>
          <w:sz w:val="32"/>
        </w:rPr>
        <w:t>6.卫生健康支出(类)行政事业单位医疗(款)公务员医疗补助(项):支出决算数为0.36万元，比上年决算增加0.17万元，增长89.47%,主要原因是：本年在职人员工资基数调增，医疗缴费基数上涨，相应支出增加。</w:t>
      </w:r>
    </w:p>
    <w:p w14:paraId="02BDC0C6">
      <w:pPr>
        <w:spacing w:line="580" w:lineRule="exact"/>
        <w:ind w:firstLine="640"/>
        <w:jc w:val="both"/>
      </w:pPr>
      <w:r>
        <w:rPr>
          <w:rFonts w:ascii="仿宋_GB2312" w:hAnsi="仿宋_GB2312" w:eastAsia="仿宋_GB2312"/>
          <w:b w:val="0"/>
          <w:sz w:val="32"/>
        </w:rPr>
        <w:t>7.卫生健康支出(类)行政事业单位医疗(款)其他行政事业单位医疗支出(项):支出决算数为0.05万元，比上年决算增加0.02万元，增长66.67%,主要原因是：本年在职人员工资基数调增，医疗缴费基数上涨，相应支出增加。</w:t>
      </w:r>
    </w:p>
    <w:p w14:paraId="402EF28F">
      <w:pPr>
        <w:spacing w:line="580" w:lineRule="exact"/>
        <w:ind w:firstLine="640"/>
        <w:jc w:val="both"/>
      </w:pPr>
      <w:r>
        <w:rPr>
          <w:rFonts w:ascii="仿宋_GB2312" w:hAnsi="仿宋_GB2312" w:eastAsia="仿宋_GB2312"/>
          <w:b w:val="0"/>
          <w:sz w:val="32"/>
        </w:rPr>
        <w:t>8.住房保障支出(类)住房改革支出(款)住房公积金(项):支出决算数为9.30万元，比上年决算减少0.02万元，下降0.21%,主要原因是：本年在职人员减少，住房公积金缴费较上年减少。</w:t>
      </w:r>
    </w:p>
    <w:p w14:paraId="4CD813A6">
      <w:pPr>
        <w:spacing w:line="640" w:lineRule="exact"/>
        <w:ind w:firstLine="640"/>
        <w:jc w:val="both"/>
        <w:outlineLvl w:val="2"/>
      </w:pPr>
      <w:r>
        <w:rPr>
          <w:rFonts w:ascii="黑体" w:hAnsi="黑体" w:eastAsia="黑体"/>
          <w:sz w:val="32"/>
        </w:rPr>
        <w:t>六、一般公共预算财政拨款基本支出决算情况说明</w:t>
      </w:r>
    </w:p>
    <w:p w14:paraId="6DD48C9E">
      <w:pPr>
        <w:spacing w:line="580" w:lineRule="exact"/>
        <w:ind w:firstLine="640"/>
        <w:jc w:val="both"/>
      </w:pPr>
      <w:r>
        <w:rPr>
          <w:rFonts w:ascii="仿宋_GB2312" w:hAnsi="仿宋_GB2312" w:eastAsia="仿宋_GB2312"/>
          <w:b w:val="0"/>
          <w:sz w:val="32"/>
        </w:rPr>
        <w:t>2024年度一般公共预算财政拨款基本支出96.80万元，其中：</w:t>
      </w:r>
      <w:r>
        <w:rPr>
          <w:rFonts w:ascii="仿宋_GB2312" w:hAnsi="仿宋_GB2312" w:eastAsia="仿宋_GB2312"/>
          <w:b/>
          <w:sz w:val="32"/>
        </w:rPr>
        <w:t>人员经费95.43万元，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包括：基本工资、津贴补贴、奖金、绩效工资、机关事业单位基本养老保险缴费、职业年金缴费、职工基本医疗保险缴费、公务员医疗补助缴费、其他社会保障缴费、住房公积金、生活补助。</w:t>
      </w:r>
    </w:p>
    <w:p w14:paraId="1FE1732E">
      <w:pPr>
        <w:spacing w:line="580" w:lineRule="exact"/>
        <w:ind w:firstLine="640"/>
        <w:jc w:val="both"/>
      </w:pPr>
      <w:r>
        <w:rPr>
          <w:rFonts w:ascii="仿宋_GB2312" w:hAnsi="仿宋_GB2312" w:eastAsia="仿宋_GB2312"/>
          <w:b/>
          <w:sz w:val="32"/>
        </w:rPr>
        <w:t>公用经费1.36万元，</w:t>
      </w:r>
      <w:r>
        <w:rPr>
          <w:rFonts w:ascii="仿宋_GB2312" w:hAnsi="仿宋_GB2312" w:eastAsia="仿宋_GB2312"/>
          <w:b w:val="0"/>
          <w:sz w:val="32"/>
        </w:rPr>
        <w:t>包括：办公费、福利费、其他商品和服务支出。</w:t>
      </w:r>
    </w:p>
    <w:p w14:paraId="6CF75391">
      <w:pPr>
        <w:spacing w:line="640" w:lineRule="exact"/>
        <w:ind w:firstLine="640"/>
        <w:jc w:val="both"/>
        <w:outlineLvl w:val="2"/>
      </w:pPr>
      <w:r>
        <w:rPr>
          <w:rFonts w:ascii="黑体" w:hAnsi="黑体" w:eastAsia="黑体"/>
          <w:sz w:val="32"/>
        </w:rPr>
        <w:t>七、政府性基金预算财政拨款收入支出决算情况说明</w:t>
      </w:r>
    </w:p>
    <w:p w14:paraId="050597BE">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B471BB6">
      <w:pPr>
        <w:spacing w:line="640" w:lineRule="exact"/>
        <w:ind w:firstLine="640"/>
        <w:jc w:val="both"/>
        <w:outlineLvl w:val="2"/>
      </w:pPr>
      <w:r>
        <w:rPr>
          <w:rFonts w:ascii="黑体" w:hAnsi="黑体" w:eastAsia="黑体"/>
          <w:sz w:val="32"/>
        </w:rPr>
        <w:t>八、国有资本经营预算财政拨款收入支出决算情况说明</w:t>
      </w:r>
    </w:p>
    <w:p w14:paraId="4BD009D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DA9E739">
      <w:pPr>
        <w:spacing w:line="640" w:lineRule="exact"/>
        <w:ind w:firstLine="640"/>
        <w:jc w:val="both"/>
        <w:outlineLvl w:val="2"/>
      </w:pPr>
      <w:r>
        <w:rPr>
          <w:rFonts w:ascii="黑体" w:hAnsi="黑体" w:eastAsia="黑体"/>
          <w:sz w:val="32"/>
        </w:rPr>
        <w:t>九、财政拨款“三公”经费支出决算情况说明</w:t>
      </w:r>
    </w:p>
    <w:p w14:paraId="5DB8F9CD">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0A1C0C51">
      <w:pPr>
        <w:spacing w:line="580" w:lineRule="exact"/>
        <w:ind w:firstLine="640"/>
        <w:jc w:val="both"/>
      </w:pPr>
      <w:r>
        <w:rPr>
          <w:rFonts w:ascii="仿宋_GB2312" w:hAnsi="仿宋_GB2312" w:eastAsia="仿宋_GB2312"/>
          <w:b/>
          <w:sz w:val="32"/>
        </w:rPr>
        <w:t>具体情况如下：</w:t>
      </w:r>
    </w:p>
    <w:p w14:paraId="4B80AD3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36B6989">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w:t>
      </w:r>
      <w:r>
        <w:rPr>
          <w:rFonts w:ascii="仿宋_GB2312" w:hAnsi="仿宋_GB2312" w:eastAsia="仿宋_GB2312"/>
          <w:b w:val="0"/>
          <w:w w:val="97"/>
          <w:sz w:val="32"/>
        </w:rPr>
        <w:t>车辆0辆，与公务用车保有量差异原因是：本单位无固定资产车辆。</w:t>
      </w:r>
    </w:p>
    <w:p w14:paraId="37836350">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76E8F6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3A56D9AC">
      <w:pPr>
        <w:spacing w:line="640" w:lineRule="exact"/>
        <w:ind w:firstLine="640"/>
        <w:jc w:val="both"/>
        <w:outlineLvl w:val="2"/>
      </w:pPr>
      <w:r>
        <w:rPr>
          <w:rFonts w:ascii="黑体" w:hAnsi="黑体" w:eastAsia="黑体"/>
          <w:sz w:val="32"/>
        </w:rPr>
        <w:t>十、其他重要事项的情况说明</w:t>
      </w:r>
    </w:p>
    <w:p w14:paraId="0EFA3355">
      <w:pPr>
        <w:spacing w:line="640" w:lineRule="exact"/>
        <w:ind w:firstLine="640"/>
        <w:jc w:val="both"/>
        <w:outlineLvl w:val="3"/>
      </w:pPr>
      <w:r>
        <w:rPr>
          <w:rFonts w:ascii="楷体_GB2312" w:hAnsi="楷体_GB2312" w:eastAsia="楷体_GB2312"/>
          <w:b/>
          <w:sz w:val="32"/>
        </w:rPr>
        <w:t>（一）机关运行经费及公用经费支出情况</w:t>
      </w:r>
    </w:p>
    <w:p w14:paraId="381693CE">
      <w:pPr>
        <w:spacing w:line="580" w:lineRule="exact"/>
        <w:ind w:firstLine="640"/>
        <w:jc w:val="both"/>
      </w:pPr>
      <w:r>
        <w:rPr>
          <w:rFonts w:ascii="仿宋_GB2312" w:hAnsi="仿宋_GB2312" w:eastAsia="仿宋_GB2312"/>
          <w:b w:val="0"/>
          <w:sz w:val="32"/>
        </w:rPr>
        <w:t>2024年度昌吉回族自治州青少年活动中心（事业单位）公用经费支出1.36万元，比上年增加0.33万元，增长32.04%，主要原因是：本年业务量增加，公用经费增加。</w:t>
      </w:r>
    </w:p>
    <w:p w14:paraId="494A3009">
      <w:pPr>
        <w:spacing w:line="640" w:lineRule="exact"/>
        <w:ind w:firstLine="640"/>
        <w:jc w:val="both"/>
        <w:outlineLvl w:val="3"/>
      </w:pPr>
      <w:r>
        <w:rPr>
          <w:rFonts w:ascii="楷体_GB2312" w:hAnsi="楷体_GB2312" w:eastAsia="楷体_GB2312"/>
          <w:b/>
          <w:sz w:val="32"/>
        </w:rPr>
        <w:t>（二）政府采购情况</w:t>
      </w:r>
    </w:p>
    <w:p w14:paraId="1BB46726">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1404C791">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5121D8BD">
      <w:pPr>
        <w:spacing w:line="640" w:lineRule="exact"/>
        <w:ind w:firstLine="640"/>
        <w:jc w:val="both"/>
        <w:outlineLvl w:val="3"/>
      </w:pPr>
      <w:r>
        <w:rPr>
          <w:rFonts w:ascii="楷体_GB2312" w:hAnsi="楷体_GB2312" w:eastAsia="楷体_GB2312"/>
          <w:b/>
          <w:sz w:val="32"/>
        </w:rPr>
        <w:t>（三）国有资产占用情况说明</w:t>
      </w:r>
    </w:p>
    <w:p w14:paraId="65C380AD">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w:t>
      </w:r>
      <w:r>
        <w:rPr>
          <w:rFonts w:hint="eastAsia" w:ascii="仿宋_GB2312" w:hAnsi="仿宋_GB2312" w:eastAsia="仿宋_GB2312"/>
          <w:b w:val="0"/>
          <w:sz w:val="32"/>
          <w:lang w:eastAsia="zh-CN"/>
        </w:rPr>
        <w:t>本单位</w:t>
      </w:r>
      <w:r>
        <w:rPr>
          <w:rFonts w:ascii="仿宋_GB2312" w:hAnsi="仿宋_GB2312" w:eastAsia="仿宋_GB2312"/>
          <w:b w:val="0"/>
          <w:sz w:val="32"/>
        </w:rPr>
        <w:t>无其他用车。单价100万元（含）以上设备（不含车辆）0台（套）。</w:t>
      </w:r>
    </w:p>
    <w:p w14:paraId="0D7838FF">
      <w:pPr>
        <w:spacing w:line="640" w:lineRule="exact"/>
        <w:ind w:firstLine="640"/>
        <w:jc w:val="both"/>
        <w:outlineLvl w:val="2"/>
      </w:pPr>
      <w:r>
        <w:rPr>
          <w:rFonts w:ascii="黑体" w:hAnsi="黑体" w:eastAsia="黑体"/>
          <w:sz w:val="32"/>
        </w:rPr>
        <w:t>十一、预算绩效的情况说明</w:t>
      </w:r>
    </w:p>
    <w:p w14:paraId="798E54B3">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179.10万元，实际执行总额150.66万元；预算绩效评价项目1个，全年预算数38.67万元，全年执行数34.28万元。预算绩效管理取得的成效：一是通过单位项目资金的实施，组织开展青少年丰富多彩的校外教育活动，切实把活动公益性、趣味性原则落到实处，做好青少年活动的组织管理，让更多的学生走入校外活动中心接受教育。二是通过绩效目标的实施，不断提高学生的综合素质，开展科技、劳动社团建设工作，不断丰富学生课外实践活动内容。发现的问题及原因：一是参加中心举办快乐假期活动的学生偏少，家长对快乐假期活动缺乏了解，送孩子参加活动的愿望不强烈，导致快乐假期活动覆盖面偏窄，影响活动质量。二是由于中心活动基本安排在周末、寒暑假时间段，聘请教师存在一定的难度，很难安排水平较高的教师负责授课工作，导致课程缺乏对家长和学生的吸引力，从而影响活动质量。下一步改进措施：一是继续完善运行机制，增强服务能力，提供最佳服务。青少年校外活动是学校工作的有效延伸，同学校有着密不可分的关系。在平时的工作中，定期和各个学校联系，相互协作，相互配合，共同为青少年的成长服务，使学校教育在这里得到有力</w:t>
      </w:r>
      <w:r>
        <w:rPr>
          <w:rFonts w:hint="eastAsia" w:ascii="仿宋_GB2312" w:hAnsi="仿宋_GB2312" w:eastAsia="仿宋_GB2312"/>
          <w:b w:val="0"/>
          <w:sz w:val="32"/>
          <w:lang w:eastAsia="zh-CN"/>
        </w:rPr>
        <w:t>地</w:t>
      </w:r>
      <w:r>
        <w:rPr>
          <w:rFonts w:ascii="仿宋_GB2312" w:hAnsi="仿宋_GB2312" w:eastAsia="仿宋_GB2312"/>
          <w:b w:val="0"/>
          <w:sz w:val="32"/>
        </w:rPr>
        <w:t>补充与强化。进一步增强服务意识，改善服务方式，提高服务质量和能力，扩大服务范围和项目。二是更新校外教育工作理念，把握机遇，结合实际选好校外活动项目，积极组织学生研学实践活动，办好校外教育，形成校外与校内教育的联动，优势互补，促进学生全面发展，共同进步。三是加强宣传，进一步扩大社会影响，优化服务理念，提高质量和水平。经常了解青少年学生的需求，了解广大家长的呼声，加强与家长和社会的沟通，广泛征求意见和建议，促进中心的健康和谐发展。具体附整体支出绩效自评表，项目支出绩效自评表和评价报告。</w:t>
      </w:r>
    </w:p>
    <w:p w14:paraId="085CB50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B5494E7">
        <w:tblPrEx>
          <w:tblCellMar>
            <w:top w:w="0" w:type="dxa"/>
            <w:left w:w="108" w:type="dxa"/>
            <w:bottom w:w="0" w:type="dxa"/>
            <w:right w:w="108" w:type="dxa"/>
          </w:tblCellMar>
        </w:tblPrEx>
        <w:tc>
          <w:tcPr>
            <w:tcW w:w="8847" w:type="dxa"/>
            <w:gridSpan w:val="9"/>
            <w:vAlign w:val="center"/>
          </w:tcPr>
          <w:p w14:paraId="4CC221AD">
            <w:pPr>
              <w:jc w:val="center"/>
            </w:pPr>
            <w:r>
              <w:rPr>
                <w:rFonts w:ascii="宋体" w:hAnsi="宋体" w:eastAsia="宋体"/>
                <w:sz w:val="24"/>
              </w:rPr>
              <w:t>单位整体支出绩效自评表</w:t>
            </w:r>
          </w:p>
        </w:tc>
      </w:tr>
      <w:tr w14:paraId="2269F6EA">
        <w:tblPrEx>
          <w:tblCellMar>
            <w:top w:w="0" w:type="dxa"/>
            <w:left w:w="108" w:type="dxa"/>
            <w:bottom w:w="0" w:type="dxa"/>
            <w:right w:w="108" w:type="dxa"/>
          </w:tblCellMar>
        </w:tblPrEx>
        <w:tc>
          <w:tcPr>
            <w:tcW w:w="8847" w:type="dxa"/>
            <w:gridSpan w:val="9"/>
            <w:vAlign w:val="center"/>
          </w:tcPr>
          <w:p w14:paraId="05C454BD">
            <w:pPr>
              <w:jc w:val="center"/>
            </w:pPr>
            <w:r>
              <w:rPr>
                <w:rFonts w:ascii="宋体" w:hAnsi="宋体" w:eastAsia="宋体"/>
                <w:sz w:val="24"/>
              </w:rPr>
              <w:t>（2024年度）</w:t>
            </w:r>
          </w:p>
        </w:tc>
      </w:tr>
      <w:tr w14:paraId="66A2BD0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1054FE">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9152F47">
            <w:pPr>
              <w:jc w:val="center"/>
            </w:pPr>
            <w:r>
              <w:rPr>
                <w:rFonts w:ascii="宋体" w:hAnsi="宋体" w:eastAsia="宋体"/>
                <w:sz w:val="16"/>
              </w:rPr>
              <w:t>昌吉回族自治州青少年活动中心</w:t>
            </w:r>
          </w:p>
        </w:tc>
      </w:tr>
      <w:tr w14:paraId="1844029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A08548">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C5B4B">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64519B">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BF0FE9">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C274B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CF100">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9765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5FF30">
            <w:pPr>
              <w:jc w:val="center"/>
            </w:pPr>
            <w:r>
              <w:rPr>
                <w:rFonts w:ascii="宋体" w:hAnsi="宋体" w:eastAsia="宋体"/>
                <w:sz w:val="16"/>
              </w:rPr>
              <w:t>得分</w:t>
            </w:r>
          </w:p>
        </w:tc>
      </w:tr>
      <w:tr w14:paraId="1D6F34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6A134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0B0FFA">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8AB0A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7553F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3207E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207B5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E51CD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98DCBE">
            <w:pPr>
              <w:jc w:val="center"/>
            </w:pPr>
            <w:r>
              <w:rPr>
                <w:rFonts w:ascii="宋体" w:hAnsi="宋体" w:eastAsia="宋体"/>
                <w:sz w:val="16"/>
              </w:rPr>
              <w:t>-</w:t>
            </w:r>
          </w:p>
        </w:tc>
      </w:tr>
      <w:tr w14:paraId="3F70E97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7BD49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84A33">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18FE2A">
            <w:pPr>
              <w:jc w:val="center"/>
            </w:pPr>
            <w:r>
              <w:rPr>
                <w:rFonts w:ascii="宋体" w:hAnsi="宋体" w:eastAsia="宋体"/>
                <w:sz w:val="16"/>
              </w:rPr>
              <w:t>106.64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94EECB">
            <w:pPr>
              <w:jc w:val="center"/>
            </w:pPr>
            <w:r>
              <w:rPr>
                <w:rFonts w:ascii="宋体" w:hAnsi="宋体" w:eastAsia="宋体"/>
                <w:sz w:val="16"/>
              </w:rPr>
              <w:t>106.64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750BA0">
            <w:pPr>
              <w:jc w:val="center"/>
            </w:pPr>
            <w:r>
              <w:rPr>
                <w:rFonts w:ascii="宋体" w:hAnsi="宋体" w:eastAsia="宋体"/>
                <w:sz w:val="16"/>
              </w:rPr>
              <w:t>96.80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99FA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B89EA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B8CAA7">
            <w:pPr>
              <w:jc w:val="center"/>
            </w:pPr>
            <w:r>
              <w:rPr>
                <w:rFonts w:ascii="宋体" w:hAnsi="宋体" w:eastAsia="宋体"/>
                <w:sz w:val="16"/>
              </w:rPr>
              <w:t>-</w:t>
            </w:r>
          </w:p>
        </w:tc>
      </w:tr>
      <w:tr w14:paraId="1C3974F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DD264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DC076">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D937F3">
            <w:pPr>
              <w:jc w:val="center"/>
            </w:pPr>
            <w:r>
              <w:rPr>
                <w:rFonts w:ascii="宋体" w:hAnsi="宋体" w:eastAsia="宋体"/>
                <w:sz w:val="16"/>
              </w:rPr>
              <w:t>58.17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9255EB">
            <w:pPr>
              <w:jc w:val="center"/>
            </w:pPr>
            <w:r>
              <w:rPr>
                <w:rFonts w:ascii="宋体" w:hAnsi="宋体" w:eastAsia="宋体"/>
                <w:sz w:val="16"/>
              </w:rPr>
              <w:t>72.46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305F3B">
            <w:pPr>
              <w:jc w:val="center"/>
            </w:pPr>
            <w:r>
              <w:rPr>
                <w:rFonts w:ascii="宋体" w:hAnsi="宋体" w:eastAsia="宋体"/>
                <w:sz w:val="16"/>
              </w:rPr>
              <w:t>53.86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304F9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0975E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8A158A">
            <w:pPr>
              <w:jc w:val="center"/>
            </w:pPr>
            <w:r>
              <w:rPr>
                <w:rFonts w:ascii="宋体" w:hAnsi="宋体" w:eastAsia="宋体"/>
                <w:sz w:val="16"/>
              </w:rPr>
              <w:t>-</w:t>
            </w:r>
          </w:p>
        </w:tc>
      </w:tr>
      <w:tr w14:paraId="79545B0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AA52F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131F7">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2D7B55">
            <w:pPr>
              <w:jc w:val="center"/>
            </w:pPr>
            <w:r>
              <w:rPr>
                <w:rFonts w:ascii="宋体" w:hAnsi="宋体" w:eastAsia="宋体"/>
                <w:sz w:val="16"/>
              </w:rPr>
              <w:t>164.81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6FF560">
            <w:pPr>
              <w:jc w:val="center"/>
            </w:pPr>
            <w:r>
              <w:rPr>
                <w:rFonts w:ascii="宋体" w:hAnsi="宋体" w:eastAsia="宋体"/>
                <w:sz w:val="16"/>
              </w:rPr>
              <w:t>179.10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77DB83">
            <w:pPr>
              <w:jc w:val="center"/>
            </w:pPr>
            <w:r>
              <w:rPr>
                <w:rFonts w:ascii="宋体" w:hAnsi="宋体" w:eastAsia="宋体"/>
                <w:sz w:val="16"/>
              </w:rPr>
              <w:t>150.66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D6392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4D9CAE">
            <w:pPr>
              <w:jc w:val="center"/>
            </w:pPr>
            <w:r>
              <w:rPr>
                <w:rFonts w:ascii="宋体" w:hAnsi="宋体" w:eastAsia="宋体"/>
                <w:sz w:val="16"/>
              </w:rPr>
              <w:t>84.12%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D3B561">
            <w:pPr>
              <w:jc w:val="center"/>
            </w:pPr>
            <w:r>
              <w:rPr>
                <w:rFonts w:ascii="宋体" w:hAnsi="宋体" w:eastAsia="宋体"/>
                <w:sz w:val="16"/>
              </w:rPr>
              <w:t>8.4</w:t>
            </w:r>
          </w:p>
        </w:tc>
      </w:tr>
      <w:tr w14:paraId="0CB8CFD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7FFA46">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FA32FF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BE4D14">
            <w:pPr>
              <w:jc w:val="center"/>
            </w:pPr>
            <w:r>
              <w:rPr>
                <w:rFonts w:ascii="宋体" w:hAnsi="宋体" w:eastAsia="宋体"/>
                <w:sz w:val="16"/>
              </w:rPr>
              <w:t>实际完成情况</w:t>
            </w:r>
          </w:p>
        </w:tc>
      </w:tr>
      <w:tr w14:paraId="0672688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24CA8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5612C84">
            <w:pPr>
              <w:jc w:val="both"/>
            </w:pPr>
            <w:r>
              <w:rPr>
                <w:rFonts w:ascii="宋体" w:hAnsi="宋体" w:eastAsia="宋体"/>
                <w:sz w:val="16"/>
              </w:rPr>
              <w:t>运用各种文化艺术手段，寓教于乐，对青少年儿童进行共产主义教育、文化科学知识教育、生产劳动教育及体育、美育等方面的业余教育。以社会效益、人才效益为主导，在保证社会效益的前提下，努力实现社会效益、经济效益和人才效益的有机统一。</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44058F">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179.10万元，全年执行数为150.66万元，总预算执行率为84.12%。一是2023年参加昌吉州青少年活动中心艺术培训班总人数达到358人次，达到加大宣传力度，扩大招生规模的预期；二是举办各类艺术培训班次22班次；三是举办各类艺术培训聘用教师人数2人；四是举办各类艺术培训班课程种类5种；五是本年新增课程种类2种，达到创新工作思路、拓宽课程种类的预期；六是各班参加培训学生结课率达到100%</w:t>
            </w:r>
          </w:p>
        </w:tc>
      </w:tr>
      <w:tr w14:paraId="1DACFFA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03A2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591097">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5E1A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68DA66">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366DF7">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DE662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4BF1A4">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E88886">
            <w:pPr>
              <w:jc w:val="center"/>
            </w:pPr>
            <w:r>
              <w:rPr>
                <w:rFonts w:ascii="宋体" w:hAnsi="宋体" w:eastAsia="宋体"/>
                <w:sz w:val="16"/>
              </w:rPr>
              <w:t>得分</w:t>
            </w:r>
          </w:p>
        </w:tc>
      </w:tr>
      <w:tr w14:paraId="7A45C7C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EA2136">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BAAB43">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57071">
            <w:pPr>
              <w:jc w:val="center"/>
            </w:pPr>
            <w:r>
              <w:rPr>
                <w:rFonts w:ascii="宋体" w:hAnsi="宋体" w:eastAsia="宋体"/>
                <w:sz w:val="16"/>
              </w:rPr>
              <w:t>2024年参加昌吉州青少年活动中心艺术培训班总人次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F35628">
            <w:pPr>
              <w:jc w:val="center"/>
            </w:pPr>
            <w:r>
              <w:rPr>
                <w:rFonts w:ascii="宋体" w:hAnsi="宋体" w:eastAsia="宋体"/>
                <w:sz w:val="16"/>
              </w:rPr>
              <w:t>&gt;=300人/次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F0050">
            <w:pPr>
              <w:jc w:val="center"/>
            </w:pPr>
            <w:r>
              <w:rPr>
                <w:rFonts w:ascii="宋体" w:hAnsi="宋体" w:eastAsia="宋体"/>
                <w:sz w:val="16"/>
              </w:rPr>
              <w:t>昌吉州青少年活动中心2021年至2023年工作开展情况及2024年度工作计划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DEC4D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83CCC1">
            <w:pPr>
              <w:jc w:val="center"/>
            </w:pPr>
            <w:r>
              <w:rPr>
                <w:rFonts w:ascii="宋体" w:hAnsi="宋体" w:eastAsia="宋体"/>
                <w:sz w:val="16"/>
              </w:rPr>
              <w:t>358人/次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FF3E1">
            <w:pPr>
              <w:jc w:val="center"/>
            </w:pPr>
            <w:r>
              <w:rPr>
                <w:rFonts w:ascii="宋体" w:hAnsi="宋体" w:eastAsia="宋体"/>
                <w:sz w:val="16"/>
              </w:rPr>
              <w:t>15</w:t>
            </w:r>
          </w:p>
        </w:tc>
      </w:tr>
      <w:tr w14:paraId="5D24699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B2FD7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02FE2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DB833">
            <w:pPr>
              <w:jc w:val="center"/>
            </w:pPr>
            <w:r>
              <w:rPr>
                <w:rFonts w:ascii="宋体" w:hAnsi="宋体" w:eastAsia="宋体"/>
                <w:sz w:val="16"/>
              </w:rPr>
              <w:t>举办各类艺术培训班次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498641">
            <w:pPr>
              <w:jc w:val="center"/>
            </w:pPr>
            <w:r>
              <w:rPr>
                <w:rFonts w:ascii="宋体" w:hAnsi="宋体" w:eastAsia="宋体"/>
                <w:sz w:val="16"/>
              </w:rPr>
              <w:t>&gt;=5班次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BAF0CF">
            <w:pPr>
              <w:jc w:val="center"/>
            </w:pPr>
            <w:r>
              <w:rPr>
                <w:rFonts w:ascii="宋体" w:hAnsi="宋体" w:eastAsia="宋体"/>
                <w:sz w:val="16"/>
              </w:rPr>
              <w:t>昌吉州青少年活动中心2021年至2023年工作开展情况及2024年度工作计划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CAF18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F0E5FB">
            <w:pPr>
              <w:jc w:val="center"/>
            </w:pPr>
            <w:r>
              <w:rPr>
                <w:rFonts w:ascii="宋体" w:hAnsi="宋体" w:eastAsia="宋体"/>
                <w:sz w:val="16"/>
              </w:rPr>
              <w:t>22班次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C76AE3">
            <w:pPr>
              <w:jc w:val="center"/>
            </w:pPr>
            <w:r>
              <w:rPr>
                <w:rFonts w:ascii="宋体" w:hAnsi="宋体" w:eastAsia="宋体"/>
                <w:sz w:val="16"/>
              </w:rPr>
              <w:t>15</w:t>
            </w:r>
          </w:p>
        </w:tc>
      </w:tr>
      <w:tr w14:paraId="604FD6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262D3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EEBD9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EA8E3">
            <w:pPr>
              <w:jc w:val="center"/>
            </w:pPr>
            <w:r>
              <w:rPr>
                <w:rFonts w:ascii="宋体" w:hAnsi="宋体" w:eastAsia="宋体"/>
                <w:sz w:val="16"/>
              </w:rPr>
              <w:t>举办各类艺术培训聘用教师人数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95D38C">
            <w:pPr>
              <w:jc w:val="center"/>
            </w:pPr>
            <w:r>
              <w:rPr>
                <w:rFonts w:ascii="宋体" w:hAnsi="宋体" w:eastAsia="宋体"/>
                <w:sz w:val="16"/>
              </w:rPr>
              <w:t>&gt;=2人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DB7E0F">
            <w:pPr>
              <w:jc w:val="center"/>
            </w:pPr>
            <w:r>
              <w:rPr>
                <w:rFonts w:ascii="宋体" w:hAnsi="宋体" w:eastAsia="宋体"/>
                <w:sz w:val="16"/>
              </w:rPr>
              <w:t>昌吉州青少年活动中心2021年至2023年工作开展情况及2024年度工作计划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02E01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E7AF6E">
            <w:pPr>
              <w:jc w:val="center"/>
            </w:pPr>
            <w:r>
              <w:rPr>
                <w:rFonts w:ascii="宋体" w:hAnsi="宋体" w:eastAsia="宋体"/>
                <w:sz w:val="16"/>
              </w:rPr>
              <w:t>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813F98">
            <w:pPr>
              <w:jc w:val="center"/>
            </w:pPr>
            <w:r>
              <w:rPr>
                <w:rFonts w:ascii="宋体" w:hAnsi="宋体" w:eastAsia="宋体"/>
                <w:sz w:val="16"/>
              </w:rPr>
              <w:t>15</w:t>
            </w:r>
          </w:p>
        </w:tc>
      </w:tr>
      <w:tr w14:paraId="36464C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F6BD5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EF578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34BDF">
            <w:pPr>
              <w:jc w:val="center"/>
            </w:pPr>
            <w:r>
              <w:rPr>
                <w:rFonts w:ascii="宋体" w:hAnsi="宋体" w:eastAsia="宋体"/>
                <w:sz w:val="16"/>
              </w:rPr>
              <w:t>举办各类艺术培训班课程种类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D2E37">
            <w:pPr>
              <w:jc w:val="center"/>
            </w:pPr>
            <w:r>
              <w:rPr>
                <w:rFonts w:ascii="宋体" w:hAnsi="宋体" w:eastAsia="宋体"/>
                <w:sz w:val="16"/>
              </w:rPr>
              <w:t>&gt;=5种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EDF2D8">
            <w:pPr>
              <w:jc w:val="center"/>
            </w:pPr>
            <w:r>
              <w:rPr>
                <w:rFonts w:ascii="宋体" w:hAnsi="宋体" w:eastAsia="宋体"/>
                <w:sz w:val="16"/>
              </w:rPr>
              <w:t>昌吉州青少年活动中心2021年至2023年工作开展情况及2024年度工作计划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6B8F2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6FB25C">
            <w:pPr>
              <w:jc w:val="center"/>
            </w:pPr>
            <w:r>
              <w:rPr>
                <w:rFonts w:ascii="宋体" w:hAnsi="宋体" w:eastAsia="宋体"/>
                <w:sz w:val="16"/>
              </w:rPr>
              <w:t>5种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E83D79">
            <w:pPr>
              <w:jc w:val="center"/>
            </w:pPr>
            <w:r>
              <w:rPr>
                <w:rFonts w:ascii="宋体" w:hAnsi="宋体" w:eastAsia="宋体"/>
                <w:sz w:val="16"/>
              </w:rPr>
              <w:t>15</w:t>
            </w:r>
          </w:p>
        </w:tc>
      </w:tr>
      <w:tr w14:paraId="16AB52D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0EFB6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E3FCD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E4FD5">
            <w:pPr>
              <w:jc w:val="center"/>
            </w:pPr>
            <w:r>
              <w:rPr>
                <w:rFonts w:ascii="宋体" w:hAnsi="宋体" w:eastAsia="宋体"/>
                <w:sz w:val="16"/>
              </w:rPr>
              <w:t>本年新增课程种类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FB4898">
            <w:pPr>
              <w:jc w:val="center"/>
            </w:pPr>
            <w:r>
              <w:rPr>
                <w:rFonts w:ascii="宋体" w:hAnsi="宋体" w:eastAsia="宋体"/>
                <w:sz w:val="16"/>
              </w:rPr>
              <w:t>&gt;=1种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6D1F8">
            <w:pPr>
              <w:jc w:val="center"/>
            </w:pPr>
            <w:r>
              <w:rPr>
                <w:rFonts w:ascii="宋体" w:hAnsi="宋体" w:eastAsia="宋体"/>
                <w:sz w:val="16"/>
              </w:rPr>
              <w:t>昌吉州青少年活动中心2021年至2023年工作开展情况及2024年度工作计划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199D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9B034E">
            <w:pPr>
              <w:jc w:val="center"/>
            </w:pPr>
            <w:r>
              <w:rPr>
                <w:rFonts w:ascii="宋体" w:hAnsi="宋体" w:eastAsia="宋体"/>
                <w:sz w:val="16"/>
              </w:rPr>
              <w:t>2种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86F89F">
            <w:pPr>
              <w:jc w:val="center"/>
            </w:pPr>
            <w:r>
              <w:rPr>
                <w:rFonts w:ascii="宋体" w:hAnsi="宋体" w:eastAsia="宋体"/>
                <w:sz w:val="16"/>
              </w:rPr>
              <w:t>15</w:t>
            </w:r>
          </w:p>
        </w:tc>
      </w:tr>
      <w:tr w14:paraId="22C218F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99954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0187D">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2826D9">
            <w:pPr>
              <w:jc w:val="center"/>
            </w:pPr>
            <w:r>
              <w:rPr>
                <w:rFonts w:ascii="宋体" w:hAnsi="宋体" w:eastAsia="宋体"/>
                <w:sz w:val="16"/>
              </w:rPr>
              <w:t>各班参加培训学生结课率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394364">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98FBE8">
            <w:pPr>
              <w:jc w:val="center"/>
            </w:pPr>
            <w:r>
              <w:rPr>
                <w:rFonts w:ascii="宋体" w:hAnsi="宋体" w:eastAsia="宋体"/>
                <w:sz w:val="16"/>
              </w:rPr>
              <w:t>昌吉州青少年活动中心2021年至2023年工作开展情况及2024年度工作计划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A2081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62A81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B571EF">
            <w:pPr>
              <w:jc w:val="center"/>
            </w:pPr>
            <w:r>
              <w:rPr>
                <w:rFonts w:ascii="宋体" w:hAnsi="宋体" w:eastAsia="宋体"/>
                <w:sz w:val="16"/>
              </w:rPr>
              <w:t>15</w:t>
            </w:r>
          </w:p>
        </w:tc>
      </w:tr>
    </w:tbl>
    <w:p w14:paraId="2793203E">
      <w:r>
        <w:br w:type="page"/>
      </w:r>
    </w:p>
    <w:tbl>
      <w:tblPr>
        <w:tblStyle w:val="9"/>
        <w:tblW w:w="0" w:type="auto"/>
        <w:tblInd w:w="0" w:type="dxa"/>
        <w:tblLayout w:type="autofit"/>
        <w:tblCellMar>
          <w:top w:w="0" w:type="dxa"/>
          <w:left w:w="108" w:type="dxa"/>
          <w:bottom w:w="0" w:type="dxa"/>
          <w:right w:w="108" w:type="dxa"/>
        </w:tblCellMar>
      </w:tblPr>
      <w:tblGrid>
        <w:gridCol w:w="616"/>
        <w:gridCol w:w="590"/>
        <w:gridCol w:w="591"/>
        <w:gridCol w:w="617"/>
        <w:gridCol w:w="604"/>
        <w:gridCol w:w="776"/>
        <w:gridCol w:w="696"/>
        <w:gridCol w:w="776"/>
        <w:gridCol w:w="629"/>
        <w:gridCol w:w="591"/>
        <w:gridCol w:w="696"/>
        <w:gridCol w:w="591"/>
        <w:gridCol w:w="591"/>
        <w:gridCol w:w="696"/>
      </w:tblGrid>
      <w:tr w14:paraId="73EF46BA">
        <w:tblPrEx>
          <w:tblCellMar>
            <w:top w:w="0" w:type="dxa"/>
            <w:left w:w="108" w:type="dxa"/>
            <w:bottom w:w="0" w:type="dxa"/>
            <w:right w:w="108" w:type="dxa"/>
          </w:tblCellMar>
        </w:tblPrEx>
        <w:tc>
          <w:tcPr>
            <w:tcW w:w="8848" w:type="dxa"/>
            <w:gridSpan w:val="14"/>
            <w:vAlign w:val="center"/>
          </w:tcPr>
          <w:p w14:paraId="1D1FEBD8">
            <w:pPr>
              <w:jc w:val="center"/>
            </w:pPr>
            <w:r>
              <w:rPr>
                <w:rFonts w:ascii="宋体" w:hAnsi="宋体" w:eastAsia="宋体"/>
                <w:sz w:val="24"/>
              </w:rPr>
              <w:t>项目支出绩效自评表</w:t>
            </w:r>
          </w:p>
        </w:tc>
      </w:tr>
      <w:tr w14:paraId="0A76A8D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E5F2D64">
            <w:pPr>
              <w:jc w:val="center"/>
            </w:pPr>
            <w:r>
              <w:rPr>
                <w:rFonts w:ascii="宋体" w:hAnsi="宋体" w:eastAsia="宋体"/>
                <w:sz w:val="24"/>
              </w:rPr>
              <w:t>(2024年度)</w:t>
            </w:r>
          </w:p>
        </w:tc>
      </w:tr>
      <w:tr w14:paraId="3FDBF0E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8F63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C76767A">
            <w:pPr>
              <w:jc w:val="center"/>
            </w:pPr>
            <w:r>
              <w:rPr>
                <w:rFonts w:ascii="宋体" w:hAnsi="宋体" w:eastAsia="宋体"/>
                <w:sz w:val="16"/>
              </w:rPr>
              <w:t>机构运行补助</w:t>
            </w:r>
          </w:p>
        </w:tc>
      </w:tr>
      <w:tr w14:paraId="7AEA607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6D80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F424EB">
            <w:pPr>
              <w:jc w:val="center"/>
            </w:pPr>
            <w:r>
              <w:rPr>
                <w:rFonts w:ascii="宋体" w:hAnsi="宋体" w:eastAsia="宋体"/>
                <w:sz w:val="16"/>
              </w:rPr>
              <w:t>中国共产主义青年团昌吉回族自治州委员会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CEB2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56E82E3">
            <w:pPr>
              <w:jc w:val="center"/>
            </w:pPr>
            <w:r>
              <w:rPr>
                <w:rFonts w:ascii="宋体" w:hAnsi="宋体" w:eastAsia="宋体"/>
                <w:sz w:val="16"/>
              </w:rPr>
              <w:t>昌吉回族自治州青少年活动中心</w:t>
            </w:r>
          </w:p>
        </w:tc>
      </w:tr>
      <w:tr w14:paraId="284C838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59A5F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1DB3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3610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0DF4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7A5D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6773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6B35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F66AF">
            <w:pPr>
              <w:jc w:val="center"/>
            </w:pPr>
            <w:r>
              <w:rPr>
                <w:rFonts w:ascii="宋体" w:hAnsi="宋体" w:eastAsia="宋体"/>
                <w:sz w:val="16"/>
              </w:rPr>
              <w:t>得分</w:t>
            </w:r>
          </w:p>
        </w:tc>
      </w:tr>
      <w:tr w14:paraId="7B8731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6A94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ED56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9DA12">
            <w:pPr>
              <w:jc w:val="center"/>
            </w:pPr>
            <w:r>
              <w:rPr>
                <w:rFonts w:ascii="宋体" w:hAnsi="宋体" w:eastAsia="宋体"/>
                <w:sz w:val="16"/>
              </w:rPr>
              <w:t>29.37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9A47A5">
            <w:pPr>
              <w:jc w:val="center"/>
            </w:pPr>
            <w:r>
              <w:rPr>
                <w:rFonts w:ascii="宋体" w:hAnsi="宋体" w:eastAsia="宋体"/>
                <w:sz w:val="16"/>
              </w:rPr>
              <w:t>38.67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0920B">
            <w:pPr>
              <w:jc w:val="center"/>
            </w:pPr>
            <w:r>
              <w:rPr>
                <w:rFonts w:ascii="宋体" w:hAnsi="宋体" w:eastAsia="宋体"/>
                <w:sz w:val="16"/>
              </w:rPr>
              <w:t>34.28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AF4FE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FE073">
            <w:pPr>
              <w:jc w:val="center"/>
            </w:pPr>
            <w:r>
              <w:rPr>
                <w:rFonts w:ascii="宋体" w:hAnsi="宋体" w:eastAsia="宋体"/>
                <w:sz w:val="16"/>
              </w:rPr>
              <w:t>88.65%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2D1BE">
            <w:pPr>
              <w:jc w:val="center"/>
            </w:pPr>
            <w:r>
              <w:rPr>
                <w:rFonts w:ascii="宋体" w:hAnsi="宋体" w:eastAsia="宋体"/>
                <w:sz w:val="16"/>
              </w:rPr>
              <w:t>7.16</w:t>
            </w:r>
          </w:p>
        </w:tc>
      </w:tr>
      <w:tr w14:paraId="21201A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A8669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1733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DAD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AB1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7DDCA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0B791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92B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A1EF5">
            <w:pPr>
              <w:jc w:val="center"/>
            </w:pPr>
            <w:r>
              <w:rPr>
                <w:rFonts w:ascii="宋体" w:hAnsi="宋体" w:eastAsia="宋体"/>
                <w:sz w:val="16"/>
              </w:rPr>
              <w:t>—</w:t>
            </w:r>
          </w:p>
        </w:tc>
      </w:tr>
      <w:tr w14:paraId="0B1010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CFD9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8BE5B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945C1">
            <w:pPr>
              <w:jc w:val="center"/>
            </w:pPr>
            <w:r>
              <w:rPr>
                <w:rFonts w:ascii="宋体" w:hAnsi="宋体" w:eastAsia="宋体"/>
                <w:sz w:val="16"/>
              </w:rPr>
              <w:t>29.37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7711F">
            <w:pPr>
              <w:jc w:val="center"/>
            </w:pPr>
            <w:r>
              <w:rPr>
                <w:rFonts w:ascii="宋体" w:hAnsi="宋体" w:eastAsia="宋体"/>
                <w:sz w:val="16"/>
              </w:rPr>
              <w:t>38.67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33FAF6">
            <w:pPr>
              <w:jc w:val="center"/>
            </w:pPr>
            <w:r>
              <w:rPr>
                <w:rFonts w:ascii="宋体" w:hAnsi="宋体" w:eastAsia="宋体"/>
                <w:sz w:val="16"/>
              </w:rPr>
              <w:t>34.28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2B77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7D5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A46BC">
            <w:pPr>
              <w:jc w:val="center"/>
            </w:pPr>
            <w:r>
              <w:rPr>
                <w:rFonts w:ascii="宋体" w:hAnsi="宋体" w:eastAsia="宋体"/>
                <w:sz w:val="16"/>
              </w:rPr>
              <w:t>—</w:t>
            </w:r>
          </w:p>
        </w:tc>
      </w:tr>
      <w:tr w14:paraId="70FB816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1E92F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16BFE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E6009F">
            <w:pPr>
              <w:jc w:val="center"/>
            </w:pPr>
            <w:r>
              <w:rPr>
                <w:rFonts w:ascii="宋体" w:hAnsi="宋体" w:eastAsia="宋体"/>
                <w:sz w:val="16"/>
              </w:rPr>
              <w:t>实际完成情况</w:t>
            </w:r>
          </w:p>
        </w:tc>
      </w:tr>
      <w:tr w14:paraId="63D555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8DF5F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B3F6BD">
            <w:pPr>
              <w:jc w:val="both"/>
            </w:pPr>
            <w:r>
              <w:rPr>
                <w:rFonts w:ascii="宋体" w:hAnsi="宋体" w:eastAsia="宋体"/>
                <w:sz w:val="16"/>
              </w:rPr>
              <w:t>保障单位正常运转，确保各类艺术培训正常进行。保障各班培训开展人数5人以上；保障办公人员数量7人；保障单位运转，提升服务质量。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909E71">
            <w:pPr>
              <w:jc w:val="both"/>
            </w:pPr>
            <w:r>
              <w:rPr>
                <w:rFonts w:hint="eastAsia" w:ascii="宋体" w:hAnsi="宋体"/>
                <w:sz w:val="16"/>
                <w:lang w:eastAsia="zh-CN"/>
              </w:rPr>
              <w:t>截至</w:t>
            </w:r>
            <w:r>
              <w:rPr>
                <w:rFonts w:ascii="宋体" w:hAnsi="宋体" w:eastAsia="宋体"/>
                <w:sz w:val="16"/>
              </w:rPr>
              <w:t>2024年12月31日，单位各项业务工作顺利开展，各类艺术培训正常进行，各班培训实际开展人数6人，保障办公人员数量7人。通过该项目的实施提升了服务质量，保障了单位运转。</w:t>
            </w:r>
          </w:p>
        </w:tc>
      </w:tr>
      <w:tr w14:paraId="38F45E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38C13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26D1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BAD0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4E66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1CC4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3A38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E134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5FB6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4B63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E4C6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6EDD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76C4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1FBF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1920E">
            <w:pPr>
              <w:jc w:val="center"/>
            </w:pPr>
            <w:r>
              <w:rPr>
                <w:rFonts w:ascii="宋体" w:hAnsi="宋体" w:eastAsia="宋体"/>
                <w:sz w:val="16"/>
              </w:rPr>
              <w:t>偏差原因分析及改进措施</w:t>
            </w:r>
          </w:p>
        </w:tc>
      </w:tr>
      <w:tr w14:paraId="24D2924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953FF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E8547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BF436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ED6D6">
            <w:pPr>
              <w:jc w:val="center"/>
            </w:pPr>
            <w:r>
              <w:rPr>
                <w:rFonts w:ascii="宋体" w:hAnsi="宋体" w:eastAsia="宋体"/>
                <w:sz w:val="16"/>
              </w:rPr>
              <w:t>保障各班培训开展人数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CD1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7E034">
            <w:pPr>
              <w:jc w:val="center"/>
            </w:pPr>
            <w:r>
              <w:rPr>
                <w:rFonts w:ascii="宋体" w:hAnsi="宋体" w:eastAsia="宋体"/>
                <w:sz w:val="16"/>
              </w:rPr>
              <w:t>&gt;=5人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5022C">
            <w:pPr>
              <w:jc w:val="center"/>
            </w:pPr>
            <w:r>
              <w:rPr>
                <w:rFonts w:ascii="宋体" w:hAnsi="宋体" w:eastAsia="宋体"/>
                <w:sz w:val="16"/>
              </w:rPr>
              <w: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635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07D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17D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020C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202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415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1FC64">
            <w:pPr>
              <w:jc w:val="center"/>
            </w:pPr>
          </w:p>
        </w:tc>
      </w:tr>
      <w:tr w14:paraId="55F072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6D2D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954A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BC3E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6AB2D">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557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16E59">
            <w:pPr>
              <w:jc w:val="center"/>
            </w:pPr>
            <w:r>
              <w:rPr>
                <w:rFonts w:ascii="宋体" w:hAnsi="宋体" w:eastAsia="宋体"/>
                <w:sz w:val="16"/>
              </w:rPr>
              <w:t>&gt;=7人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804F8">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46B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A86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EE7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C378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6AF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50F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22912">
            <w:pPr>
              <w:jc w:val="center"/>
            </w:pPr>
          </w:p>
        </w:tc>
      </w:tr>
      <w:tr w14:paraId="1E8C8A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9D9F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C7C9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0E1A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E2F41">
            <w:pPr>
              <w:jc w:val="center"/>
            </w:pPr>
            <w:r>
              <w:rPr>
                <w:rFonts w:ascii="宋体" w:hAnsi="宋体" w:eastAsia="宋体"/>
                <w:sz w:val="16"/>
              </w:rPr>
              <w:t>保障机关正常运行率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E59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D4B5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8B2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07878">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27284">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15B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4EE0E">
            <w:pPr>
              <w:jc w:val="center"/>
            </w:pPr>
            <w:r>
              <w:rPr>
                <w:rFonts w:ascii="宋体" w:hAnsi="宋体" w:eastAsia="宋体"/>
                <w:sz w:val="16"/>
              </w:rPr>
              <w:t>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214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D8E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8702C">
            <w:pPr>
              <w:jc w:val="center"/>
            </w:pPr>
            <w:r>
              <w:rPr>
                <w:rFonts w:ascii="宋体" w:hAnsi="宋体" w:eastAsia="宋体"/>
                <w:sz w:val="16"/>
              </w:rPr>
              <w:t>年初工作计划设置保守，实际完成情况较好，达到100%，超过预期完成值，因此产生偏差</w:t>
            </w:r>
          </w:p>
        </w:tc>
      </w:tr>
      <w:tr w14:paraId="32F2FB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5A48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CDC8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8A9D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6FF4E">
            <w:pPr>
              <w:jc w:val="center"/>
            </w:pPr>
            <w:r>
              <w:rPr>
                <w:rFonts w:ascii="宋体" w:hAnsi="宋体" w:eastAsia="宋体"/>
                <w:sz w:val="16"/>
              </w:rPr>
              <w:t>各项经费支付及时率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204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A658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BE2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0726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B259F">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0EE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FD302">
            <w:pPr>
              <w:jc w:val="center"/>
            </w:pPr>
            <w:r>
              <w:rPr>
                <w:rFonts w:ascii="宋体" w:hAnsi="宋体" w:eastAsia="宋体"/>
                <w:sz w:val="16"/>
              </w:rPr>
              <w:t>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F7E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C68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6D508">
            <w:pPr>
              <w:jc w:val="center"/>
            </w:pPr>
            <w:r>
              <w:rPr>
                <w:rFonts w:ascii="宋体" w:hAnsi="宋体" w:eastAsia="宋体"/>
                <w:sz w:val="16"/>
              </w:rPr>
              <w:t>年初工作计划设置保守，实际完成情况较好，达到1</w:t>
            </w:r>
            <w:bookmarkStart w:id="0" w:name="_GoBack"/>
            <w:bookmarkEnd w:id="0"/>
            <w:r>
              <w:rPr>
                <w:rFonts w:ascii="宋体" w:hAnsi="宋体" w:eastAsia="宋体"/>
                <w:sz w:val="16"/>
              </w:rPr>
              <w:t>00%，超过预期完成值，因此产生偏差</w:t>
            </w:r>
          </w:p>
        </w:tc>
      </w:tr>
      <w:tr w14:paraId="49031D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C692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B7460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E6FB9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D3471">
            <w:pPr>
              <w:jc w:val="center"/>
            </w:pPr>
            <w:r>
              <w:rPr>
                <w:rFonts w:ascii="宋体" w:hAnsi="宋体" w:eastAsia="宋体"/>
                <w:sz w:val="16"/>
              </w:rPr>
              <w:t>保各项刚性支出及代课教师劳务费发放等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EA4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B51D0">
            <w:pPr>
              <w:jc w:val="center"/>
            </w:pPr>
            <w:r>
              <w:rPr>
                <w:rFonts w:ascii="宋体" w:hAnsi="宋体" w:eastAsia="宋体"/>
                <w:sz w:val="16"/>
              </w:rPr>
              <w:t>&lt;=24.3万元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97760">
            <w:pPr>
              <w:jc w:val="center"/>
            </w:pPr>
            <w:r>
              <w:rPr>
                <w:rFonts w:ascii="宋体" w:hAnsi="宋体" w:eastAsia="宋体"/>
                <w:sz w:val="16"/>
              </w:rPr>
              <w:t>=21.26万元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BF3F7">
            <w:pPr>
              <w:jc w:val="center"/>
            </w:pPr>
            <w:r>
              <w:rPr>
                <w:rFonts w:ascii="宋体" w:hAnsi="宋体" w:eastAsia="宋体"/>
                <w:sz w:val="16"/>
              </w:rPr>
              <w:t>87.49%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DFBCF">
            <w:pPr>
              <w:jc w:val="center"/>
            </w:pPr>
            <w:r>
              <w:rPr>
                <w:rFonts w:ascii="宋体" w:hAnsi="宋体" w:eastAsia="宋体"/>
                <w:sz w:val="16"/>
              </w:rPr>
              <w:t>6.87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95D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26C9A">
            <w:pPr>
              <w:jc w:val="center"/>
            </w:pPr>
            <w:r>
              <w:rPr>
                <w:rFonts w:ascii="宋体" w:hAnsi="宋体" w:eastAsia="宋体"/>
                <w:sz w:val="16"/>
              </w:rPr>
              <w:t>10.16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8BB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43F4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DECF4">
            <w:pPr>
              <w:jc w:val="center"/>
            </w:pPr>
            <w:r>
              <w:rPr>
                <w:rFonts w:ascii="宋体" w:hAnsi="宋体" w:eastAsia="宋体"/>
                <w:sz w:val="16"/>
              </w:rPr>
              <w:t>由于部分老师发票未及时开出，导致劳务费支付出现偏差</w:t>
            </w:r>
          </w:p>
        </w:tc>
      </w:tr>
      <w:tr w14:paraId="4F922B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C5A5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2F8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11E7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FC14F">
            <w:pPr>
              <w:jc w:val="center"/>
            </w:pPr>
            <w:r>
              <w:rPr>
                <w:rFonts w:ascii="宋体" w:hAnsi="宋体" w:eastAsia="宋体"/>
                <w:sz w:val="16"/>
              </w:rPr>
              <w:t>保其他运转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ABD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3B2E3">
            <w:pPr>
              <w:jc w:val="center"/>
            </w:pPr>
            <w:r>
              <w:rPr>
                <w:rFonts w:ascii="宋体" w:hAnsi="宋体" w:eastAsia="宋体"/>
                <w:sz w:val="16"/>
              </w:rPr>
              <w:t>&lt;=14.37万元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93ACC">
            <w:pPr>
              <w:jc w:val="center"/>
            </w:pPr>
            <w:r>
              <w:rPr>
                <w:rFonts w:ascii="宋体" w:hAnsi="宋体" w:eastAsia="宋体"/>
                <w:sz w:val="16"/>
              </w:rPr>
              <w:t>=12.99万元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4DD3C">
            <w:pPr>
              <w:jc w:val="center"/>
            </w:pPr>
            <w:r>
              <w:rPr>
                <w:rFonts w:ascii="宋体" w:hAnsi="宋体" w:eastAsia="宋体"/>
                <w:sz w:val="16"/>
              </w:rPr>
              <w:t>90.4%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EECBA">
            <w:pPr>
              <w:jc w:val="center"/>
            </w:pPr>
            <w:r>
              <w:rPr>
                <w:rFonts w:ascii="宋体" w:hAnsi="宋体" w:eastAsia="宋体"/>
                <w:sz w:val="16"/>
              </w:rPr>
              <w:t>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2FA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E6F48">
            <w:pPr>
              <w:jc w:val="center"/>
            </w:pPr>
            <w:r>
              <w:rPr>
                <w:rFonts w:ascii="宋体" w:hAnsi="宋体" w:eastAsia="宋体"/>
                <w:sz w:val="16"/>
              </w:rPr>
              <w:t>7.31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0EA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08D8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44326">
            <w:pPr>
              <w:jc w:val="center"/>
            </w:pPr>
            <w:r>
              <w:rPr>
                <w:rFonts w:ascii="宋体" w:hAnsi="宋体" w:eastAsia="宋体"/>
                <w:sz w:val="16"/>
              </w:rPr>
              <w:t>由于今年部分工作做了调整，未按年初计划</w:t>
            </w:r>
            <w:r>
              <w:rPr>
                <w:rFonts w:hint="eastAsia" w:ascii="宋体" w:hAnsi="宋体"/>
                <w:sz w:val="16"/>
                <w:lang w:eastAsia="zh-CN"/>
              </w:rPr>
              <w:t>执行</w:t>
            </w:r>
            <w:r>
              <w:rPr>
                <w:rFonts w:ascii="宋体" w:hAnsi="宋体" w:eastAsia="宋体"/>
                <w:sz w:val="16"/>
              </w:rPr>
              <w:t>，导致经费使用出现偏差</w:t>
            </w:r>
          </w:p>
        </w:tc>
      </w:tr>
      <w:tr w14:paraId="3D5351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B08B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BB6B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D5BB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83652">
            <w:pPr>
              <w:jc w:val="center"/>
            </w:pPr>
            <w:r>
              <w:rPr>
                <w:rFonts w:ascii="宋体" w:hAnsi="宋体" w:eastAsia="宋体"/>
                <w:sz w:val="16"/>
              </w:rPr>
              <w:t>保障单位运转，提升服务质量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0550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CA8A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33D0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E2E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C265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210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BAC24">
            <w:pPr>
              <w:jc w:val="center"/>
            </w:pPr>
            <w:r>
              <w:rPr>
                <w:rFonts w:ascii="宋体" w:hAnsi="宋体" w:eastAsia="宋体"/>
                <w:sz w:val="16"/>
              </w:rPr>
              <w:t>未达监控节点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180A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F52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29DEA">
            <w:pPr>
              <w:jc w:val="center"/>
            </w:pPr>
          </w:p>
        </w:tc>
      </w:tr>
      <w:tr w14:paraId="21798C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739D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96A8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D6A1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6EF16">
            <w:pPr>
              <w:jc w:val="center"/>
            </w:pPr>
            <w:r>
              <w:rPr>
                <w:rFonts w:ascii="宋体" w:hAnsi="宋体" w:eastAsia="宋体"/>
                <w:sz w:val="16"/>
              </w:rPr>
              <w:t>单位职工满意率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4B5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F670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14D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3EE1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30C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8DF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59D99">
            <w:pPr>
              <w:jc w:val="center"/>
            </w:pPr>
            <w:r>
              <w:rPr>
                <w:rFonts w:ascii="宋体" w:hAnsi="宋体" w:eastAsia="宋体"/>
                <w:sz w:val="16"/>
              </w:rPr>
              <w:t>未达监控节点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3BF1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3B5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9620D">
            <w:pPr>
              <w:jc w:val="center"/>
            </w:pPr>
            <w:r>
              <w:rPr>
                <w:rFonts w:ascii="宋体" w:hAnsi="宋体" w:eastAsia="宋体"/>
                <w:sz w:val="16"/>
              </w:rPr>
              <w:t>年初设置保守，实际实施情况较好，满意度达100%，超过预期完成值，因此产生偏差</w:t>
            </w:r>
          </w:p>
        </w:tc>
      </w:tr>
      <w:tr w14:paraId="7129E9C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E5D82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4E8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66AB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D3D1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2778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0841C">
            <w:pPr>
              <w:jc w:val="center"/>
            </w:pPr>
            <w:r>
              <w:rPr>
                <w:rFonts w:ascii="宋体" w:hAnsi="宋体" w:eastAsia="宋体"/>
                <w:sz w:val="16"/>
              </w:rPr>
              <w:t>89.41分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1AD4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0992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189C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E7E3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BD1766"/>
        </w:tc>
      </w:tr>
    </w:tbl>
    <w:p w14:paraId="1B971316">
      <w:r>
        <w:br w:type="page"/>
      </w:r>
    </w:p>
    <w:p w14:paraId="493D7E04">
      <w:pPr>
        <w:spacing w:line="640" w:lineRule="exact"/>
        <w:ind w:firstLine="640"/>
        <w:jc w:val="both"/>
        <w:outlineLvl w:val="2"/>
      </w:pPr>
      <w:r>
        <w:rPr>
          <w:rFonts w:ascii="黑体" w:hAnsi="黑体" w:eastAsia="黑体"/>
          <w:sz w:val="32"/>
        </w:rPr>
        <w:t>十二、其他需说明的事项</w:t>
      </w:r>
    </w:p>
    <w:p w14:paraId="04D1CD65">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1874EEF8">
      <w:r>
        <w:br w:type="page"/>
      </w:r>
    </w:p>
    <w:p w14:paraId="51E37BA8">
      <w:pPr>
        <w:spacing w:line="240" w:lineRule="auto"/>
        <w:jc w:val="center"/>
        <w:outlineLvl w:val="1"/>
      </w:pPr>
      <w:r>
        <w:rPr>
          <w:rFonts w:ascii="黑体" w:hAnsi="黑体" w:eastAsia="黑体"/>
          <w:sz w:val="32"/>
        </w:rPr>
        <w:t>第三部分 专业名词解释</w:t>
      </w:r>
    </w:p>
    <w:p w14:paraId="0958394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A9B682A">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CDB491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CEF0CB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91614B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9B6272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DC3A08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639F912">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6197A3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193C4ED">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FC96A2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0E28AF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053288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90E8A3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39AC55B">
      <w:r>
        <w:br w:type="page"/>
      </w:r>
    </w:p>
    <w:p w14:paraId="1AC82638">
      <w:pPr>
        <w:spacing w:line="240" w:lineRule="auto"/>
        <w:jc w:val="center"/>
        <w:outlineLvl w:val="1"/>
      </w:pPr>
      <w:r>
        <w:rPr>
          <w:rFonts w:ascii="黑体" w:hAnsi="黑体" w:eastAsia="黑体"/>
          <w:sz w:val="32"/>
        </w:rPr>
        <w:t>第四部分 部门决算报表（见附表）</w:t>
      </w:r>
    </w:p>
    <w:p w14:paraId="712C983C">
      <w:pPr>
        <w:spacing w:line="240" w:lineRule="auto"/>
        <w:ind w:firstLine="640"/>
        <w:jc w:val="both"/>
      </w:pPr>
      <w:r>
        <w:rPr>
          <w:rFonts w:ascii="仿宋_GB2312" w:hAnsi="仿宋_GB2312" w:eastAsia="仿宋_GB2312"/>
          <w:b w:val="0"/>
          <w:sz w:val="32"/>
        </w:rPr>
        <w:t>一、《收入支出决算总表》</w:t>
      </w:r>
    </w:p>
    <w:p w14:paraId="39D5F9AE">
      <w:pPr>
        <w:spacing w:line="240" w:lineRule="auto"/>
        <w:ind w:firstLine="640"/>
        <w:jc w:val="both"/>
      </w:pPr>
      <w:r>
        <w:rPr>
          <w:rFonts w:ascii="仿宋_GB2312" w:hAnsi="仿宋_GB2312" w:eastAsia="仿宋_GB2312"/>
          <w:b w:val="0"/>
          <w:sz w:val="32"/>
        </w:rPr>
        <w:t>二、《收入决算表》</w:t>
      </w:r>
    </w:p>
    <w:p w14:paraId="1F96345D">
      <w:pPr>
        <w:spacing w:line="240" w:lineRule="auto"/>
        <w:ind w:firstLine="640"/>
        <w:jc w:val="both"/>
      </w:pPr>
      <w:r>
        <w:rPr>
          <w:rFonts w:ascii="仿宋_GB2312" w:hAnsi="仿宋_GB2312" w:eastAsia="仿宋_GB2312"/>
          <w:b w:val="0"/>
          <w:sz w:val="32"/>
        </w:rPr>
        <w:t>三、《支出决算表》</w:t>
      </w:r>
    </w:p>
    <w:p w14:paraId="23FB3BB9">
      <w:pPr>
        <w:spacing w:line="240" w:lineRule="auto"/>
        <w:ind w:firstLine="640"/>
        <w:jc w:val="both"/>
      </w:pPr>
      <w:r>
        <w:rPr>
          <w:rFonts w:ascii="仿宋_GB2312" w:hAnsi="仿宋_GB2312" w:eastAsia="仿宋_GB2312"/>
          <w:b w:val="0"/>
          <w:sz w:val="32"/>
        </w:rPr>
        <w:t>四、《财政拨款收入支出决算总表》</w:t>
      </w:r>
    </w:p>
    <w:p w14:paraId="56A637BF">
      <w:pPr>
        <w:spacing w:line="240" w:lineRule="auto"/>
        <w:ind w:firstLine="640"/>
        <w:jc w:val="both"/>
      </w:pPr>
      <w:r>
        <w:rPr>
          <w:rFonts w:ascii="仿宋_GB2312" w:hAnsi="仿宋_GB2312" w:eastAsia="仿宋_GB2312"/>
          <w:b w:val="0"/>
          <w:sz w:val="32"/>
        </w:rPr>
        <w:t>五、《一般公共预算财政拨款支出决算表》</w:t>
      </w:r>
    </w:p>
    <w:p w14:paraId="05DF2EAA">
      <w:pPr>
        <w:spacing w:line="240" w:lineRule="auto"/>
        <w:ind w:firstLine="640"/>
        <w:jc w:val="both"/>
      </w:pPr>
      <w:r>
        <w:rPr>
          <w:rFonts w:ascii="仿宋_GB2312" w:hAnsi="仿宋_GB2312" w:eastAsia="仿宋_GB2312"/>
          <w:b w:val="0"/>
          <w:sz w:val="32"/>
        </w:rPr>
        <w:t>六、《一般公共预算财政拨款基本支出决算表》</w:t>
      </w:r>
    </w:p>
    <w:p w14:paraId="6E10A196">
      <w:pPr>
        <w:spacing w:line="240" w:lineRule="auto"/>
        <w:ind w:firstLine="640"/>
        <w:jc w:val="both"/>
      </w:pPr>
      <w:r>
        <w:rPr>
          <w:rFonts w:ascii="仿宋_GB2312" w:hAnsi="仿宋_GB2312" w:eastAsia="仿宋_GB2312"/>
          <w:b w:val="0"/>
          <w:sz w:val="32"/>
        </w:rPr>
        <w:t>七、《政府性基金预算财政拨款收入支出决算表》</w:t>
      </w:r>
    </w:p>
    <w:p w14:paraId="6D9A3D42">
      <w:pPr>
        <w:spacing w:line="240" w:lineRule="auto"/>
        <w:ind w:firstLine="640"/>
        <w:jc w:val="both"/>
      </w:pPr>
      <w:r>
        <w:rPr>
          <w:rFonts w:ascii="仿宋_GB2312" w:hAnsi="仿宋_GB2312" w:eastAsia="仿宋_GB2312"/>
          <w:b w:val="0"/>
          <w:sz w:val="32"/>
        </w:rPr>
        <w:t>八、《国有资本经营预算财政拨款收入支出决算表》</w:t>
      </w:r>
    </w:p>
    <w:p w14:paraId="61F1DCBD">
      <w:pPr>
        <w:spacing w:line="240" w:lineRule="auto"/>
        <w:ind w:firstLine="640"/>
        <w:jc w:val="both"/>
      </w:pPr>
      <w:r>
        <w:rPr>
          <w:rFonts w:ascii="仿宋_GB2312" w:hAnsi="仿宋_GB2312" w:eastAsia="仿宋_GB2312"/>
          <w:b w:val="0"/>
          <w:sz w:val="32"/>
        </w:rPr>
        <w:t>九、《财政拨款“三公”经费支出决算表》</w:t>
      </w:r>
    </w:p>
    <w:p w14:paraId="2B8E53D3">
      <w:pPr>
        <w:spacing w:line="240" w:lineRule="auto"/>
        <w:ind w:firstLine="640"/>
        <w:jc w:val="both"/>
      </w:pPr>
    </w:p>
    <w:p w14:paraId="77513F9B">
      <w:pPr>
        <w:spacing w:line="240" w:lineRule="auto"/>
        <w:ind w:firstLine="640"/>
        <w:jc w:val="both"/>
      </w:pPr>
    </w:p>
    <w:p w14:paraId="13A361EC">
      <w:pPr>
        <w:spacing w:line="240" w:lineRule="auto"/>
        <w:ind w:firstLine="640"/>
        <w:jc w:val="both"/>
      </w:pPr>
    </w:p>
    <w:p w14:paraId="2856F3E3">
      <w:pPr>
        <w:spacing w:line="240" w:lineRule="auto"/>
        <w:ind w:firstLine="640"/>
        <w:jc w:val="both"/>
      </w:pPr>
    </w:p>
    <w:p w14:paraId="4AD7EF0C">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5964C7-68E3-46B9-A7C0-0CAB286ACB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6905A84-89E1-4C3A-9037-DC2A15804B3F}"/>
  </w:font>
  <w:font w:name="仿宋_GB2312">
    <w:altName w:val="仿宋"/>
    <w:panose1 w:val="02010609030101010101"/>
    <w:charset w:val="86"/>
    <w:family w:val="modern"/>
    <w:pitch w:val="default"/>
    <w:sig w:usb0="00000000" w:usb1="00000000" w:usb2="00000000" w:usb3="00000000" w:csb0="00040000" w:csb1="00000000"/>
    <w:embedRegular r:id="rId3" w:fontKey="{561BAC53-29C5-4EF4-BF8E-F606558F1A02}"/>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55E1494D-A0C8-4F49-BEA9-519E239920B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4FC4FA9"/>
    <w:rsid w:val="55DA564E"/>
    <w:rsid w:val="56E07045"/>
    <w:rsid w:val="583059FA"/>
    <w:rsid w:val="587E6212"/>
    <w:rsid w:val="5AFC6609"/>
    <w:rsid w:val="5FA17648"/>
    <w:rsid w:val="5FD320BD"/>
    <w:rsid w:val="60DE4D57"/>
    <w:rsid w:val="611E7D3A"/>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4876</Words>
  <Characters>5505</Characters>
  <Lines>0</Lines>
  <Paragraphs>0</Paragraphs>
  <TotalTime>2</TotalTime>
  <ScaleCrop>false</ScaleCrop>
  <LinksUpToDate>false</LinksUpToDate>
  <CharactersWithSpaces>5513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2025-10-15T05:34:27Z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