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昌吉回族自治州农村合作经济经营管理局2024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CE76C09">
      <w:r>
        <w:br w:type="page"/>
      </w:r>
    </w:p>
    <w:p w14:paraId="59097BA7">
      <w:pPr>
        <w:spacing w:line="640" w:lineRule="exact"/>
        <w:jc w:val="center"/>
        <w:outlineLvl w:val="1"/>
      </w:pPr>
      <w:r>
        <w:rPr>
          <w:rFonts w:ascii="黑体" w:hAnsi="黑体" w:eastAsia="黑体"/>
          <w:sz w:val="32"/>
        </w:rPr>
        <w:t>第一部分 单位概况</w:t>
      </w:r>
    </w:p>
    <w:p w14:paraId="48777619">
      <w:pPr>
        <w:spacing w:line="640" w:lineRule="exact"/>
        <w:ind w:firstLine="640"/>
        <w:jc w:val="both"/>
        <w:outlineLvl w:val="2"/>
      </w:pPr>
      <w:r>
        <w:rPr>
          <w:rFonts w:ascii="黑体" w:hAnsi="黑体" w:eastAsia="黑体"/>
          <w:sz w:val="32"/>
        </w:rPr>
        <w:t>一、主要职能</w:t>
      </w:r>
    </w:p>
    <w:p w14:paraId="2855D7E0">
      <w:pPr>
        <w:spacing w:line="580" w:lineRule="exact"/>
        <w:ind w:firstLine="640"/>
        <w:jc w:val="both"/>
      </w:pPr>
      <w:r>
        <w:rPr>
          <w:rFonts w:ascii="仿宋_GB2312" w:hAnsi="仿宋_GB2312" w:eastAsia="仿宋_GB2312"/>
          <w:sz w:val="32"/>
        </w:rPr>
        <w:t>(一)贯彻执行党和国家、自治区关于“三农”工作的方针、政策、法律法规。</w:t>
      </w:r>
    </w:p>
    <w:p w14:paraId="045C2F59">
      <w:pPr>
        <w:spacing w:line="580" w:lineRule="exact"/>
        <w:ind w:firstLine="640"/>
        <w:jc w:val="both"/>
      </w:pPr>
      <w:r>
        <w:rPr>
          <w:rFonts w:ascii="仿宋_GB2312" w:hAnsi="仿宋_GB2312" w:eastAsia="仿宋_GB2312"/>
          <w:sz w:val="32"/>
        </w:rPr>
        <w:t>(二)承担农民承包地改革及管理有关工作；指导全州农村土地经营权流转；指导农村土地承包经营纠纷调解仲裁；协助开展</w:t>
      </w:r>
      <w:r>
        <w:rPr>
          <w:rFonts w:ascii="仿宋_GB2312" w:hAnsi="仿宋_GB2312" w:eastAsia="仿宋_GB2312"/>
          <w:spacing w:val="-6"/>
          <w:sz w:val="32"/>
        </w:rPr>
        <w:t>工商企业等社会资本租赁农地资格审查、项目审核和风险防范工作。</w:t>
      </w:r>
    </w:p>
    <w:p w14:paraId="740335D7">
      <w:pPr>
        <w:spacing w:line="580" w:lineRule="exact"/>
        <w:ind w:firstLine="640"/>
        <w:jc w:val="both"/>
      </w:pPr>
      <w:r>
        <w:rPr>
          <w:rFonts w:ascii="仿宋_GB2312" w:hAnsi="仿宋_GB2312" w:eastAsia="仿宋_GB2312"/>
          <w:sz w:val="32"/>
        </w:rPr>
        <w:t>(三)指导全州农村集体产权制度改革成果巩固提升工作</w:t>
      </w:r>
      <w:r>
        <w:rPr>
          <w:rFonts w:hint="eastAsia" w:ascii="仿宋_GB2312" w:hAnsi="仿宋_GB2312" w:eastAsia="仿宋_GB2312"/>
          <w:sz w:val="32"/>
          <w:lang w:eastAsia="zh-CN"/>
        </w:rPr>
        <w:t>；</w:t>
      </w:r>
      <w:r>
        <w:rPr>
          <w:rFonts w:ascii="仿宋_GB2312" w:hAnsi="仿宋_GB2312" w:eastAsia="仿宋_GB2312"/>
          <w:sz w:val="32"/>
        </w:rPr>
        <w:t>指导落实发展壮大集体经济相关政策</w:t>
      </w:r>
      <w:r>
        <w:rPr>
          <w:rFonts w:hint="eastAsia" w:ascii="仿宋_GB2312" w:hAnsi="仿宋_GB2312" w:eastAsia="仿宋_GB2312"/>
          <w:sz w:val="32"/>
          <w:lang w:eastAsia="zh-CN"/>
        </w:rPr>
        <w:t>；</w:t>
      </w:r>
      <w:r>
        <w:rPr>
          <w:rFonts w:ascii="仿宋_GB2312" w:hAnsi="仿宋_GB2312" w:eastAsia="仿宋_GB2312"/>
          <w:sz w:val="32"/>
        </w:rPr>
        <w:t>承担农村集体经济组织规范化建设工作。</w:t>
      </w:r>
    </w:p>
    <w:p w14:paraId="727141F3">
      <w:pPr>
        <w:spacing w:line="580" w:lineRule="exact"/>
        <w:ind w:firstLine="640"/>
        <w:jc w:val="both"/>
      </w:pPr>
      <w:r>
        <w:rPr>
          <w:rFonts w:ascii="仿宋_GB2312" w:hAnsi="仿宋_GB2312" w:eastAsia="仿宋_GB2312"/>
          <w:sz w:val="32"/>
        </w:rPr>
        <w:t>(四)承担农村集体资产和财务管理工作</w:t>
      </w:r>
      <w:r>
        <w:rPr>
          <w:rFonts w:hint="eastAsia" w:ascii="仿宋_GB2312" w:hAnsi="仿宋_GB2312" w:eastAsia="仿宋_GB2312"/>
          <w:sz w:val="32"/>
          <w:lang w:eastAsia="zh-CN"/>
        </w:rPr>
        <w:t>；</w:t>
      </w:r>
      <w:r>
        <w:rPr>
          <w:rFonts w:ascii="仿宋_GB2312" w:hAnsi="仿宋_GB2312" w:eastAsia="仿宋_GB2312"/>
          <w:sz w:val="32"/>
        </w:rPr>
        <w:t>指导开展全州农村集体经济审计</w:t>
      </w:r>
      <w:r>
        <w:rPr>
          <w:rFonts w:hint="eastAsia" w:ascii="仿宋_GB2312" w:hAnsi="仿宋_GB2312" w:eastAsia="仿宋_GB2312"/>
          <w:sz w:val="32"/>
          <w:lang w:eastAsia="zh-CN"/>
        </w:rPr>
        <w:t>；</w:t>
      </w:r>
      <w:r>
        <w:rPr>
          <w:rFonts w:ascii="仿宋_GB2312" w:hAnsi="仿宋_GB2312" w:eastAsia="仿宋_GB2312"/>
          <w:sz w:val="32"/>
        </w:rPr>
        <w:t>指导农村综合产权交易市场建设运行和管理</w:t>
      </w:r>
      <w:r>
        <w:rPr>
          <w:rFonts w:hint="eastAsia" w:ascii="仿宋_GB2312" w:hAnsi="仿宋_GB2312" w:eastAsia="仿宋_GB2312"/>
          <w:sz w:val="32"/>
          <w:lang w:eastAsia="zh-CN"/>
        </w:rPr>
        <w:t>；</w:t>
      </w:r>
      <w:r>
        <w:rPr>
          <w:rFonts w:ascii="仿宋_GB2312" w:hAnsi="仿宋_GB2312" w:eastAsia="仿宋_GB2312"/>
          <w:sz w:val="32"/>
        </w:rPr>
        <w:t>承担农村宅基地管理的辅助工作。</w:t>
      </w:r>
    </w:p>
    <w:p w14:paraId="28CEFAEC">
      <w:pPr>
        <w:spacing w:line="580" w:lineRule="exact"/>
        <w:ind w:firstLine="640"/>
        <w:jc w:val="both"/>
      </w:pPr>
      <w:r>
        <w:rPr>
          <w:rFonts w:ascii="仿宋_GB2312" w:hAnsi="仿宋_GB2312" w:eastAsia="仿宋_GB2312"/>
          <w:sz w:val="32"/>
        </w:rPr>
        <w:t>(五)承担农业新型经营主体规范化运行及人才队伍建设工作,组织开展示范性农民专业合作社、家庭农场监测评定等。</w:t>
      </w:r>
    </w:p>
    <w:p w14:paraId="732AAC54">
      <w:pPr>
        <w:spacing w:line="580" w:lineRule="exact"/>
        <w:ind w:firstLine="640"/>
        <w:jc w:val="both"/>
      </w:pPr>
      <w:r>
        <w:rPr>
          <w:rFonts w:ascii="仿宋_GB2312" w:hAnsi="仿宋_GB2312" w:eastAsia="仿宋_GB2312"/>
          <w:sz w:val="32"/>
        </w:rPr>
        <w:t>(六)指导开展农业社会化服务体系建设。</w:t>
      </w:r>
    </w:p>
    <w:p w14:paraId="64D70E95">
      <w:pPr>
        <w:spacing w:line="580" w:lineRule="exact"/>
        <w:ind w:firstLine="640"/>
        <w:jc w:val="both"/>
      </w:pPr>
      <w:r>
        <w:rPr>
          <w:rFonts w:ascii="仿宋_GB2312" w:hAnsi="仿宋_GB2312" w:eastAsia="仿宋_GB2312"/>
          <w:sz w:val="32"/>
        </w:rPr>
        <w:t>(七)协助开展减轻农民负担和村级“一事一议”筹资筹劳管理工作。</w:t>
      </w:r>
    </w:p>
    <w:p w14:paraId="46ADB664">
      <w:pPr>
        <w:spacing w:line="580" w:lineRule="exact"/>
        <w:ind w:firstLine="640"/>
        <w:jc w:val="both"/>
      </w:pPr>
      <w:r>
        <w:rPr>
          <w:rFonts w:ascii="仿宋_GB2312" w:hAnsi="仿宋_GB2312" w:eastAsia="仿宋_GB2312"/>
          <w:sz w:val="32"/>
        </w:rPr>
        <w:t>(八)承担农村合作经济发展相关业务培训工作；开展农村经营管理统计相关工作。</w:t>
      </w:r>
    </w:p>
    <w:p w14:paraId="7069193B">
      <w:pPr>
        <w:spacing w:line="580" w:lineRule="exact"/>
        <w:ind w:firstLine="640"/>
        <w:jc w:val="both"/>
      </w:pPr>
      <w:r>
        <w:rPr>
          <w:rFonts w:ascii="仿宋_GB2312" w:hAnsi="仿宋_GB2312" w:eastAsia="仿宋_GB2312"/>
          <w:sz w:val="32"/>
        </w:rPr>
        <w:t>(九)完成自治州农业农村局交办的其他任务。</w:t>
      </w:r>
    </w:p>
    <w:p w14:paraId="7600A427">
      <w:pPr>
        <w:spacing w:line="640" w:lineRule="exact"/>
        <w:ind w:firstLine="640"/>
        <w:jc w:val="both"/>
        <w:outlineLvl w:val="2"/>
      </w:pPr>
      <w:r>
        <w:rPr>
          <w:rFonts w:ascii="黑体" w:hAnsi="黑体" w:eastAsia="黑体"/>
          <w:sz w:val="32"/>
        </w:rPr>
        <w:t>二、机构设置及人员情况</w:t>
      </w:r>
    </w:p>
    <w:p w14:paraId="77C8BD5F">
      <w:pPr>
        <w:spacing w:line="580" w:lineRule="exact"/>
        <w:ind w:firstLine="640"/>
        <w:jc w:val="both"/>
      </w:pPr>
      <w:r>
        <w:rPr>
          <w:rFonts w:ascii="仿宋_GB2312" w:hAnsi="仿宋_GB2312" w:eastAsia="仿宋_GB2312"/>
          <w:sz w:val="32"/>
        </w:rPr>
        <w:t>昌吉回族自治州农村合作经济经营管理局2024年度，实有人数21人，其中：在职人员11人，增加2人；离休人员0人，增加0人；退休人员10人,增加0人。</w:t>
      </w:r>
    </w:p>
    <w:p w14:paraId="31984E22">
      <w:pPr>
        <w:spacing w:line="580" w:lineRule="exact"/>
        <w:ind w:firstLine="640"/>
        <w:jc w:val="both"/>
      </w:pPr>
      <w:r>
        <w:rPr>
          <w:rFonts w:ascii="仿宋_GB2312" w:hAnsi="仿宋_GB2312" w:eastAsia="仿宋_GB2312"/>
          <w:sz w:val="32"/>
        </w:rPr>
        <w:t>昌吉回族自治州农村合作经济经营管理局无下属预算单位，下设4个科室，分别是：农村土地承包管理科、农村集体经济指导科、农村合作经济（社会化服务）指导科、综合科。</w:t>
      </w:r>
    </w:p>
    <w:p w14:paraId="3EA8FCBD">
      <w:r>
        <w:br w:type="page"/>
      </w:r>
    </w:p>
    <w:p w14:paraId="3D200248">
      <w:pPr>
        <w:spacing w:line="240" w:lineRule="auto"/>
        <w:jc w:val="center"/>
        <w:outlineLvl w:val="1"/>
      </w:pPr>
      <w:r>
        <w:rPr>
          <w:rFonts w:ascii="黑体" w:hAnsi="黑体" w:eastAsia="黑体"/>
          <w:sz w:val="32"/>
        </w:rPr>
        <w:t>第二部分 部门决算情况说明</w:t>
      </w:r>
    </w:p>
    <w:p w14:paraId="1613616F">
      <w:pPr>
        <w:spacing w:line="640" w:lineRule="exact"/>
        <w:ind w:firstLine="640"/>
        <w:jc w:val="both"/>
        <w:outlineLvl w:val="2"/>
      </w:pPr>
      <w:r>
        <w:rPr>
          <w:rFonts w:ascii="黑体" w:hAnsi="黑体" w:eastAsia="黑体"/>
          <w:sz w:val="32"/>
        </w:rPr>
        <w:t>一、收入支出决算总体情况说明</w:t>
      </w:r>
    </w:p>
    <w:p w14:paraId="18D612D8">
      <w:pPr>
        <w:spacing w:line="580" w:lineRule="exact"/>
        <w:ind w:firstLine="640"/>
        <w:jc w:val="both"/>
      </w:pPr>
      <w:r>
        <w:rPr>
          <w:rFonts w:ascii="仿宋_GB2312" w:hAnsi="仿宋_GB2312" w:eastAsia="仿宋_GB2312"/>
          <w:b/>
          <w:sz w:val="32"/>
        </w:rPr>
        <w:t>2024年度收入总计251.57万元，</w:t>
      </w:r>
      <w:r>
        <w:rPr>
          <w:rFonts w:ascii="仿宋_GB2312" w:hAnsi="仿宋_GB2312" w:eastAsia="仿宋_GB2312"/>
          <w:b w:val="0"/>
          <w:sz w:val="32"/>
        </w:rPr>
        <w:t>其中：本年收入合计242.91万元，使用非财政拨款结余（含专用结余）0.00万元，年初结转和结余8.66万元。</w:t>
      </w:r>
    </w:p>
    <w:p w14:paraId="02BBAE2F">
      <w:pPr>
        <w:spacing w:line="580" w:lineRule="exact"/>
        <w:ind w:firstLine="640"/>
        <w:jc w:val="both"/>
      </w:pPr>
      <w:r>
        <w:rPr>
          <w:rFonts w:ascii="仿宋_GB2312" w:hAnsi="仿宋_GB2312" w:eastAsia="仿宋_GB2312"/>
          <w:b/>
          <w:sz w:val="32"/>
        </w:rPr>
        <w:t>2024年度支出总计251.57万元，</w:t>
      </w:r>
      <w:r>
        <w:rPr>
          <w:rFonts w:ascii="仿宋_GB2312" w:hAnsi="仿宋_GB2312" w:eastAsia="仿宋_GB2312"/>
          <w:b w:val="0"/>
          <w:sz w:val="32"/>
        </w:rPr>
        <w:t>其中：本年支出合计242.91万元，结余分配0.00万元，年末结转和结余8.66万元。</w:t>
      </w:r>
    </w:p>
    <w:p w14:paraId="567F4DED">
      <w:pPr>
        <w:spacing w:line="580" w:lineRule="exact"/>
        <w:ind w:firstLine="640"/>
        <w:jc w:val="both"/>
      </w:pPr>
      <w:r>
        <w:rPr>
          <w:rFonts w:ascii="仿宋_GB2312" w:hAnsi="仿宋_GB2312" w:eastAsia="仿宋_GB2312"/>
          <w:b w:val="0"/>
          <w:sz w:val="32"/>
        </w:rPr>
        <w:t>收入支出总体与上年相比，减少29.74万元，下降10.57%，主要原因是：本年减少自治区、州级为民办实事好事专项资金。减少抚恤金，导致经费较上年减少。</w:t>
      </w:r>
    </w:p>
    <w:p w14:paraId="6F37BB90">
      <w:pPr>
        <w:spacing w:line="640" w:lineRule="exact"/>
        <w:ind w:firstLine="640"/>
        <w:jc w:val="both"/>
        <w:outlineLvl w:val="2"/>
      </w:pPr>
      <w:r>
        <w:rPr>
          <w:rFonts w:ascii="黑体" w:hAnsi="黑体" w:eastAsia="黑体"/>
          <w:sz w:val="32"/>
        </w:rPr>
        <w:t>二、收入决算情况说明</w:t>
      </w:r>
    </w:p>
    <w:p w14:paraId="1391666D">
      <w:pPr>
        <w:spacing w:line="580" w:lineRule="exact"/>
        <w:ind w:firstLine="640"/>
        <w:jc w:val="both"/>
      </w:pPr>
      <w:r>
        <w:rPr>
          <w:rFonts w:ascii="仿宋_GB2312" w:hAnsi="仿宋_GB2312" w:eastAsia="仿宋_GB2312"/>
          <w:b/>
          <w:sz w:val="32"/>
        </w:rPr>
        <w:t>本年收入242.91万元，</w:t>
      </w:r>
      <w:r>
        <w:rPr>
          <w:rFonts w:ascii="仿宋_GB2312" w:hAnsi="仿宋_GB2312" w:eastAsia="仿宋_GB2312"/>
          <w:b w:val="0"/>
          <w:sz w:val="32"/>
        </w:rPr>
        <w:t>其中：财政拨款收入242.91万元，占100.00%；上级补助收入0.00万元，占0.00%；事业收入0.00万元，占0.00%；经营收入0.00万元，占0.00%；附属单位上缴收入0.00万元，占0.00%；其他收入0.00万元，占0.00%。</w:t>
      </w:r>
    </w:p>
    <w:p w14:paraId="2907A410">
      <w:pPr>
        <w:spacing w:line="640" w:lineRule="exact"/>
        <w:ind w:firstLine="640"/>
        <w:jc w:val="both"/>
        <w:outlineLvl w:val="2"/>
      </w:pPr>
      <w:r>
        <w:rPr>
          <w:rFonts w:ascii="黑体" w:hAnsi="黑体" w:eastAsia="黑体"/>
          <w:sz w:val="32"/>
        </w:rPr>
        <w:t>三、支出决算情况说明</w:t>
      </w:r>
    </w:p>
    <w:p w14:paraId="6FFA84EB">
      <w:pPr>
        <w:spacing w:line="580" w:lineRule="exact"/>
        <w:ind w:firstLine="640"/>
        <w:jc w:val="both"/>
      </w:pPr>
      <w:r>
        <w:rPr>
          <w:rFonts w:ascii="仿宋_GB2312" w:hAnsi="仿宋_GB2312" w:eastAsia="仿宋_GB2312"/>
          <w:b/>
          <w:sz w:val="32"/>
        </w:rPr>
        <w:t>本年支出242.91万元，</w:t>
      </w:r>
      <w:r>
        <w:rPr>
          <w:rFonts w:ascii="仿宋_GB2312" w:hAnsi="仿宋_GB2312" w:eastAsia="仿宋_GB2312"/>
          <w:b w:val="0"/>
          <w:sz w:val="32"/>
        </w:rPr>
        <w:t>其中：基本支出200.51万元，占82.54%；项目支出42.41万元，占17.46%；上缴上级支出0.00万元，占0.00%；经营支出0.00万元，占0.00%；对附属单位补助支出0.00万元，占0.00%。</w:t>
      </w:r>
    </w:p>
    <w:p w14:paraId="25081164">
      <w:pPr>
        <w:spacing w:line="640" w:lineRule="exact"/>
        <w:ind w:firstLine="640"/>
        <w:jc w:val="both"/>
        <w:outlineLvl w:val="2"/>
      </w:pPr>
      <w:r>
        <w:rPr>
          <w:rFonts w:ascii="黑体" w:hAnsi="黑体" w:eastAsia="黑体"/>
          <w:sz w:val="32"/>
        </w:rPr>
        <w:t>四、财政拨款收入支出决算总体情况说明</w:t>
      </w:r>
    </w:p>
    <w:p w14:paraId="14AC212C">
      <w:pPr>
        <w:spacing w:line="580" w:lineRule="exact"/>
        <w:ind w:firstLine="640"/>
        <w:jc w:val="both"/>
      </w:pPr>
      <w:r>
        <w:rPr>
          <w:rFonts w:ascii="仿宋_GB2312" w:hAnsi="仿宋_GB2312" w:eastAsia="仿宋_GB2312"/>
          <w:b/>
          <w:sz w:val="32"/>
        </w:rPr>
        <w:t>2024年度财政拨款收入总计242.91万元，</w:t>
      </w:r>
      <w:r>
        <w:rPr>
          <w:rFonts w:ascii="仿宋_GB2312" w:hAnsi="仿宋_GB2312" w:eastAsia="仿宋_GB2312"/>
          <w:b w:val="0"/>
          <w:sz w:val="32"/>
        </w:rPr>
        <w:t>其中：年初财政拨款结转和结余0.00万元，本年财政拨款收入242.91万元。</w:t>
      </w:r>
      <w:r>
        <w:rPr>
          <w:rFonts w:ascii="仿宋_GB2312" w:hAnsi="仿宋_GB2312" w:eastAsia="仿宋_GB2312"/>
          <w:b/>
          <w:sz w:val="32"/>
        </w:rPr>
        <w:t>财政拨款支出总计242.91万元，</w:t>
      </w:r>
      <w:r>
        <w:rPr>
          <w:rFonts w:ascii="仿宋_GB2312" w:hAnsi="仿宋_GB2312" w:eastAsia="仿宋_GB2312"/>
          <w:b w:val="0"/>
          <w:sz w:val="32"/>
        </w:rPr>
        <w:t>其中：年末财政拨款结转和结余0.00万元，本年财政拨款支出242.91万元。</w:t>
      </w:r>
    </w:p>
    <w:p w14:paraId="00A1648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减少29.74万元，下降10.91%，主要原因是：本年减少自治区、州级为民办实事好事专项资金。减少抚恤金，导致经费较上年减少。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年初预算数194.98万元，决算数242.91万元，预决算差异率24.58%，主要原因是：年中追加人员工资、社保、公积金基数调增部分资金；年中追加新型经营主体培育项目，导致预决算存在差异。</w:t>
      </w:r>
    </w:p>
    <w:p w14:paraId="466B7101">
      <w:pPr>
        <w:spacing w:line="640" w:lineRule="exact"/>
        <w:ind w:firstLine="640"/>
        <w:jc w:val="both"/>
        <w:outlineLvl w:val="2"/>
      </w:pPr>
      <w:r>
        <w:rPr>
          <w:rFonts w:ascii="黑体" w:hAnsi="黑体" w:eastAsia="黑体"/>
          <w:sz w:val="32"/>
        </w:rPr>
        <w:t>五、一般公共预算财政拨款支出决算情况说明</w:t>
      </w:r>
    </w:p>
    <w:p w14:paraId="4BCA53D6">
      <w:pPr>
        <w:spacing w:line="640" w:lineRule="exact"/>
        <w:ind w:firstLine="640"/>
        <w:jc w:val="both"/>
        <w:outlineLvl w:val="3"/>
      </w:pPr>
      <w:r>
        <w:rPr>
          <w:rFonts w:ascii="楷体_GB2312" w:hAnsi="楷体_GB2312" w:eastAsia="楷体_GB2312"/>
          <w:b/>
          <w:sz w:val="32"/>
        </w:rPr>
        <w:t>（一）一般公共预算财政拨款支出决算总体情况</w:t>
      </w:r>
    </w:p>
    <w:p w14:paraId="399C6054">
      <w:pPr>
        <w:spacing w:line="580" w:lineRule="exact"/>
        <w:ind w:firstLine="640"/>
        <w:jc w:val="both"/>
      </w:pPr>
      <w:r>
        <w:rPr>
          <w:rFonts w:ascii="仿宋_GB2312" w:hAnsi="仿宋_GB2312" w:eastAsia="仿宋_GB2312"/>
          <w:b/>
          <w:sz w:val="32"/>
        </w:rPr>
        <w:t>2024年度一般公共预算财政拨款支出242.91万元，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减少29.74万元，下降10.91%，主要原因是：本年减少自治区、州级为民办实事好事专项资金。减少抚恤金，导致经费较上年减少。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年初预算数194.98万元，决算数242.91万元，预决算差异率24.58%，主要原因是：年中追加人员工资、社保、公积金基数调增部分资金；年中追加新型经营主体培育项目，导致预决算存在差异。</w:t>
      </w:r>
    </w:p>
    <w:p w14:paraId="1CBC4716">
      <w:pPr>
        <w:spacing w:line="640" w:lineRule="exact"/>
        <w:ind w:firstLine="640"/>
        <w:jc w:val="both"/>
        <w:outlineLvl w:val="3"/>
      </w:pPr>
      <w:r>
        <w:rPr>
          <w:rFonts w:ascii="楷体_GB2312" w:hAnsi="楷体_GB2312" w:eastAsia="楷体_GB2312"/>
          <w:b/>
          <w:sz w:val="32"/>
        </w:rPr>
        <w:t>（二）一般公共预算财政拨款支出决算结构情况</w:t>
      </w:r>
    </w:p>
    <w:p w14:paraId="37091D46">
      <w:pPr>
        <w:spacing w:line="580" w:lineRule="exact"/>
        <w:ind w:firstLine="640"/>
        <w:jc w:val="both"/>
      </w:pPr>
      <w:r>
        <w:rPr>
          <w:rFonts w:ascii="仿宋_GB2312" w:hAnsi="仿宋_GB2312" w:eastAsia="仿宋_GB2312"/>
          <w:b w:val="0"/>
          <w:sz w:val="32"/>
        </w:rPr>
        <w:t>1.社会保障和就业支出(类)32.76万元,占13.49%。</w:t>
      </w:r>
    </w:p>
    <w:p w14:paraId="6D7AACCA">
      <w:pPr>
        <w:spacing w:line="580" w:lineRule="exact"/>
        <w:ind w:firstLine="640"/>
        <w:jc w:val="both"/>
      </w:pPr>
      <w:r>
        <w:rPr>
          <w:rFonts w:ascii="仿宋_GB2312" w:hAnsi="仿宋_GB2312" w:eastAsia="仿宋_GB2312"/>
          <w:b w:val="0"/>
          <w:sz w:val="32"/>
        </w:rPr>
        <w:t>2.卫生健康支出(类)9.31万元,占3.83%。</w:t>
      </w:r>
    </w:p>
    <w:p w14:paraId="558067CF">
      <w:pPr>
        <w:spacing w:line="580" w:lineRule="exact"/>
        <w:ind w:firstLine="640"/>
        <w:jc w:val="both"/>
      </w:pPr>
      <w:r>
        <w:rPr>
          <w:rFonts w:ascii="仿宋_GB2312" w:hAnsi="仿宋_GB2312" w:eastAsia="仿宋_GB2312"/>
          <w:b w:val="0"/>
          <w:sz w:val="32"/>
        </w:rPr>
        <w:t>3.农林水支出(类)184.27万元,占75.86%。</w:t>
      </w:r>
    </w:p>
    <w:p w14:paraId="3F3575D7">
      <w:pPr>
        <w:spacing w:line="580" w:lineRule="exact"/>
        <w:ind w:firstLine="640"/>
        <w:jc w:val="both"/>
      </w:pPr>
      <w:r>
        <w:rPr>
          <w:rFonts w:ascii="仿宋_GB2312" w:hAnsi="仿宋_GB2312" w:eastAsia="仿宋_GB2312"/>
          <w:b w:val="0"/>
          <w:sz w:val="32"/>
        </w:rPr>
        <w:t>4.住房保障支出(类)13.89万元,占5.72%。</w:t>
      </w:r>
    </w:p>
    <w:p w14:paraId="069EF2A3">
      <w:pPr>
        <w:spacing w:line="580" w:lineRule="exact"/>
        <w:ind w:firstLine="640"/>
        <w:jc w:val="both"/>
      </w:pPr>
      <w:r>
        <w:rPr>
          <w:rFonts w:ascii="仿宋_GB2312" w:hAnsi="仿宋_GB2312" w:eastAsia="仿宋_GB2312"/>
          <w:b w:val="0"/>
          <w:sz w:val="32"/>
        </w:rPr>
        <w:t>5.其他支出(类)2.68万元,占1.10%。</w:t>
      </w:r>
    </w:p>
    <w:p w14:paraId="78D6D1CD">
      <w:pPr>
        <w:spacing w:line="640" w:lineRule="exact"/>
        <w:ind w:firstLine="640"/>
        <w:jc w:val="both"/>
        <w:outlineLvl w:val="3"/>
      </w:pPr>
      <w:r>
        <w:rPr>
          <w:rFonts w:ascii="楷体_GB2312" w:hAnsi="楷体_GB2312" w:eastAsia="楷体_GB2312"/>
          <w:b/>
          <w:sz w:val="32"/>
        </w:rPr>
        <w:t>（三）一般公共预算财政拨款支出决算具体情况</w:t>
      </w:r>
    </w:p>
    <w:p w14:paraId="7E23EB89">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1.社会保障和就业支出(类)行政事业单位养老支出(款)行政单位离退休(项):支出决算数为6.80万元，比上年决算增加2.40万元，增长54.55%,主要原因是：本年增加退休人员基础绩效奖，退休费支出增加。</w:t>
      </w:r>
    </w:p>
    <w:p w14:paraId="3A8EFEFB">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17.31万元，比上年决算减少0.07万元，下降0.40%,主要原因是：本年在职人员调入调出，人员职级不同，缴费基数不同，导致养老保险缴费较上年减少。</w:t>
      </w:r>
    </w:p>
    <w:p w14:paraId="4FD6D108">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3.社会保障和就业支出(类)行政事业单位养老支出(款)机关事业单位职业年金缴费支出(项):支出决算数为8.65万元，比上年决算减少4.70万元，下降35.21%,主要原因是：本年无新增退休人员，职业年金缴费支出减少。</w:t>
      </w:r>
    </w:p>
    <w:p w14:paraId="6A1F8C55">
      <w:pPr>
        <w:spacing w:line="580" w:lineRule="exact"/>
        <w:ind w:firstLine="640"/>
        <w:jc w:val="both"/>
      </w:pPr>
      <w:r>
        <w:rPr>
          <w:rFonts w:ascii="仿宋_GB2312" w:hAnsi="仿宋_GB2312" w:eastAsia="仿宋_GB2312"/>
          <w:b w:val="0"/>
          <w:sz w:val="32"/>
        </w:rPr>
        <w:t>4.卫生健康支出(类)行政事业单位医疗(款)行政单位医疗(项):支出决算数为7.03万元，比上年决算减少0.19万元，下降2.63%,主要原因是：本年在职人员调入调出，人员职级不同，缴费基数不同，导致行政单位医疗较上年减少。</w:t>
      </w:r>
    </w:p>
    <w:p w14:paraId="56FD2631">
      <w:pPr>
        <w:spacing w:line="580" w:lineRule="exact"/>
        <w:ind w:firstLine="640"/>
        <w:jc w:val="both"/>
      </w:pPr>
      <w:r>
        <w:rPr>
          <w:rFonts w:ascii="仿宋_GB2312" w:hAnsi="仿宋_GB2312" w:eastAsia="仿宋_GB2312"/>
          <w:b w:val="0"/>
          <w:sz w:val="32"/>
        </w:rPr>
        <w:t>5.卫生健康支出(类)行政事业单位医疗(款)事业单位医疗(项):支出决算数为1.62万元，比上年决算增加0.15万元，增长10.20%,主要原因是：本年在职人员工资基数调增，医疗缴费基数上涨，相应支出增加。</w:t>
      </w:r>
    </w:p>
    <w:p w14:paraId="725A83F8">
      <w:pPr>
        <w:spacing w:line="580" w:lineRule="exact"/>
        <w:ind w:firstLine="640"/>
        <w:jc w:val="both"/>
      </w:pPr>
      <w:r>
        <w:rPr>
          <w:rFonts w:ascii="仿宋_GB2312" w:hAnsi="仿宋_GB2312" w:eastAsia="仿宋_GB2312"/>
          <w:b w:val="0"/>
          <w:sz w:val="32"/>
        </w:rPr>
        <w:t>6.卫生健康支出(类)行政事业单位医疗(款)公务员医疗补助(项):支出决算数为0.54万元，比上年决算增加0.00万元，增长0.00%,主要原因是：本年公务员医疗补助与上年一致，无变化。</w:t>
      </w:r>
    </w:p>
    <w:p w14:paraId="233984EF">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0.11万元，比上年决算减少0.02万元，下降15.38%,主要原因是：本年在职人员调入调出，人员职级不同，缴费基数不同，导致单位医疗缴费较上年减少。</w:t>
      </w:r>
    </w:p>
    <w:p w14:paraId="00859CF9">
      <w:pPr>
        <w:spacing w:line="580" w:lineRule="exact"/>
        <w:ind w:firstLine="640"/>
        <w:jc w:val="both"/>
      </w:pPr>
      <w:r>
        <w:rPr>
          <w:rFonts w:ascii="仿宋_GB2312" w:hAnsi="仿宋_GB2312" w:eastAsia="仿宋_GB2312"/>
          <w:b w:val="0"/>
          <w:sz w:val="32"/>
        </w:rPr>
        <w:t>8.农林水支出(类)农业农村(款)事业运行(项):支出决算数为144.55万元，比上年决算减少20.48万元，下降12.41%,主要原因是：本年无死亡人员，减少抚恤金支出。</w:t>
      </w:r>
    </w:p>
    <w:p w14:paraId="636CF317">
      <w:pPr>
        <w:spacing w:line="580" w:lineRule="exact"/>
        <w:ind w:firstLine="640"/>
        <w:jc w:val="both"/>
      </w:pPr>
      <w:r>
        <w:rPr>
          <w:rFonts w:ascii="仿宋_GB2312" w:hAnsi="仿宋_GB2312" w:eastAsia="仿宋_GB2312"/>
          <w:b w:val="0"/>
          <w:sz w:val="32"/>
        </w:rPr>
        <w:t>9.农林水支出(类)农业农村(款)农业生产发展(项):支出决算数为21.00万元，比上年决算增加1.00万元，增长5.00%,主要原因是：本年农业生产发展（新型经营主体培育）项目资金较上年有所增加。</w:t>
      </w:r>
    </w:p>
    <w:p w14:paraId="6694A742">
      <w:pPr>
        <w:spacing w:line="580" w:lineRule="exact"/>
        <w:ind w:firstLine="640"/>
        <w:jc w:val="both"/>
      </w:pPr>
      <w:r>
        <w:rPr>
          <w:rFonts w:ascii="仿宋_GB2312" w:hAnsi="仿宋_GB2312" w:eastAsia="仿宋_GB2312"/>
          <w:b w:val="0"/>
          <w:sz w:val="32"/>
        </w:rPr>
        <w:t>10.农林水支出(类)农业农村(款)其他农业农村支出(项):支出决算数为18.73万元，比上年决算减少0.39万元，下降2.04%,主要原因是：本年农村财务管理及审计业务经费项目资金较上年减少。</w:t>
      </w:r>
    </w:p>
    <w:p w14:paraId="449A4D6B">
      <w:pPr>
        <w:spacing w:line="580" w:lineRule="exact"/>
        <w:ind w:firstLine="640"/>
        <w:jc w:val="both"/>
      </w:pPr>
      <w:r>
        <w:rPr>
          <w:rFonts w:ascii="仿宋_GB2312" w:hAnsi="仿宋_GB2312" w:eastAsia="仿宋_GB2312"/>
          <w:b w:val="0"/>
          <w:sz w:val="32"/>
        </w:rPr>
        <w:t>11.住房保障支出(类)住房改革支出(款)住房公积金(项):支出决算数为13.89万元，比上年决算增加0.20万元，增长1.46%,主要原因是：本年在职人员工资基数调增，公积金缴费基数上涨，相应支出增加。</w:t>
      </w:r>
    </w:p>
    <w:p w14:paraId="4BC9339C">
      <w:pPr>
        <w:spacing w:line="580" w:lineRule="exact"/>
        <w:ind w:firstLine="640"/>
        <w:jc w:val="both"/>
      </w:pPr>
      <w:r>
        <w:rPr>
          <w:rFonts w:ascii="仿宋_GB2312" w:hAnsi="仿宋_GB2312" w:eastAsia="仿宋_GB2312"/>
          <w:b w:val="0"/>
          <w:sz w:val="32"/>
        </w:rPr>
        <w:t>12.其他支出(类)其他支出(款)其他支出(项):支出决算数为2.68万元，比上年决算减少7.64万元，下降74.03%,主要原因是：本年自治区、州级为民办实事好事专项资金较上年减少。</w:t>
      </w:r>
    </w:p>
    <w:p w14:paraId="5487DC37">
      <w:pPr>
        <w:spacing w:line="640" w:lineRule="exact"/>
        <w:ind w:firstLine="640"/>
        <w:jc w:val="both"/>
        <w:outlineLvl w:val="2"/>
      </w:pPr>
      <w:r>
        <w:rPr>
          <w:rFonts w:ascii="黑体" w:hAnsi="黑体" w:eastAsia="黑体"/>
          <w:sz w:val="32"/>
        </w:rPr>
        <w:t>六、一般公共预算财政拨款基本支出决算情况说明</w:t>
      </w:r>
    </w:p>
    <w:p w14:paraId="4977796F">
      <w:pPr>
        <w:spacing w:line="580" w:lineRule="exact"/>
        <w:ind w:firstLine="640"/>
        <w:jc w:val="both"/>
      </w:pPr>
      <w:r>
        <w:rPr>
          <w:rFonts w:ascii="仿宋_GB2312" w:hAnsi="仿宋_GB2312" w:eastAsia="仿宋_GB2312"/>
          <w:b w:val="0"/>
          <w:sz w:val="32"/>
        </w:rPr>
        <w:t>2024年度一般公共预算财政拨款基本支出200.51万元，其中：</w:t>
      </w:r>
      <w:r>
        <w:rPr>
          <w:rFonts w:ascii="仿宋_GB2312" w:hAnsi="仿宋_GB2312" w:eastAsia="仿宋_GB2312"/>
          <w:b/>
          <w:sz w:val="32"/>
        </w:rPr>
        <w:t>人员经费185.23万元，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14:paraId="5113363F">
      <w:pPr>
        <w:spacing w:line="580" w:lineRule="exact"/>
        <w:ind w:firstLine="640"/>
        <w:jc w:val="both"/>
      </w:pPr>
      <w:r>
        <w:rPr>
          <w:rFonts w:ascii="仿宋_GB2312" w:hAnsi="仿宋_GB2312" w:eastAsia="仿宋_GB2312"/>
          <w:b/>
          <w:sz w:val="32"/>
        </w:rPr>
        <w:t>公用经费15.28万元，</w:t>
      </w:r>
      <w:r>
        <w:rPr>
          <w:rFonts w:ascii="仿宋_GB2312" w:hAnsi="仿宋_GB2312" w:eastAsia="仿宋_GB2312"/>
          <w:b w:val="0"/>
          <w:sz w:val="32"/>
        </w:rPr>
        <w:t>包括：办公费、邮电费、差旅费、维修（护）费、公务接待费、劳务费、工会经费、福利费、公务用车运行维护费、其他商品和服务支出。</w:t>
      </w:r>
    </w:p>
    <w:p w14:paraId="7B22A1F1">
      <w:pPr>
        <w:spacing w:line="640" w:lineRule="exact"/>
        <w:ind w:firstLine="640"/>
        <w:jc w:val="both"/>
        <w:outlineLvl w:val="2"/>
      </w:pPr>
      <w:r>
        <w:rPr>
          <w:rFonts w:ascii="黑体" w:hAnsi="黑体" w:eastAsia="黑体"/>
          <w:sz w:val="32"/>
        </w:rPr>
        <w:t>七、政府性基金预算财政拨款收入支出决算情况说明</w:t>
      </w:r>
    </w:p>
    <w:p w14:paraId="1C83791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359DEBD">
      <w:pPr>
        <w:spacing w:line="640" w:lineRule="exact"/>
        <w:ind w:firstLine="640"/>
        <w:jc w:val="both"/>
        <w:outlineLvl w:val="2"/>
      </w:pPr>
      <w:r>
        <w:rPr>
          <w:rFonts w:ascii="黑体" w:hAnsi="黑体" w:eastAsia="黑体"/>
          <w:sz w:val="32"/>
        </w:rPr>
        <w:t>八、国有资本经营预算财政拨款收入支出决算情况说明</w:t>
      </w:r>
    </w:p>
    <w:p w14:paraId="6B416DA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AE137B0">
      <w:pPr>
        <w:spacing w:line="640" w:lineRule="exact"/>
        <w:ind w:firstLine="640"/>
        <w:jc w:val="both"/>
        <w:outlineLvl w:val="2"/>
      </w:pPr>
      <w:r>
        <w:rPr>
          <w:rFonts w:ascii="黑体" w:hAnsi="黑体" w:eastAsia="黑体"/>
          <w:sz w:val="32"/>
        </w:rPr>
        <w:t>九、财政拨款“三公”经费支出决算情况说明</w:t>
      </w:r>
    </w:p>
    <w:p w14:paraId="40A0A08C">
      <w:pPr>
        <w:spacing w:line="580" w:lineRule="exact"/>
        <w:ind w:firstLine="640"/>
        <w:jc w:val="both"/>
      </w:pPr>
      <w:r>
        <w:rPr>
          <w:rFonts w:ascii="仿宋_GB2312" w:hAnsi="仿宋_GB2312" w:eastAsia="仿宋_GB2312"/>
          <w:b/>
          <w:sz w:val="32"/>
        </w:rPr>
        <w:t>2024年度财政拨款“三公”经费支出5.84万元，</w:t>
      </w:r>
      <w:r>
        <w:rPr>
          <w:rFonts w:ascii="仿宋_GB2312" w:hAnsi="仿宋_GB2312" w:eastAsia="仿宋_GB2312"/>
          <w:b w:val="0"/>
          <w:sz w:val="32"/>
        </w:rPr>
        <w:t>比上年增加3.56万元，增长156.14%，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5.73万元，占98.12%，比上年增加3.50万元，增长156.95%，主要原因是：本年因业务需求，用车次数增加，燃油费增加，导致公务用车运行维护费较上年增加。公务接待费支出0.11万元，占1.88%，比上年增加0.06万元，增长120.00%，主要原因是：</w:t>
      </w:r>
      <w:r>
        <w:rPr>
          <w:rFonts w:ascii="仿宋_GB2312" w:hAnsi="仿宋_GB2312" w:eastAsia="仿宋_GB2312"/>
          <w:spacing w:val="-6"/>
          <w:sz w:val="32"/>
        </w:rPr>
        <w:t>本年因业务需求，增加公务接待工作，导致公务接待费较上年增加。</w:t>
      </w:r>
    </w:p>
    <w:p w14:paraId="7DAA3627">
      <w:pPr>
        <w:spacing w:line="580" w:lineRule="exact"/>
        <w:ind w:firstLine="640"/>
        <w:jc w:val="both"/>
      </w:pPr>
      <w:r>
        <w:rPr>
          <w:rFonts w:ascii="仿宋_GB2312" w:hAnsi="仿宋_GB2312" w:eastAsia="仿宋_GB2312"/>
          <w:b/>
          <w:sz w:val="32"/>
        </w:rPr>
        <w:t>具体情况如下：</w:t>
      </w:r>
    </w:p>
    <w:p w14:paraId="3D9873E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B67CC60">
      <w:pPr>
        <w:spacing w:line="580" w:lineRule="exact"/>
        <w:ind w:firstLine="640"/>
        <w:jc w:val="both"/>
      </w:pPr>
      <w:r>
        <w:rPr>
          <w:rFonts w:ascii="仿宋_GB2312" w:hAnsi="仿宋_GB2312" w:eastAsia="仿宋_GB2312"/>
          <w:b w:val="0"/>
          <w:sz w:val="32"/>
        </w:rPr>
        <w:t>公务用车购置及运行维护费5.73万元，其中：公务用车购置费0.00万元，公务用车运行维护费5.73万元。公务用车运行维护费开支内容包括车辆加油费、维修费、保险费、审车费、过路费等。公务用车购置数0辆，公务用车保有量1辆。国有资产占用情况中固定资产车辆0辆，与公务用车保有量差异原因是：借用其他单位车辆，车辆费用由本单位支付。</w:t>
      </w:r>
    </w:p>
    <w:p w14:paraId="257EFDB2">
      <w:pPr>
        <w:spacing w:line="580" w:lineRule="exact"/>
        <w:ind w:firstLine="640"/>
        <w:jc w:val="both"/>
      </w:pPr>
      <w:r>
        <w:rPr>
          <w:rFonts w:ascii="仿宋_GB2312" w:hAnsi="仿宋_GB2312" w:eastAsia="仿宋_GB2312"/>
          <w:b w:val="0"/>
          <w:sz w:val="32"/>
        </w:rPr>
        <w:t>公务接待费0.11万元，开支内容包括接待农业农村部、自治区调研产生的就餐费。单位全年安排的国内公务接待2批次，10人次。</w:t>
      </w:r>
    </w:p>
    <w:p w14:paraId="66D571F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5.84万元，决算数5.84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5.73万元，决算数5.73万元，预决算差异率0.00%，主要原因是：严格按照预算执行，预决算无差异。公务接待费全年预算数0.11万元，决算数0.11万元，预决算差异率0.00%，主要原因是：严格按照预算执行，预决算无差异。</w:t>
      </w:r>
    </w:p>
    <w:p w14:paraId="16A71CF5">
      <w:pPr>
        <w:spacing w:line="640" w:lineRule="exact"/>
        <w:ind w:firstLine="640"/>
        <w:jc w:val="both"/>
        <w:outlineLvl w:val="2"/>
      </w:pPr>
      <w:r>
        <w:rPr>
          <w:rFonts w:ascii="黑体" w:hAnsi="黑体" w:eastAsia="黑体"/>
          <w:sz w:val="32"/>
        </w:rPr>
        <w:t>十、其他重要事项的情况说明</w:t>
      </w:r>
    </w:p>
    <w:p w14:paraId="730DA58E">
      <w:pPr>
        <w:spacing w:line="640" w:lineRule="exact"/>
        <w:ind w:firstLine="640"/>
        <w:jc w:val="both"/>
        <w:outlineLvl w:val="3"/>
      </w:pPr>
      <w:r>
        <w:rPr>
          <w:rFonts w:ascii="楷体_GB2312" w:hAnsi="楷体_GB2312" w:eastAsia="楷体_GB2312"/>
          <w:b/>
          <w:sz w:val="32"/>
        </w:rPr>
        <w:t>（一）机关运行经费及公用经费支出情况</w:t>
      </w:r>
    </w:p>
    <w:p w14:paraId="35F38299">
      <w:pPr>
        <w:spacing w:line="580" w:lineRule="exact"/>
        <w:ind w:firstLine="640"/>
        <w:jc w:val="both"/>
      </w:pPr>
      <w:r>
        <w:rPr>
          <w:rFonts w:ascii="仿宋_GB2312" w:hAnsi="仿宋_GB2312" w:eastAsia="仿宋_GB2312"/>
          <w:b w:val="0"/>
          <w:sz w:val="32"/>
        </w:rPr>
        <w:t>2024年度昌吉回族自治州农村合作经济经营管理局（行政单位和参照公务员法管理事业单位）机关运行经费支出15.28万元，比上年减少1.16万元，下降7.06%，主要原因是：本年厉行节约，减少办公经费支出。</w:t>
      </w:r>
    </w:p>
    <w:p w14:paraId="3EF21F2B">
      <w:pPr>
        <w:spacing w:line="640" w:lineRule="exact"/>
        <w:ind w:firstLine="640"/>
        <w:jc w:val="both"/>
        <w:outlineLvl w:val="3"/>
      </w:pPr>
      <w:r>
        <w:rPr>
          <w:rFonts w:ascii="楷体_GB2312" w:hAnsi="楷体_GB2312" w:eastAsia="楷体_GB2312"/>
          <w:b/>
          <w:sz w:val="32"/>
        </w:rPr>
        <w:t>（二）政府采购情况</w:t>
      </w:r>
    </w:p>
    <w:p w14:paraId="75EDB430">
      <w:pPr>
        <w:spacing w:line="580" w:lineRule="exact"/>
        <w:ind w:firstLine="640"/>
        <w:jc w:val="both"/>
      </w:pPr>
      <w:r>
        <w:rPr>
          <w:rFonts w:ascii="仿宋_GB2312" w:hAnsi="仿宋_GB2312" w:eastAsia="仿宋_GB2312"/>
          <w:b w:val="0"/>
          <w:sz w:val="32"/>
        </w:rPr>
        <w:t>2024年度政府采购支出总额24.93万元，其中：政府采购货物支出2.66万元、政府采购工程支出0.00万元、政府采购服务支出22.27万元。</w:t>
      </w:r>
    </w:p>
    <w:p w14:paraId="17E29F92">
      <w:pPr>
        <w:spacing w:line="580" w:lineRule="exact"/>
        <w:ind w:firstLine="640"/>
        <w:jc w:val="both"/>
      </w:pPr>
      <w:r>
        <w:rPr>
          <w:rFonts w:ascii="仿宋_GB2312" w:hAnsi="仿宋_GB2312" w:eastAsia="仿宋_GB2312"/>
          <w:b w:val="0"/>
          <w:sz w:val="32"/>
        </w:rPr>
        <w:t>授予中小企业合同金额24.93万元，占政府采购支出总额的100.00%，其中：授予小微企业合同金额24.93万元，占政府采购支出总额的100.00%。</w:t>
      </w:r>
    </w:p>
    <w:p w14:paraId="544EC4A0">
      <w:pPr>
        <w:spacing w:line="640" w:lineRule="exact"/>
        <w:ind w:firstLine="640"/>
        <w:jc w:val="both"/>
        <w:outlineLvl w:val="3"/>
      </w:pPr>
      <w:r>
        <w:rPr>
          <w:rFonts w:ascii="楷体_GB2312" w:hAnsi="楷体_GB2312" w:eastAsia="楷体_GB2312"/>
          <w:b/>
          <w:sz w:val="32"/>
        </w:rPr>
        <w:t>（三）国有资产占用情况说明</w:t>
      </w:r>
    </w:p>
    <w:p w14:paraId="353BA913">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760143F">
      <w:pPr>
        <w:spacing w:line="640" w:lineRule="exact"/>
        <w:ind w:firstLine="640"/>
        <w:jc w:val="both"/>
        <w:outlineLvl w:val="2"/>
      </w:pPr>
      <w:r>
        <w:rPr>
          <w:rFonts w:ascii="黑体" w:hAnsi="黑体" w:eastAsia="黑体"/>
          <w:sz w:val="32"/>
        </w:rPr>
        <w:t>十一、预算绩效的情况说明</w:t>
      </w:r>
    </w:p>
    <w:p w14:paraId="3A0DF2A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251.57万元，实际执行总额242.91万元；预算绩效评价项目3个，全年预算数39.73万元，全年执行数39.73万元。预算绩效管理取得的成效：一是精准规划资金。围绕农村土地制度改革、农村集体产权制度改革等重点工作，合理分配预算，保障各项改革有序</w:t>
      </w:r>
      <w:r>
        <w:rPr>
          <w:rFonts w:hint="eastAsia" w:ascii="仿宋_GB2312" w:hAnsi="仿宋_GB2312" w:eastAsia="仿宋_GB2312"/>
          <w:b w:val="0"/>
          <w:sz w:val="32"/>
          <w:lang w:eastAsia="zh-CN"/>
        </w:rPr>
        <w:t>推进</w:t>
      </w:r>
      <w:r>
        <w:rPr>
          <w:rFonts w:ascii="仿宋_GB2312" w:hAnsi="仿宋_GB2312" w:eastAsia="仿宋_GB2312"/>
          <w:b w:val="0"/>
          <w:sz w:val="32"/>
        </w:rPr>
        <w:t>，助力新型农村集体经济组织建设等工作全面完成；二是严格资金监管。建立健全内控制度，确保专款专用；三是积极开展绩效评价。依据评价结果及时调整优化工作，推动了新型农业经营主体发展壮大，促进农村集体经济增收，切实提升了资金使用效益。发现的问题及原因：一是存在绩效理念淡薄的问题。由于对绩效预算管理的培训与宣传力度不足，部门工作人员对其重要性认识匮乏，导致工作中多侧重资金投入与支出规模，忽视资金使用效益，未能将绩效观念贯穿预算编制、执行、监督的全过程，最终造成预算规划与绩效目标“两张皮”；二是绩效指标体系不完善。因相关制度规范缺失，绩效指标设定与评价过程无章可循，使得所设定的指标既难以精准衡量工作实际成效，部分指标还脱离基层农经管理现实，可操作性差，无法有效反映项目成果与长远影响；三是项目支出绩效评价存在局限，客观性有待加强。项目支出绩效评价工作还存在自我审定的局限性，项目支出绩效工作有较大弹性，评价报告多局限于描述项目实施情况，对问题避重就轻，对项目的打分松紧不一，会影响评价质量，在客观性和公正性上说服力不强。下一步改进措施：一是加强培训，提高相关人员工作水平。采取多种培训形式对单位财务人员、业务科室人员进行集中培训，进一步树牢绩效观念，提高本单位工作人员的绩效管理能力和工作水平，为预算绩效管理相关工作的顺利开展提供保障。二是完善指标。对每一项指标明确具体的衡量标准与数据获取方式，确保所有指标均可衡量、可验证，精准反映项目实际成效与长远影响；三是高度重视，加强领导。组织项目绩效领导小组对绩效评价工作进行指导、监督、检查，确保项目绩效评价反映项目完成真实情况。严格执行项目绩效评价工作要求，切实提高项目绩效报告的客观性和公正性。具体附整体支出绩效自评表，项目支出绩效自评表和评价报告。</w:t>
      </w:r>
    </w:p>
    <w:p w14:paraId="6AADE53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E527289">
        <w:tblPrEx>
          <w:tblCellMar>
            <w:top w:w="0" w:type="dxa"/>
            <w:left w:w="108" w:type="dxa"/>
            <w:bottom w:w="0" w:type="dxa"/>
            <w:right w:w="108" w:type="dxa"/>
          </w:tblCellMar>
        </w:tblPrEx>
        <w:tc>
          <w:tcPr>
            <w:tcW w:w="8847" w:type="dxa"/>
            <w:gridSpan w:val="9"/>
            <w:vAlign w:val="center"/>
          </w:tcPr>
          <w:p w14:paraId="38878FAB">
            <w:pPr>
              <w:jc w:val="center"/>
            </w:pPr>
            <w:r>
              <w:rPr>
                <w:rFonts w:ascii="宋体" w:hAnsi="宋体" w:eastAsia="宋体"/>
                <w:sz w:val="24"/>
              </w:rPr>
              <w:t>单位整体支出绩效自评表</w:t>
            </w:r>
          </w:p>
        </w:tc>
      </w:tr>
      <w:tr w14:paraId="2BE6C7A7">
        <w:tblPrEx>
          <w:tblCellMar>
            <w:top w:w="0" w:type="dxa"/>
            <w:left w:w="108" w:type="dxa"/>
            <w:bottom w:w="0" w:type="dxa"/>
            <w:right w:w="108" w:type="dxa"/>
          </w:tblCellMar>
        </w:tblPrEx>
        <w:tc>
          <w:tcPr>
            <w:tcW w:w="8847" w:type="dxa"/>
            <w:gridSpan w:val="9"/>
            <w:vAlign w:val="center"/>
          </w:tcPr>
          <w:p w14:paraId="6FFC8064">
            <w:pPr>
              <w:jc w:val="center"/>
            </w:pPr>
            <w:r>
              <w:rPr>
                <w:rFonts w:ascii="宋体" w:hAnsi="宋体" w:eastAsia="宋体"/>
                <w:sz w:val="24"/>
              </w:rPr>
              <w:t>（2024年度）</w:t>
            </w:r>
          </w:p>
        </w:tc>
      </w:tr>
      <w:tr w14:paraId="568647B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DF39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B6FC13A">
            <w:pPr>
              <w:jc w:val="center"/>
            </w:pPr>
            <w:r>
              <w:rPr>
                <w:rFonts w:ascii="宋体" w:hAnsi="宋体" w:eastAsia="宋体"/>
                <w:sz w:val="16"/>
              </w:rPr>
              <w:t>昌吉回族自治州农村合作经济经营管理局</w:t>
            </w:r>
          </w:p>
        </w:tc>
      </w:tr>
      <w:tr w14:paraId="603F930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69DAE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2389C">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DAE1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70F0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1284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EB8F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872F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02414">
            <w:pPr>
              <w:jc w:val="center"/>
            </w:pPr>
            <w:r>
              <w:rPr>
                <w:rFonts w:ascii="宋体" w:hAnsi="宋体" w:eastAsia="宋体"/>
                <w:sz w:val="16"/>
              </w:rPr>
              <w:t>得分</w:t>
            </w:r>
          </w:p>
        </w:tc>
      </w:tr>
      <w:tr w14:paraId="461ABB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4157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CA01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9546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046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7EF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BB46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239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0F42C">
            <w:pPr>
              <w:jc w:val="center"/>
            </w:pPr>
            <w:r>
              <w:rPr>
                <w:rFonts w:ascii="宋体" w:hAnsi="宋体" w:eastAsia="宋体"/>
                <w:sz w:val="16"/>
              </w:rPr>
              <w:t>-</w:t>
            </w:r>
          </w:p>
        </w:tc>
      </w:tr>
      <w:tr w14:paraId="3163BA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FF74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3B88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434E2">
            <w:pPr>
              <w:jc w:val="center"/>
            </w:pPr>
            <w:r>
              <w:rPr>
                <w:rFonts w:ascii="宋体" w:hAnsi="宋体" w:eastAsia="宋体"/>
                <w:sz w:val="16"/>
              </w:rPr>
              <w:t>194.98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B3D50">
            <w:pPr>
              <w:jc w:val="center"/>
            </w:pPr>
            <w:r>
              <w:rPr>
                <w:rFonts w:ascii="宋体" w:hAnsi="宋体" w:eastAsia="宋体"/>
                <w:sz w:val="16"/>
              </w:rPr>
              <w:t>251.57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EB801">
            <w:pPr>
              <w:jc w:val="center"/>
            </w:pPr>
            <w:r>
              <w:rPr>
                <w:rFonts w:ascii="宋体" w:hAnsi="宋体" w:eastAsia="宋体"/>
                <w:sz w:val="16"/>
              </w:rPr>
              <w:t>242.91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E38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4E9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3F678">
            <w:pPr>
              <w:jc w:val="center"/>
            </w:pPr>
            <w:r>
              <w:rPr>
                <w:rFonts w:ascii="宋体" w:hAnsi="宋体" w:eastAsia="宋体"/>
                <w:sz w:val="16"/>
              </w:rPr>
              <w:t>-</w:t>
            </w:r>
          </w:p>
        </w:tc>
      </w:tr>
      <w:tr w14:paraId="12D706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072C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31DA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B204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DF1A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ECC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AF7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E82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DE029">
            <w:pPr>
              <w:jc w:val="center"/>
            </w:pPr>
            <w:r>
              <w:rPr>
                <w:rFonts w:ascii="宋体" w:hAnsi="宋体" w:eastAsia="宋体"/>
                <w:sz w:val="16"/>
              </w:rPr>
              <w:t>-</w:t>
            </w:r>
          </w:p>
        </w:tc>
      </w:tr>
      <w:tr w14:paraId="7CD7E4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277D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362AC">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49F39">
            <w:pPr>
              <w:jc w:val="center"/>
            </w:pPr>
            <w:r>
              <w:rPr>
                <w:rFonts w:ascii="宋体" w:hAnsi="宋体" w:eastAsia="宋体"/>
                <w:sz w:val="16"/>
              </w:rPr>
              <w:t>194.98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9EF55">
            <w:pPr>
              <w:jc w:val="center"/>
            </w:pPr>
            <w:r>
              <w:rPr>
                <w:rFonts w:ascii="宋体" w:hAnsi="宋体" w:eastAsia="宋体"/>
                <w:sz w:val="16"/>
              </w:rPr>
              <w:t>251.57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40A0C">
            <w:pPr>
              <w:jc w:val="center"/>
            </w:pPr>
            <w:r>
              <w:rPr>
                <w:rFonts w:ascii="宋体" w:hAnsi="宋体" w:eastAsia="宋体"/>
                <w:sz w:val="16"/>
              </w:rPr>
              <w:t>242.91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E6D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9E1CE">
            <w:pPr>
              <w:jc w:val="center"/>
            </w:pPr>
            <w:r>
              <w:rPr>
                <w:rFonts w:ascii="宋体" w:hAnsi="宋体" w:eastAsia="宋体"/>
                <w:sz w:val="16"/>
              </w:rPr>
              <w:t>96.56%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1DC0F">
            <w:pPr>
              <w:jc w:val="center"/>
            </w:pPr>
            <w:r>
              <w:rPr>
                <w:rFonts w:ascii="宋体" w:hAnsi="宋体" w:eastAsia="宋体"/>
                <w:sz w:val="16"/>
              </w:rPr>
              <w:t>9.66</w:t>
            </w:r>
          </w:p>
        </w:tc>
      </w:tr>
      <w:tr w14:paraId="29C502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F244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C6074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89540F">
            <w:pPr>
              <w:jc w:val="center"/>
            </w:pPr>
            <w:r>
              <w:rPr>
                <w:rFonts w:ascii="宋体" w:hAnsi="宋体" w:eastAsia="宋体"/>
                <w:sz w:val="16"/>
              </w:rPr>
              <w:t>实际完成情况</w:t>
            </w:r>
          </w:p>
        </w:tc>
      </w:tr>
      <w:tr w14:paraId="14AA36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1F37C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CF1C96">
            <w:pPr>
              <w:jc w:val="both"/>
            </w:pPr>
            <w:r>
              <w:rPr>
                <w:rFonts w:ascii="宋体" w:hAnsi="宋体" w:eastAsia="宋体"/>
                <w:sz w:val="16"/>
              </w:rPr>
              <w:t>深化农村土地制度改革，巩固提升农村集体产权制度改革成果。不断完善农村集体经济组织运行机制，加强村集体“三资”监管，推进新型农业经营主体高质量发展，实现村集体持续增收。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B6C4F6">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全年预算数为251.57万元，全年执行数242.91万元，总预算执行率为96.56%。2024年</w:t>
            </w:r>
            <w:r>
              <w:rPr>
                <w:rFonts w:hint="eastAsia" w:ascii="宋体" w:hAnsi="宋体"/>
                <w:sz w:val="16"/>
                <w:lang w:eastAsia="zh-CN"/>
              </w:rPr>
              <w:t>本单位</w:t>
            </w:r>
            <w:r>
              <w:rPr>
                <w:rFonts w:ascii="宋体" w:hAnsi="宋体" w:eastAsia="宋体"/>
                <w:sz w:val="16"/>
              </w:rPr>
              <w:t>完成以下工作内容：1.实施农业社会化服务提档升级行动，用好国家资金开展全产业链服务，推动跨乡镇合作，拓展服务区域，完成 1000 万亩次服务面积、20 万亩以上全程托管服务，落实吉木萨尔县、</w:t>
            </w:r>
            <w:r>
              <w:rPr>
                <w:rFonts w:hint="eastAsia" w:ascii="宋体" w:hAnsi="宋体"/>
                <w:sz w:val="16"/>
                <w:lang w:eastAsia="zh-CN"/>
              </w:rPr>
              <w:t>木垒哈萨克自治县</w:t>
            </w:r>
            <w:r>
              <w:rPr>
                <w:rFonts w:ascii="宋体" w:hAnsi="宋体" w:eastAsia="宋体"/>
                <w:sz w:val="16"/>
              </w:rPr>
              <w:t xml:space="preserve">试点任务并推广新模式，开展 9 个村全程托管试点；2.深化农村土地制度改革，完成吉木萨尔县、玛纳斯县土地承包延包试点，推进 </w:t>
            </w:r>
            <w:r>
              <w:rPr>
                <w:rFonts w:hint="eastAsia" w:ascii="宋体" w:hAnsi="宋体"/>
                <w:sz w:val="16"/>
                <w:lang w:eastAsia="zh-CN"/>
              </w:rPr>
              <w:t>“三权”分置</w:t>
            </w:r>
            <w:r>
              <w:rPr>
                <w:rFonts w:ascii="宋体" w:hAnsi="宋体" w:eastAsia="宋体"/>
                <w:sz w:val="16"/>
              </w:rPr>
              <w:t>，规范产权交易市场，加强农地监管，确保土地流转合同签订及规范率超 80%；3.巩固提升农村集体产权制度改革成果，完善集体经济组织机制，实现经营目标责任书签订率 100%，加强 “三资” 监管，推动新型集体经济发展，新增 10 个以上分红村，累计达到；4.推进新型农业经营主体高质量发展，扶持 27 家以上自治区及以上示范社、50 家以上县级及以上示范家庭农场。通过以上工作的实施，农业生产规模化、专业化水平显著提升，农村土地资源配置更趋合理，集体资产管理规范透明，新型农业经营主体带动作用增强，有效促进农业增效、农民增收和农村集体经济发展 。</w:t>
            </w:r>
          </w:p>
        </w:tc>
      </w:tr>
      <w:tr w14:paraId="2FD7979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B7B9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FF58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644B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2950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1FFB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7B17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9C14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B5ED7">
            <w:pPr>
              <w:jc w:val="center"/>
            </w:pPr>
            <w:r>
              <w:rPr>
                <w:rFonts w:ascii="宋体" w:hAnsi="宋体" w:eastAsia="宋体"/>
                <w:sz w:val="16"/>
              </w:rPr>
              <w:t>得分</w:t>
            </w:r>
          </w:p>
        </w:tc>
      </w:tr>
      <w:tr w14:paraId="1A23DFD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FFA4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7E078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906C1">
            <w:pPr>
              <w:jc w:val="center"/>
            </w:pPr>
            <w:r>
              <w:rPr>
                <w:rFonts w:ascii="宋体" w:hAnsi="宋体" w:eastAsia="宋体"/>
                <w:sz w:val="16"/>
              </w:rPr>
              <w:t>扶持自治区级及以上示范社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AAC2A">
            <w:pPr>
              <w:jc w:val="center"/>
            </w:pPr>
            <w:r>
              <w:rPr>
                <w:rFonts w:ascii="宋体" w:hAnsi="宋体" w:eastAsia="宋体"/>
                <w:sz w:val="16"/>
              </w:rPr>
              <w:t>&gt;=27家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6A271">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A60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0F9E9">
            <w:pPr>
              <w:jc w:val="center"/>
            </w:pPr>
            <w:r>
              <w:rPr>
                <w:rFonts w:ascii="宋体" w:hAnsi="宋体" w:eastAsia="宋体"/>
                <w:sz w:val="16"/>
              </w:rPr>
              <w:t>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1F27D">
            <w:pPr>
              <w:jc w:val="center"/>
            </w:pPr>
            <w:r>
              <w:rPr>
                <w:rFonts w:ascii="宋体" w:hAnsi="宋体" w:eastAsia="宋体"/>
                <w:sz w:val="16"/>
              </w:rPr>
              <w:t>10</w:t>
            </w:r>
          </w:p>
        </w:tc>
      </w:tr>
      <w:tr w14:paraId="02B57B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141D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B33C8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A8739">
            <w:pPr>
              <w:jc w:val="center"/>
            </w:pPr>
            <w:r>
              <w:rPr>
                <w:rFonts w:ascii="宋体" w:hAnsi="宋体" w:eastAsia="宋体"/>
                <w:sz w:val="16"/>
              </w:rPr>
              <w:t>扶持县级及以上示范家庭农场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B870A">
            <w:pPr>
              <w:jc w:val="center"/>
            </w:pPr>
            <w:r>
              <w:rPr>
                <w:rFonts w:ascii="宋体" w:hAnsi="宋体" w:eastAsia="宋体"/>
                <w:sz w:val="16"/>
              </w:rPr>
              <w:t>&gt;=50家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91C5D">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9780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DF243">
            <w:pPr>
              <w:jc w:val="center"/>
            </w:pPr>
            <w:r>
              <w:rPr>
                <w:rFonts w:ascii="宋体" w:hAnsi="宋体" w:eastAsia="宋体"/>
                <w:sz w:val="16"/>
              </w:rPr>
              <w: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6D00A">
            <w:pPr>
              <w:jc w:val="center"/>
            </w:pPr>
            <w:r>
              <w:rPr>
                <w:rFonts w:ascii="宋体" w:hAnsi="宋体" w:eastAsia="宋体"/>
                <w:sz w:val="16"/>
              </w:rPr>
              <w:t>10</w:t>
            </w:r>
          </w:p>
        </w:tc>
      </w:tr>
      <w:tr w14:paraId="1BA6D0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FDF2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61B3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68CE4">
            <w:pPr>
              <w:jc w:val="center"/>
            </w:pPr>
            <w:r>
              <w:rPr>
                <w:rFonts w:ascii="宋体" w:hAnsi="宋体" w:eastAsia="宋体"/>
                <w:sz w:val="16"/>
              </w:rPr>
              <w:t>开展农业生产全程托管创新试点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13C43">
            <w:pPr>
              <w:jc w:val="center"/>
            </w:pPr>
            <w:r>
              <w:rPr>
                <w:rFonts w:ascii="宋体" w:hAnsi="宋体" w:eastAsia="宋体"/>
                <w:sz w:val="16"/>
              </w:rPr>
              <w:t>&gt;=9个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4DEF8">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FDD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AAD73">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18E38">
            <w:pPr>
              <w:jc w:val="center"/>
            </w:pPr>
            <w:r>
              <w:rPr>
                <w:rFonts w:ascii="宋体" w:hAnsi="宋体" w:eastAsia="宋体"/>
                <w:sz w:val="16"/>
              </w:rPr>
              <w:t>10</w:t>
            </w:r>
          </w:p>
        </w:tc>
      </w:tr>
      <w:tr w14:paraId="0CDDDA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5993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F629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EF8C9">
            <w:pPr>
              <w:jc w:val="center"/>
            </w:pPr>
            <w:r>
              <w:rPr>
                <w:rFonts w:ascii="宋体" w:hAnsi="宋体" w:eastAsia="宋体"/>
                <w:sz w:val="16"/>
              </w:rPr>
              <w:t>村集体年收入达到100万元以上村的个数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4B9A6">
            <w:pPr>
              <w:jc w:val="center"/>
            </w:pPr>
            <w:r>
              <w:rPr>
                <w:rFonts w:ascii="宋体" w:hAnsi="宋体" w:eastAsia="宋体"/>
                <w:sz w:val="16"/>
              </w:rPr>
              <w:t>&gt;=180个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871FC">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4B5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573FE">
            <w:pPr>
              <w:jc w:val="center"/>
            </w:pPr>
            <w:r>
              <w:rPr>
                <w:rFonts w:ascii="宋体" w:hAnsi="宋体" w:eastAsia="宋体"/>
                <w:sz w:val="16"/>
              </w:rPr>
              <w:t>205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9D37A">
            <w:pPr>
              <w:jc w:val="center"/>
            </w:pPr>
            <w:r>
              <w:rPr>
                <w:rFonts w:ascii="宋体" w:hAnsi="宋体" w:eastAsia="宋体"/>
                <w:sz w:val="16"/>
              </w:rPr>
              <w:t>10</w:t>
            </w:r>
          </w:p>
        </w:tc>
      </w:tr>
      <w:tr w14:paraId="1895E3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7465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C351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953C4">
            <w:pPr>
              <w:jc w:val="center"/>
            </w:pPr>
            <w:r>
              <w:rPr>
                <w:rFonts w:ascii="宋体" w:hAnsi="宋体" w:eastAsia="宋体"/>
                <w:sz w:val="16"/>
              </w:rPr>
              <w:t>农村集体经济组织经营目标责任书签订率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2269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F9936">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00F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767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97BA1">
            <w:pPr>
              <w:jc w:val="center"/>
            </w:pPr>
            <w:r>
              <w:rPr>
                <w:rFonts w:ascii="宋体" w:hAnsi="宋体" w:eastAsia="宋体"/>
                <w:sz w:val="16"/>
              </w:rPr>
              <w:t>10</w:t>
            </w:r>
          </w:p>
        </w:tc>
      </w:tr>
      <w:tr w14:paraId="5CB944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4C13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D9F2F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8AE4D">
            <w:pPr>
              <w:jc w:val="center"/>
            </w:pPr>
            <w:r>
              <w:rPr>
                <w:rFonts w:ascii="宋体" w:hAnsi="宋体" w:eastAsia="宋体"/>
                <w:sz w:val="16"/>
              </w:rPr>
              <w:t>全州分红的村累计达到的个数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DED0D">
            <w:pPr>
              <w:jc w:val="center"/>
            </w:pPr>
            <w:r>
              <w:rPr>
                <w:rFonts w:ascii="宋体" w:hAnsi="宋体" w:eastAsia="宋体"/>
                <w:sz w:val="16"/>
              </w:rPr>
              <w:t>&gt;=60个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5BC19">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CFC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BDC11">
            <w:pPr>
              <w:jc w:val="center"/>
            </w:pPr>
            <w:r>
              <w:rPr>
                <w:rFonts w:ascii="宋体" w:hAnsi="宋体" w:eastAsia="宋体"/>
                <w:sz w:val="16"/>
              </w:rPr>
              <w: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58BE5">
            <w:pPr>
              <w:jc w:val="center"/>
            </w:pPr>
            <w:r>
              <w:rPr>
                <w:rFonts w:ascii="宋体" w:hAnsi="宋体" w:eastAsia="宋体"/>
                <w:sz w:val="16"/>
              </w:rPr>
              <w:t>10</w:t>
            </w:r>
          </w:p>
        </w:tc>
      </w:tr>
      <w:tr w14:paraId="5109F5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CD37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9627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49279">
            <w:pPr>
              <w:jc w:val="center"/>
            </w:pPr>
            <w:r>
              <w:rPr>
                <w:rFonts w:ascii="宋体" w:hAnsi="宋体" w:eastAsia="宋体"/>
                <w:sz w:val="16"/>
              </w:rPr>
              <w:t>农村土地经营权流转合同签订规范率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F6AE7">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192AA">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0BA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C9FA1">
            <w:pPr>
              <w:jc w:val="center"/>
            </w:pPr>
            <w:r>
              <w:rPr>
                <w:rFonts w:ascii="宋体" w:hAnsi="宋体" w:eastAsia="宋体"/>
                <w:sz w:val="16"/>
              </w:rPr>
              <w:t>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72BED">
            <w:pPr>
              <w:jc w:val="center"/>
            </w:pPr>
            <w:r>
              <w:rPr>
                <w:rFonts w:ascii="宋体" w:hAnsi="宋体" w:eastAsia="宋体"/>
                <w:sz w:val="16"/>
              </w:rPr>
              <w:t>10</w:t>
            </w:r>
          </w:p>
        </w:tc>
      </w:tr>
      <w:tr w14:paraId="6E0C69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9E4F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FEAC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E15E5">
            <w:pPr>
              <w:jc w:val="center"/>
            </w:pPr>
            <w:r>
              <w:rPr>
                <w:rFonts w:ascii="宋体" w:hAnsi="宋体" w:eastAsia="宋体"/>
                <w:sz w:val="16"/>
              </w:rPr>
              <w:t>完成自治区第二轮土地承包到期后再延长30年试点任务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F9F1B">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9D72B">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F1D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8DA15">
            <w:pPr>
              <w:jc w:val="center"/>
            </w:pPr>
            <w:r>
              <w:rPr>
                <w:rFonts w:ascii="宋体" w:hAnsi="宋体" w:eastAsia="宋体"/>
                <w:sz w:val="16"/>
              </w:rPr>
              <w:t>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564BE">
            <w:pPr>
              <w:jc w:val="center"/>
            </w:pPr>
            <w:r>
              <w:rPr>
                <w:rFonts w:ascii="宋体" w:hAnsi="宋体" w:eastAsia="宋体"/>
                <w:sz w:val="16"/>
              </w:rPr>
              <w:t>10</w:t>
            </w:r>
          </w:p>
        </w:tc>
      </w:tr>
      <w:tr w14:paraId="6374BC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6C3D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35CF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86E93">
            <w:pPr>
              <w:jc w:val="center"/>
            </w:pPr>
            <w:r>
              <w:rPr>
                <w:rFonts w:ascii="宋体" w:hAnsi="宋体" w:eastAsia="宋体"/>
                <w:sz w:val="16"/>
              </w:rPr>
              <w:t>完成全程托管服务面积的亩数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258E7">
            <w:pPr>
              <w:jc w:val="center"/>
            </w:pPr>
            <w:r>
              <w:rPr>
                <w:rFonts w:ascii="宋体" w:hAnsi="宋体" w:eastAsia="宋体"/>
                <w:sz w:val="16"/>
              </w:rPr>
              <w:t>&gt;=20万亩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E0E19">
            <w:pPr>
              <w:jc w:val="center"/>
            </w:pPr>
            <w:r>
              <w:rPr>
                <w:rFonts w:ascii="宋体" w:hAnsi="宋体" w:eastAsia="宋体"/>
                <w:sz w:val="16"/>
              </w:rPr>
              <w:t>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639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E9C2F">
            <w:pPr>
              <w:jc w:val="center"/>
            </w:pPr>
            <w:r>
              <w:rPr>
                <w:rFonts w:ascii="宋体" w:hAnsi="宋体" w:eastAsia="宋体"/>
                <w:sz w:val="16"/>
              </w:rPr>
              <w:t>63.57万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38E97">
            <w:pPr>
              <w:jc w:val="center"/>
            </w:pPr>
            <w:r>
              <w:rPr>
                <w:rFonts w:ascii="宋体" w:hAnsi="宋体" w:eastAsia="宋体"/>
                <w:sz w:val="16"/>
              </w:rPr>
              <w:t>10</w:t>
            </w:r>
          </w:p>
        </w:tc>
      </w:tr>
    </w:tbl>
    <w:p w14:paraId="50CC223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96"/>
        <w:gridCol w:w="632"/>
        <w:gridCol w:w="632"/>
        <w:gridCol w:w="632"/>
      </w:tblGrid>
      <w:tr w14:paraId="3A22CB00">
        <w:tc>
          <w:tcPr>
            <w:tcW w:w="8848" w:type="dxa"/>
            <w:gridSpan w:val="14"/>
            <w:vAlign w:val="center"/>
          </w:tcPr>
          <w:p w14:paraId="175CDA08">
            <w:pPr>
              <w:jc w:val="center"/>
            </w:pPr>
            <w:r>
              <w:rPr>
                <w:rFonts w:ascii="宋体" w:hAnsi="宋体" w:eastAsia="宋体"/>
                <w:sz w:val="24"/>
              </w:rPr>
              <w:t>项目支出绩效自评表</w:t>
            </w:r>
          </w:p>
        </w:tc>
      </w:tr>
      <w:tr w14:paraId="0105798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D3DE15">
            <w:pPr>
              <w:jc w:val="center"/>
            </w:pPr>
            <w:r>
              <w:rPr>
                <w:rFonts w:ascii="宋体" w:hAnsi="宋体" w:eastAsia="宋体"/>
                <w:sz w:val="24"/>
              </w:rPr>
              <w:t>(2024年度)</w:t>
            </w:r>
          </w:p>
        </w:tc>
      </w:tr>
      <w:tr w14:paraId="500AFB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C174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655729">
            <w:pPr>
              <w:jc w:val="center"/>
            </w:pPr>
            <w:r>
              <w:rPr>
                <w:rFonts w:ascii="宋体" w:hAnsi="宋体" w:eastAsia="宋体"/>
                <w:sz w:val="16"/>
              </w:rPr>
              <w:t>2024年农村财务管理及审计业务经费项目</w:t>
            </w:r>
          </w:p>
        </w:tc>
      </w:tr>
      <w:tr w14:paraId="37BC64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A8C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5E7D77">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89F3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1915DB">
            <w:pPr>
              <w:jc w:val="center"/>
            </w:pPr>
            <w:r>
              <w:rPr>
                <w:rFonts w:ascii="宋体" w:hAnsi="宋体" w:eastAsia="宋体"/>
                <w:sz w:val="16"/>
              </w:rPr>
              <w:t>昌吉回族自治州农村合作经济经营管理局</w:t>
            </w:r>
          </w:p>
        </w:tc>
      </w:tr>
      <w:tr w14:paraId="49BE5E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AB1F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96CC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FBE4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36C9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0ED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F1FA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8EC7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868D3">
            <w:pPr>
              <w:jc w:val="center"/>
            </w:pPr>
            <w:r>
              <w:rPr>
                <w:rFonts w:ascii="宋体" w:hAnsi="宋体" w:eastAsia="宋体"/>
                <w:sz w:val="16"/>
              </w:rPr>
              <w:t>得分</w:t>
            </w:r>
          </w:p>
        </w:tc>
      </w:tr>
      <w:tr w14:paraId="6ACD51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0AB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DA3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1B39B">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F78B3">
            <w:pPr>
              <w:jc w:val="center"/>
            </w:pPr>
            <w:r>
              <w:rPr>
                <w:rFonts w:ascii="宋体" w:hAnsi="宋体" w:eastAsia="宋体"/>
                <w:sz w:val="16"/>
              </w:rPr>
              <w:t>4.23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CE455">
            <w:pPr>
              <w:jc w:val="center"/>
            </w:pPr>
            <w:r>
              <w:rPr>
                <w:rFonts w:ascii="宋体" w:hAnsi="宋体" w:eastAsia="宋体"/>
                <w:sz w:val="16"/>
              </w:rPr>
              <w:t>4.23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32C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2FC5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8FDA4">
            <w:pPr>
              <w:jc w:val="center"/>
            </w:pPr>
            <w:r>
              <w:rPr>
                <w:rFonts w:ascii="宋体" w:hAnsi="宋体" w:eastAsia="宋体"/>
                <w:sz w:val="16"/>
              </w:rPr>
              <w:t>10.00</w:t>
            </w:r>
          </w:p>
        </w:tc>
      </w:tr>
      <w:tr w14:paraId="682B22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9B0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5016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15C39">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07855">
            <w:pPr>
              <w:jc w:val="center"/>
            </w:pPr>
            <w:r>
              <w:rPr>
                <w:rFonts w:ascii="宋体" w:hAnsi="宋体" w:eastAsia="宋体"/>
                <w:sz w:val="16"/>
              </w:rPr>
              <w:t>4.23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35687">
            <w:pPr>
              <w:jc w:val="center"/>
            </w:pPr>
            <w:r>
              <w:rPr>
                <w:rFonts w:ascii="宋体" w:hAnsi="宋体" w:eastAsia="宋体"/>
                <w:sz w:val="16"/>
              </w:rPr>
              <w:t>4.23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C4F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15B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9467">
            <w:pPr>
              <w:jc w:val="center"/>
            </w:pPr>
            <w:r>
              <w:rPr>
                <w:rFonts w:ascii="宋体" w:hAnsi="宋体" w:eastAsia="宋体"/>
                <w:sz w:val="16"/>
              </w:rPr>
              <w:t>—</w:t>
            </w:r>
          </w:p>
        </w:tc>
      </w:tr>
      <w:tr w14:paraId="059CC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E0E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7524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9D3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DFF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D38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6E4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7F2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6A4F8">
            <w:pPr>
              <w:jc w:val="center"/>
            </w:pPr>
            <w:r>
              <w:rPr>
                <w:rFonts w:ascii="宋体" w:hAnsi="宋体" w:eastAsia="宋体"/>
                <w:sz w:val="16"/>
              </w:rPr>
              <w:t>—</w:t>
            </w:r>
          </w:p>
        </w:tc>
      </w:tr>
      <w:tr w14:paraId="062BC5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211E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FEB3F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7102E6">
            <w:pPr>
              <w:jc w:val="center"/>
            </w:pPr>
            <w:r>
              <w:rPr>
                <w:rFonts w:ascii="宋体" w:hAnsi="宋体" w:eastAsia="宋体"/>
                <w:sz w:val="16"/>
              </w:rPr>
              <w:t>实际完成情况</w:t>
            </w:r>
          </w:p>
        </w:tc>
      </w:tr>
      <w:tr w14:paraId="2FE438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A8F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5A0D55">
            <w:pPr>
              <w:jc w:val="both"/>
            </w:pPr>
            <w:r>
              <w:rPr>
                <w:rFonts w:ascii="宋体" w:hAnsi="宋体" w:eastAsia="宋体"/>
                <w:sz w:val="16"/>
              </w:rPr>
              <w:t>对农村集体经济组织“三资”管理、社务公开、财务管理制度落实情况进行调研指导。规范农村集体资产核算中心运行，全面推行经营目标责任制，持续打造“抱团发展”示范乡镇，探索壮大集体经济的新路径，巩固提升农村集体产权制度改革成果，赋予农民更加充分的财产权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2C91C6">
            <w:pPr>
              <w:jc w:val="both"/>
            </w:pPr>
            <w:r>
              <w:rPr>
                <w:rFonts w:hint="eastAsia" w:ascii="宋体" w:hAnsi="宋体"/>
                <w:sz w:val="16"/>
                <w:lang w:eastAsia="zh-CN"/>
              </w:rPr>
              <w:t>截至</w:t>
            </w:r>
            <w:r>
              <w:rPr>
                <w:rFonts w:ascii="宋体" w:hAnsi="宋体" w:eastAsia="宋体"/>
                <w:sz w:val="16"/>
              </w:rPr>
              <w:t>2024年12月31日，该项目实际完成对“三资”规范管理进行专项检查2次</w:t>
            </w:r>
            <w:r>
              <w:rPr>
                <w:rFonts w:hint="eastAsia" w:ascii="宋体" w:hAnsi="宋体"/>
                <w:sz w:val="16"/>
                <w:lang w:eastAsia="zh-CN"/>
              </w:rPr>
              <w:t>；</w:t>
            </w:r>
            <w:r>
              <w:rPr>
                <w:rFonts w:ascii="宋体" w:hAnsi="宋体" w:eastAsia="宋体"/>
                <w:sz w:val="16"/>
              </w:rPr>
              <w:t>完成专项检查调研报告1篇；村集体经济目标责任书签订率100%</w:t>
            </w:r>
            <w:r>
              <w:rPr>
                <w:rFonts w:hint="eastAsia" w:ascii="宋体" w:hAnsi="宋体"/>
                <w:sz w:val="16"/>
                <w:lang w:eastAsia="zh-CN"/>
              </w:rPr>
              <w:t>；</w:t>
            </w:r>
            <w:r>
              <w:rPr>
                <w:rFonts w:ascii="宋体" w:hAnsi="宋体" w:eastAsia="宋体"/>
                <w:sz w:val="16"/>
              </w:rPr>
              <w:t>指导村集体资产核算中心财务规范运行2次；项目实施完成率100%</w:t>
            </w:r>
            <w:r>
              <w:rPr>
                <w:rFonts w:hint="eastAsia" w:ascii="宋体" w:hAnsi="宋体"/>
                <w:sz w:val="16"/>
                <w:lang w:eastAsia="zh-CN"/>
              </w:rPr>
              <w:t>；</w:t>
            </w:r>
            <w:r>
              <w:rPr>
                <w:rFonts w:ascii="宋体" w:hAnsi="宋体" w:eastAsia="宋体"/>
                <w:sz w:val="16"/>
              </w:rPr>
              <w:t>年度督促指导按时完成。通过该项目的实施，巩固提升农村集体产权制度改革成果，探索壮大集体经济的新路径，赋予农民更加充分的财产权益。</w:t>
            </w:r>
          </w:p>
        </w:tc>
      </w:tr>
      <w:tr w14:paraId="47595E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5058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DAB8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80AF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4D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C6E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04A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F83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BD9D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9D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09F2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ACE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26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374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9720">
            <w:pPr>
              <w:jc w:val="center"/>
            </w:pPr>
            <w:r>
              <w:rPr>
                <w:rFonts w:ascii="宋体" w:hAnsi="宋体" w:eastAsia="宋体"/>
                <w:sz w:val="16"/>
              </w:rPr>
              <w:t>偏差原因分析及改进措施</w:t>
            </w:r>
          </w:p>
        </w:tc>
      </w:tr>
      <w:tr w14:paraId="7807C2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5442E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04F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E82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66FE0">
            <w:pPr>
              <w:jc w:val="center"/>
            </w:pPr>
            <w:r>
              <w:rPr>
                <w:rFonts w:ascii="宋体" w:hAnsi="宋体" w:eastAsia="宋体"/>
                <w:sz w:val="16"/>
              </w:rPr>
              <w:t>对“三资”规范管理进行专项检查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99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D2BA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258E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2F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565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F7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9F9E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7C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837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1A99A">
            <w:pPr>
              <w:jc w:val="center"/>
            </w:pPr>
          </w:p>
        </w:tc>
      </w:tr>
      <w:tr w14:paraId="5E3EED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A74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4FD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44F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604F">
            <w:pPr>
              <w:jc w:val="center"/>
            </w:pPr>
            <w:r>
              <w:rPr>
                <w:rFonts w:ascii="宋体" w:hAnsi="宋体" w:eastAsia="宋体"/>
                <w:sz w:val="16"/>
              </w:rPr>
              <w:t>完成专项检查调研报告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C4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4E0B2">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FE0D0">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78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2CB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47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8C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B1A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D65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7FCB8">
            <w:pPr>
              <w:jc w:val="center"/>
            </w:pPr>
          </w:p>
        </w:tc>
      </w:tr>
      <w:tr w14:paraId="03427B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316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56B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2B7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44A31">
            <w:pPr>
              <w:jc w:val="center"/>
            </w:pPr>
            <w:r>
              <w:rPr>
                <w:rFonts w:ascii="宋体" w:hAnsi="宋体" w:eastAsia="宋体"/>
                <w:sz w:val="16"/>
              </w:rPr>
              <w:t>村集体经济目标责任书签订率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63E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570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A82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85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18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0A3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D50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903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10D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63E32">
            <w:pPr>
              <w:jc w:val="center"/>
            </w:pPr>
          </w:p>
        </w:tc>
      </w:tr>
      <w:tr w14:paraId="21A2B2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76F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6F7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A2C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225F">
            <w:pPr>
              <w:jc w:val="center"/>
            </w:pPr>
            <w:r>
              <w:rPr>
                <w:rFonts w:ascii="宋体" w:hAnsi="宋体" w:eastAsia="宋体"/>
                <w:sz w:val="16"/>
              </w:rPr>
              <w:t>指导村集体资产核算中心财务规范运行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D1F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F5882">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23E5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287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768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A9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F3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2E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1D9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76E7">
            <w:pPr>
              <w:jc w:val="center"/>
            </w:pPr>
          </w:p>
        </w:tc>
      </w:tr>
      <w:tr w14:paraId="4E4D3A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07A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8FE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64AD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B674">
            <w:pPr>
              <w:jc w:val="center"/>
            </w:pPr>
            <w:r>
              <w:rPr>
                <w:rFonts w:ascii="宋体" w:hAnsi="宋体" w:eastAsia="宋体"/>
                <w:sz w:val="16"/>
              </w:rPr>
              <w:t>项目实施完成率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5DF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F1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6C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5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DE2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29D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CA83">
            <w:pPr>
              <w:jc w:val="center"/>
            </w:pPr>
            <w:r>
              <w:rPr>
                <w:rFonts w:ascii="宋体" w:hAnsi="宋体" w:eastAsia="宋体"/>
                <w:sz w:val="16"/>
              </w:rPr>
              <w:t>63.33%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AC9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D6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BA7E4">
            <w:pPr>
              <w:jc w:val="center"/>
            </w:pPr>
          </w:p>
        </w:tc>
      </w:tr>
      <w:tr w14:paraId="5743C7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792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A8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868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1717C">
            <w:pPr>
              <w:jc w:val="center"/>
            </w:pPr>
            <w:r>
              <w:rPr>
                <w:rFonts w:ascii="宋体" w:hAnsi="宋体" w:eastAsia="宋体"/>
                <w:sz w:val="16"/>
              </w:rPr>
              <w:t>年度督促指导完成时间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F4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301F5">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0562C">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5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8E5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AB5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0136">
            <w:pPr>
              <w:jc w:val="center"/>
            </w:pPr>
            <w:r>
              <w:rPr>
                <w:rFonts w:ascii="宋体" w:hAnsi="宋体" w:eastAsia="宋体"/>
                <w:sz w:val="16"/>
              </w:rPr>
              <w:t>63.33%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35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1A9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8B53">
            <w:pPr>
              <w:jc w:val="center"/>
            </w:pPr>
          </w:p>
        </w:tc>
      </w:tr>
      <w:tr w14:paraId="15F1D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D305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5925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BAF4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6ABB">
            <w:pPr>
              <w:jc w:val="center"/>
            </w:pPr>
            <w:r>
              <w:rPr>
                <w:rFonts w:ascii="宋体" w:hAnsi="宋体" w:eastAsia="宋体"/>
                <w:sz w:val="16"/>
              </w:rPr>
              <w:t>实施专项检查、指导工作保障资金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F4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B9D2D">
            <w:pPr>
              <w:jc w:val="center"/>
            </w:pPr>
            <w:r>
              <w:rPr>
                <w:rFonts w:ascii="宋体" w:hAnsi="宋体" w:eastAsia="宋体"/>
                <w:sz w:val="16"/>
              </w:rPr>
              <w:t>&lt;=3.23万元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48879">
            <w:pPr>
              <w:jc w:val="center"/>
            </w:pPr>
            <w:r>
              <w:rPr>
                <w:rFonts w:ascii="宋体" w:hAnsi="宋体" w:eastAsia="宋体"/>
                <w:sz w:val="16"/>
              </w:rPr>
              <w:t>=3.23万元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B6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C36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8C4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E33DD">
            <w:pPr>
              <w:jc w:val="center"/>
            </w:pPr>
            <w:r>
              <w:rPr>
                <w:rFonts w:ascii="宋体" w:hAnsi="宋体" w:eastAsia="宋体"/>
                <w:sz w:val="16"/>
              </w:rPr>
              <w:t>48.33%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820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9D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85386">
            <w:pPr>
              <w:jc w:val="center"/>
            </w:pPr>
          </w:p>
        </w:tc>
      </w:tr>
      <w:tr w14:paraId="7B664A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4DC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B0E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6AD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FDEEB">
            <w:pPr>
              <w:jc w:val="center"/>
            </w:pPr>
            <w:r>
              <w:rPr>
                <w:rFonts w:ascii="宋体" w:hAnsi="宋体" w:eastAsia="宋体"/>
                <w:sz w:val="16"/>
              </w:rPr>
              <w:t>专项检查、指导所需租赁劳务费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139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30693">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16F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922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A7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80D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A8D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BCC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4B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F05B">
            <w:pPr>
              <w:jc w:val="center"/>
            </w:pPr>
          </w:p>
        </w:tc>
      </w:tr>
      <w:tr w14:paraId="4C4CEC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54E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20A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4281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4CE8">
            <w:pPr>
              <w:jc w:val="center"/>
            </w:pPr>
            <w:r>
              <w:rPr>
                <w:rFonts w:ascii="宋体" w:hAnsi="宋体" w:eastAsia="宋体"/>
                <w:sz w:val="16"/>
              </w:rPr>
              <w:t>全州分红的村集体经济组织持续增加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E0D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E237E">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27D5">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8C7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11D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376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B7A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32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D3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02B1">
            <w:pPr>
              <w:jc w:val="center"/>
            </w:pPr>
          </w:p>
        </w:tc>
      </w:tr>
      <w:tr w14:paraId="24C995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860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BDA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04C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EE0D8">
            <w:pPr>
              <w:jc w:val="center"/>
            </w:pPr>
            <w:r>
              <w:rPr>
                <w:rFonts w:ascii="宋体" w:hAnsi="宋体" w:eastAsia="宋体"/>
                <w:sz w:val="16"/>
              </w:rPr>
              <w:t>提升农村集体经济组织服务和发展经济的能力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1B31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882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370C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CBB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3AA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BE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3F68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64B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44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2CFAF">
            <w:pPr>
              <w:jc w:val="center"/>
            </w:pPr>
          </w:p>
        </w:tc>
      </w:tr>
      <w:tr w14:paraId="32165DE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BDB8B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05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330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386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A950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A84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666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0A65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066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4C8D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F9C9D"/>
        </w:tc>
      </w:tr>
    </w:tbl>
    <w:p w14:paraId="51C520F2">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26"/>
        <w:gridCol w:w="696"/>
        <w:gridCol w:w="631"/>
        <w:gridCol w:w="629"/>
        <w:gridCol w:w="631"/>
        <w:gridCol w:w="623"/>
        <w:gridCol w:w="776"/>
        <w:gridCol w:w="623"/>
        <w:gridCol w:w="623"/>
        <w:gridCol w:w="696"/>
      </w:tblGrid>
      <w:tr w14:paraId="15A25182">
        <w:tblPrEx>
          <w:tblCellMar>
            <w:top w:w="0" w:type="dxa"/>
            <w:left w:w="108" w:type="dxa"/>
            <w:bottom w:w="0" w:type="dxa"/>
            <w:right w:w="108" w:type="dxa"/>
          </w:tblCellMar>
        </w:tblPrEx>
        <w:tc>
          <w:tcPr>
            <w:tcW w:w="8848" w:type="dxa"/>
            <w:gridSpan w:val="14"/>
            <w:vAlign w:val="center"/>
          </w:tcPr>
          <w:p w14:paraId="022BCEB7">
            <w:pPr>
              <w:jc w:val="center"/>
            </w:pPr>
            <w:r>
              <w:rPr>
                <w:rFonts w:ascii="宋体" w:hAnsi="宋体" w:eastAsia="宋体"/>
                <w:sz w:val="24"/>
              </w:rPr>
              <w:t>项目支出绩效自评表</w:t>
            </w:r>
          </w:p>
        </w:tc>
      </w:tr>
      <w:tr w14:paraId="1106A80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B84F59A">
            <w:pPr>
              <w:jc w:val="center"/>
            </w:pPr>
            <w:r>
              <w:rPr>
                <w:rFonts w:ascii="宋体" w:hAnsi="宋体" w:eastAsia="宋体"/>
                <w:sz w:val="24"/>
              </w:rPr>
              <w:t>(2024年度)</w:t>
            </w:r>
          </w:p>
        </w:tc>
      </w:tr>
      <w:tr w14:paraId="32957F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1FFD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E15DAD">
            <w:pPr>
              <w:jc w:val="center"/>
            </w:pPr>
            <w:r>
              <w:rPr>
                <w:rFonts w:ascii="宋体" w:hAnsi="宋体" w:eastAsia="宋体"/>
                <w:sz w:val="16"/>
              </w:rPr>
              <w:t>2024年自治区农业生产发展资金（新型经营主体培育）</w:t>
            </w:r>
          </w:p>
        </w:tc>
      </w:tr>
      <w:tr w14:paraId="32CAEA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63BD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27A41B">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775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4D05F7">
            <w:pPr>
              <w:jc w:val="center"/>
            </w:pPr>
            <w:r>
              <w:rPr>
                <w:rFonts w:ascii="宋体" w:hAnsi="宋体" w:eastAsia="宋体"/>
                <w:sz w:val="16"/>
              </w:rPr>
              <w:t>昌吉回族自治州农村合作经济经营管理局</w:t>
            </w:r>
          </w:p>
        </w:tc>
      </w:tr>
      <w:tr w14:paraId="1406DA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6BC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FC02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A54D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38C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573C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AF68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DB5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2798">
            <w:pPr>
              <w:jc w:val="center"/>
            </w:pPr>
            <w:r>
              <w:rPr>
                <w:rFonts w:ascii="宋体" w:hAnsi="宋体" w:eastAsia="宋体"/>
                <w:sz w:val="16"/>
              </w:rPr>
              <w:t>得分</w:t>
            </w:r>
          </w:p>
        </w:tc>
      </w:tr>
      <w:tr w14:paraId="5C4028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D05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D56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9BD07">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CDB70">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46976">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8A9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FF3B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C67C8">
            <w:pPr>
              <w:jc w:val="center"/>
            </w:pPr>
            <w:r>
              <w:rPr>
                <w:rFonts w:ascii="宋体" w:hAnsi="宋体" w:eastAsia="宋体"/>
                <w:sz w:val="16"/>
              </w:rPr>
              <w:t>10.00</w:t>
            </w:r>
          </w:p>
        </w:tc>
      </w:tr>
      <w:tr w14:paraId="019846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502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674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4F680">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A2E0F">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92A4E">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4FD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EA4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A5C90">
            <w:pPr>
              <w:jc w:val="center"/>
            </w:pPr>
            <w:r>
              <w:rPr>
                <w:rFonts w:ascii="宋体" w:hAnsi="宋体" w:eastAsia="宋体"/>
                <w:sz w:val="16"/>
              </w:rPr>
              <w:t>—</w:t>
            </w:r>
          </w:p>
        </w:tc>
      </w:tr>
      <w:tr w14:paraId="510C91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443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5252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3CE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29E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5E0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51F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6F0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5B98">
            <w:pPr>
              <w:jc w:val="center"/>
            </w:pPr>
            <w:r>
              <w:rPr>
                <w:rFonts w:ascii="宋体" w:hAnsi="宋体" w:eastAsia="宋体"/>
                <w:sz w:val="16"/>
              </w:rPr>
              <w:t>—</w:t>
            </w:r>
          </w:p>
        </w:tc>
      </w:tr>
      <w:tr w14:paraId="7E3F5A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190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29415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4385D9">
            <w:pPr>
              <w:jc w:val="center"/>
            </w:pPr>
            <w:r>
              <w:rPr>
                <w:rFonts w:ascii="宋体" w:hAnsi="宋体" w:eastAsia="宋体"/>
                <w:sz w:val="16"/>
              </w:rPr>
              <w:t>实际完成情况</w:t>
            </w:r>
          </w:p>
        </w:tc>
      </w:tr>
      <w:tr w14:paraId="3DB603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0C2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AA8780">
            <w:pPr>
              <w:jc w:val="both"/>
            </w:pPr>
            <w:r>
              <w:rPr>
                <w:rFonts w:ascii="宋体" w:hAnsi="宋体" w:eastAsia="宋体"/>
                <w:sz w:val="16"/>
              </w:rPr>
              <w:t>开展新型农业经营主体辅导员岗位培训，培训人数150人以上，费用共6.6万元；聚焦农业社会化服务创新试点，组织州、县相关人员赴内地先进地区开展学习、观摩、交流，借鉴先进经验，费用共计5.9万元；支持各项目督导检查、聘请第三方机构开展项目审计和财务代理6.5万元，以及其他相关业务指导的费用共2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504148">
            <w:pPr>
              <w:jc w:val="both"/>
            </w:pPr>
            <w:r>
              <w:rPr>
                <w:rFonts w:hint="eastAsia" w:ascii="宋体" w:hAnsi="宋体"/>
                <w:sz w:val="16"/>
                <w:lang w:eastAsia="zh-CN"/>
              </w:rPr>
              <w:t>截至</w:t>
            </w:r>
            <w:r>
              <w:rPr>
                <w:rFonts w:ascii="宋体" w:hAnsi="宋体" w:eastAsia="宋体"/>
                <w:sz w:val="16"/>
              </w:rPr>
              <w:t>2024年12月31日，该项目实际完成150人新型农业经营主体辅导员岗位培训</w:t>
            </w:r>
            <w:r>
              <w:rPr>
                <w:rFonts w:hint="eastAsia" w:ascii="宋体" w:hAnsi="宋体"/>
                <w:sz w:val="16"/>
                <w:lang w:eastAsia="zh-CN"/>
              </w:rPr>
              <w:t>；</w:t>
            </w:r>
            <w:r>
              <w:rPr>
                <w:rFonts w:ascii="宋体" w:hAnsi="宋体" w:eastAsia="宋体"/>
                <w:sz w:val="16"/>
              </w:rPr>
              <w:t>州、县11人，赴内地先进地区开展学习、观摩、交流，借鉴先进经验；项目督导检查2次、聘请第三方机构开展项目审计1次。通过该项目的实施，提升新型经营主体管理水平和能力，促进新型经营主体高质量发展，增加农民收入。</w:t>
            </w:r>
          </w:p>
        </w:tc>
      </w:tr>
      <w:tr w14:paraId="0617A1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114F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B96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DA65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289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6201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3283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602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E11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4CFB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7D4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9B60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88B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E1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7387E">
            <w:pPr>
              <w:jc w:val="center"/>
            </w:pPr>
            <w:r>
              <w:rPr>
                <w:rFonts w:ascii="宋体" w:hAnsi="宋体" w:eastAsia="宋体"/>
                <w:sz w:val="16"/>
              </w:rPr>
              <w:t>偏差原因分析及改进措施</w:t>
            </w:r>
          </w:p>
        </w:tc>
      </w:tr>
      <w:tr w14:paraId="5C0E6A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088A5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1B2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5A1E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358D9">
            <w:pPr>
              <w:jc w:val="center"/>
            </w:pPr>
            <w:r>
              <w:rPr>
                <w:rFonts w:ascii="宋体" w:hAnsi="宋体" w:eastAsia="宋体"/>
                <w:sz w:val="16"/>
              </w:rPr>
              <w:t>培训参与人数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490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BBF31">
            <w:pPr>
              <w:jc w:val="center"/>
            </w:pPr>
            <w:r>
              <w:rPr>
                <w:rFonts w:ascii="宋体" w:hAnsi="宋体" w:eastAsia="宋体"/>
                <w:sz w:val="16"/>
              </w:rPr>
              <w:t>&gt;=150人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A585">
            <w:pPr>
              <w:jc w:val="center"/>
            </w:pPr>
            <w:r>
              <w:rPr>
                <w:rFonts w:ascii="宋体" w:hAnsi="宋体" w:eastAsia="宋体"/>
                <w:sz w:val="16"/>
              </w:rPr>
              <w:t>=150人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27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64F4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439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58CB9">
            <w:pPr>
              <w:jc w:val="center"/>
            </w:pPr>
            <w:r>
              <w:rPr>
                <w:rFonts w:ascii="宋体" w:hAnsi="宋体" w:eastAsia="宋体"/>
                <w:sz w:val="16"/>
              </w:rPr>
              <w:t>&gt;=90人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D2E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B8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6485C">
            <w:pPr>
              <w:jc w:val="center"/>
            </w:pPr>
          </w:p>
        </w:tc>
      </w:tr>
      <w:tr w14:paraId="283AF9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D34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FEA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249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79B5">
            <w:pPr>
              <w:jc w:val="center"/>
            </w:pPr>
            <w:r>
              <w:rPr>
                <w:rFonts w:ascii="宋体" w:hAnsi="宋体" w:eastAsia="宋体"/>
                <w:sz w:val="16"/>
              </w:rPr>
              <w:t>开展项目审计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5430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B532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087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4F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226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9C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9C99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225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047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FB3F2">
            <w:pPr>
              <w:jc w:val="center"/>
            </w:pPr>
          </w:p>
        </w:tc>
      </w:tr>
      <w:tr w14:paraId="2CCB8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270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D94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2E4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269B">
            <w:pPr>
              <w:jc w:val="center"/>
            </w:pPr>
            <w:r>
              <w:rPr>
                <w:rFonts w:ascii="宋体" w:hAnsi="宋体" w:eastAsia="宋体"/>
                <w:sz w:val="16"/>
              </w:rPr>
              <w:t>开展观摩学习人数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BDB6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809C">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97F5D">
            <w:pPr>
              <w:jc w:val="center"/>
            </w:pPr>
            <w:r>
              <w:rPr>
                <w:rFonts w:ascii="宋体" w:hAnsi="宋体" w:eastAsia="宋体"/>
                <w:sz w:val="16"/>
              </w:rPr>
              <w: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5624">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7E488">
            <w:pPr>
              <w:jc w:val="center"/>
            </w:pPr>
            <w:r>
              <w:rPr>
                <w:rFonts w:ascii="宋体" w:hAnsi="宋体" w:eastAsia="宋体"/>
                <w:sz w:val="16"/>
              </w:rPr>
              <w:t>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ECB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59D4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3F1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E6E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18185">
            <w:pPr>
              <w:jc w:val="center"/>
            </w:pPr>
            <w:r>
              <w:rPr>
                <w:rFonts w:ascii="宋体" w:hAnsi="宋体" w:eastAsia="宋体"/>
                <w:sz w:val="16"/>
              </w:rPr>
              <w:t>在项目执行中，在确保</w:t>
            </w:r>
            <w:r>
              <w:rPr>
                <w:rFonts w:hint="eastAsia" w:ascii="宋体" w:hAnsi="宋体"/>
                <w:sz w:val="16"/>
                <w:lang w:eastAsia="zh-CN"/>
              </w:rPr>
              <w:t>培训</w:t>
            </w:r>
            <w:r>
              <w:rPr>
                <w:rFonts w:ascii="宋体" w:hAnsi="宋体" w:eastAsia="宋体"/>
                <w:sz w:val="16"/>
              </w:rPr>
              <w:t>质量和资金合规使用的前提下，合理</w:t>
            </w:r>
            <w:r>
              <w:rPr>
                <w:rFonts w:hint="eastAsia" w:ascii="宋体" w:hAnsi="宋体"/>
                <w:sz w:val="16"/>
                <w:lang w:eastAsia="zh-CN"/>
              </w:rPr>
              <w:t>调整</w:t>
            </w:r>
            <w:r>
              <w:rPr>
                <w:rFonts w:ascii="宋体" w:hAnsi="宋体" w:eastAsia="宋体"/>
                <w:sz w:val="16"/>
              </w:rPr>
              <w:t>观摩学习人员，</w:t>
            </w:r>
            <w:r>
              <w:rPr>
                <w:rFonts w:hint="eastAsia" w:ascii="宋体" w:hAnsi="宋体"/>
                <w:sz w:val="16"/>
                <w:lang w:eastAsia="zh-CN"/>
              </w:rPr>
              <w:t>增加</w:t>
            </w:r>
            <w:r>
              <w:rPr>
                <w:rFonts w:ascii="宋体" w:hAnsi="宋体" w:eastAsia="宋体"/>
                <w:sz w:val="16"/>
              </w:rPr>
              <w:t>1人，导致</w:t>
            </w:r>
            <w:bookmarkStart w:id="0" w:name="_GoBack"/>
            <w:r>
              <w:rPr>
                <w:rFonts w:hint="eastAsia" w:ascii="宋体" w:hAnsi="宋体"/>
                <w:sz w:val="16"/>
                <w:lang w:eastAsia="zh-CN"/>
              </w:rPr>
              <w:t>偏差</w:t>
            </w:r>
            <w:bookmarkEnd w:id="0"/>
            <w:r>
              <w:rPr>
                <w:rFonts w:ascii="宋体" w:hAnsi="宋体" w:eastAsia="宋体"/>
                <w:sz w:val="16"/>
              </w:rPr>
              <w:t>率-10%。</w:t>
            </w:r>
          </w:p>
        </w:tc>
      </w:tr>
      <w:tr w14:paraId="43549C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3CC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A8B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C71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E1376">
            <w:pPr>
              <w:jc w:val="center"/>
            </w:pPr>
            <w:r>
              <w:rPr>
                <w:rFonts w:ascii="宋体" w:hAnsi="宋体" w:eastAsia="宋体"/>
                <w:sz w:val="16"/>
              </w:rPr>
              <w:t>开展监督指导次数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AEF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55CE">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9DE4">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35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DF23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305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76D8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C89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9DC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982A">
            <w:pPr>
              <w:jc w:val="center"/>
            </w:pPr>
          </w:p>
        </w:tc>
      </w:tr>
      <w:tr w14:paraId="50D0A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A9F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96F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08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2ABE">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A96B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D9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FCC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33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687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DA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FDB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ED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94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5C542">
            <w:pPr>
              <w:jc w:val="center"/>
            </w:pPr>
          </w:p>
        </w:tc>
      </w:tr>
      <w:tr w14:paraId="74400B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A5E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777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CD1B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16B2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42DA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9722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B376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2E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E3C6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1A1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8F9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8BA9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A4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31BF8">
            <w:pPr>
              <w:jc w:val="center"/>
            </w:pPr>
          </w:p>
        </w:tc>
      </w:tr>
      <w:tr w14:paraId="39407E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489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65C0F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F3B0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4115">
            <w:pPr>
              <w:jc w:val="center"/>
            </w:pPr>
            <w:r>
              <w:rPr>
                <w:rFonts w:ascii="宋体" w:hAnsi="宋体" w:eastAsia="宋体"/>
                <w:sz w:val="16"/>
              </w:rPr>
              <w:t>开展培训经费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63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A861">
            <w:pPr>
              <w:jc w:val="center"/>
            </w:pPr>
            <w:r>
              <w:rPr>
                <w:rFonts w:ascii="宋体" w:hAnsi="宋体" w:eastAsia="宋体"/>
                <w:sz w:val="16"/>
              </w:rPr>
              <w:t>&lt;=7.50万元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82F69">
            <w:pPr>
              <w:jc w:val="center"/>
            </w:pPr>
            <w:r>
              <w:rPr>
                <w:rFonts w:ascii="宋体" w:hAnsi="宋体" w:eastAsia="宋体"/>
                <w:sz w:val="16"/>
              </w:rPr>
              <w: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D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C9D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AB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4075">
            <w:pPr>
              <w:jc w:val="center"/>
            </w:pPr>
            <w:r>
              <w:rPr>
                <w:rFonts w:ascii="宋体" w:hAnsi="宋体" w:eastAsia="宋体"/>
                <w:sz w:val="16"/>
              </w:rPr>
              <w:t>&lt;=10.80万元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8FF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42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E533">
            <w:pPr>
              <w:jc w:val="center"/>
            </w:pPr>
          </w:p>
        </w:tc>
      </w:tr>
      <w:tr w14:paraId="67489D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030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825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40F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2BA7">
            <w:pPr>
              <w:jc w:val="center"/>
            </w:pPr>
            <w:r>
              <w:rPr>
                <w:rFonts w:ascii="宋体" w:hAnsi="宋体" w:eastAsia="宋体"/>
                <w:sz w:val="16"/>
              </w:rPr>
              <w:t>开展审计经费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600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FBCE">
            <w:pPr>
              <w:jc w:val="center"/>
            </w:pPr>
            <w:r>
              <w:rPr>
                <w:rFonts w:ascii="宋体" w:hAnsi="宋体" w:eastAsia="宋体"/>
                <w:sz w:val="16"/>
              </w:rPr>
              <w:t>&lt;=6.50万元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A7DA9">
            <w:pPr>
              <w:jc w:val="center"/>
            </w:pPr>
            <w:r>
              <w:rPr>
                <w:rFonts w:ascii="宋体" w:hAnsi="宋体" w:eastAsia="宋体"/>
                <w:sz w:val="16"/>
              </w:rPr>
              <w: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F4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E3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FF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BE14">
            <w:pPr>
              <w:jc w:val="center"/>
            </w:pPr>
            <w:r>
              <w:rPr>
                <w:rFonts w:ascii="宋体" w:hAnsi="宋体" w:eastAsia="宋体"/>
                <w:sz w:val="16"/>
              </w:rPr>
              <w:t>&lt;=9.20万元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F4A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6C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3099">
            <w:pPr>
              <w:jc w:val="center"/>
            </w:pPr>
          </w:p>
        </w:tc>
      </w:tr>
      <w:tr w14:paraId="6284B7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12C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83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39B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E879">
            <w:pPr>
              <w:jc w:val="center"/>
            </w:pPr>
            <w:r>
              <w:rPr>
                <w:rFonts w:ascii="宋体" w:hAnsi="宋体" w:eastAsia="宋体"/>
                <w:sz w:val="16"/>
              </w:rPr>
              <w:t>开展观摩学习经费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595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43F24">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C44E6">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43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4C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A1F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2F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BB6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AF1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B8DE7">
            <w:pPr>
              <w:jc w:val="center"/>
            </w:pPr>
          </w:p>
        </w:tc>
      </w:tr>
      <w:tr w14:paraId="43601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E7E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8A3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4B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F9C07">
            <w:pPr>
              <w:jc w:val="center"/>
            </w:pPr>
            <w:r>
              <w:rPr>
                <w:rFonts w:ascii="宋体" w:hAnsi="宋体" w:eastAsia="宋体"/>
                <w:sz w:val="16"/>
              </w:rPr>
              <w:t>开展监督指导经费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F28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D27AD">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A4677">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C6E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67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211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EA6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532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CD0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E00E">
            <w:pPr>
              <w:jc w:val="center"/>
            </w:pPr>
          </w:p>
        </w:tc>
      </w:tr>
      <w:tr w14:paraId="387726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DB1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9673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50C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E19A">
            <w:pPr>
              <w:jc w:val="center"/>
            </w:pPr>
            <w:r>
              <w:rPr>
                <w:rFonts w:ascii="宋体" w:hAnsi="宋体" w:eastAsia="宋体"/>
                <w:sz w:val="16"/>
              </w:rPr>
              <w:t>提升示范带动能力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96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FC1D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7258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0B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3E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FF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576A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C4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A5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41CC">
            <w:pPr>
              <w:jc w:val="center"/>
            </w:pPr>
          </w:p>
        </w:tc>
      </w:tr>
      <w:tr w14:paraId="3D8EC3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B1A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274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264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1F03F">
            <w:pPr>
              <w:jc w:val="center"/>
            </w:pPr>
            <w:r>
              <w:rPr>
                <w:rFonts w:ascii="宋体" w:hAnsi="宋体" w:eastAsia="宋体"/>
                <w:sz w:val="16"/>
              </w:rPr>
              <w:t>受训学员满意度（%）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46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C97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9B8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CCD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285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0E2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370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5D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648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079B">
            <w:pPr>
              <w:jc w:val="center"/>
            </w:pPr>
          </w:p>
        </w:tc>
      </w:tr>
      <w:tr w14:paraId="1C12CB6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115E8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19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4867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B37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1EC4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D59D0">
            <w:pPr>
              <w:jc w:val="center"/>
            </w:pPr>
            <w:r>
              <w:rPr>
                <w:rFonts w:ascii="宋体" w:hAnsi="宋体" w:eastAsia="宋体"/>
                <w:sz w:val="16"/>
              </w:rPr>
              <w:t>99.30分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A8F1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3003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13FA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9556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A6BCC0"/>
        </w:tc>
      </w:tr>
    </w:tbl>
    <w:p w14:paraId="339CB6D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96"/>
      </w:tblGrid>
      <w:tr w14:paraId="3A2692BF">
        <w:tblPrEx>
          <w:tblCellMar>
            <w:top w:w="0" w:type="dxa"/>
            <w:left w:w="108" w:type="dxa"/>
            <w:bottom w:w="0" w:type="dxa"/>
            <w:right w:w="108" w:type="dxa"/>
          </w:tblCellMar>
        </w:tblPrEx>
        <w:tc>
          <w:tcPr>
            <w:tcW w:w="8848" w:type="dxa"/>
            <w:gridSpan w:val="14"/>
            <w:vAlign w:val="center"/>
          </w:tcPr>
          <w:p w14:paraId="7745181B">
            <w:pPr>
              <w:jc w:val="center"/>
            </w:pPr>
            <w:r>
              <w:rPr>
                <w:rFonts w:ascii="宋体" w:hAnsi="宋体" w:eastAsia="宋体"/>
                <w:sz w:val="24"/>
              </w:rPr>
              <w:t>项目支出绩效自评表</w:t>
            </w:r>
          </w:p>
        </w:tc>
      </w:tr>
      <w:tr w14:paraId="1596B34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E47385">
            <w:pPr>
              <w:jc w:val="center"/>
            </w:pPr>
            <w:r>
              <w:rPr>
                <w:rFonts w:ascii="宋体" w:hAnsi="宋体" w:eastAsia="宋体"/>
                <w:sz w:val="24"/>
              </w:rPr>
              <w:t>(2024年度)</w:t>
            </w:r>
          </w:p>
        </w:tc>
      </w:tr>
      <w:tr w14:paraId="1DE7FD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9A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798462">
            <w:pPr>
              <w:jc w:val="center"/>
            </w:pPr>
            <w:r>
              <w:rPr>
                <w:rFonts w:ascii="宋体" w:hAnsi="宋体" w:eastAsia="宋体"/>
                <w:sz w:val="16"/>
              </w:rPr>
              <w:t>昌吉州农村合作经济发展指导中心机关运行补助经费项目</w:t>
            </w:r>
          </w:p>
        </w:tc>
      </w:tr>
      <w:tr w14:paraId="3D376D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0D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4270BE">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D9B1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05568B">
            <w:pPr>
              <w:jc w:val="center"/>
            </w:pPr>
            <w:r>
              <w:rPr>
                <w:rFonts w:ascii="宋体" w:hAnsi="宋体" w:eastAsia="宋体"/>
                <w:sz w:val="16"/>
              </w:rPr>
              <w:t>昌吉回族自治州农村合作经济经营管理局</w:t>
            </w:r>
          </w:p>
        </w:tc>
      </w:tr>
      <w:tr w14:paraId="09422E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890C0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C8E9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E9AA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D9DB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767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D63E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1DD5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1510">
            <w:pPr>
              <w:jc w:val="center"/>
            </w:pPr>
            <w:r>
              <w:rPr>
                <w:rFonts w:ascii="宋体" w:hAnsi="宋体" w:eastAsia="宋体"/>
                <w:sz w:val="16"/>
              </w:rPr>
              <w:t>得分</w:t>
            </w:r>
          </w:p>
        </w:tc>
      </w:tr>
      <w:tr w14:paraId="315015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B9A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AC5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88CA5">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ADB16">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411B2">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E194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34F4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901A">
            <w:pPr>
              <w:jc w:val="center"/>
            </w:pPr>
            <w:r>
              <w:rPr>
                <w:rFonts w:ascii="宋体" w:hAnsi="宋体" w:eastAsia="宋体"/>
                <w:sz w:val="16"/>
              </w:rPr>
              <w:t>10.00</w:t>
            </w:r>
          </w:p>
        </w:tc>
      </w:tr>
      <w:tr w14:paraId="6A0EC4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FCE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E5D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D94DD">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41B52">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C3ABA">
            <w:pPr>
              <w:jc w:val="center"/>
            </w:pPr>
            <w:r>
              <w:rPr>
                <w:rFonts w:ascii="宋体" w:hAnsi="宋体" w:eastAsia="宋体"/>
                <w:sz w:val="16"/>
              </w:rPr>
              <w:t>14.50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8B8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2B4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0B3A">
            <w:pPr>
              <w:jc w:val="center"/>
            </w:pPr>
            <w:r>
              <w:rPr>
                <w:rFonts w:ascii="宋体" w:hAnsi="宋体" w:eastAsia="宋体"/>
                <w:sz w:val="16"/>
              </w:rPr>
              <w:t>—</w:t>
            </w:r>
          </w:p>
        </w:tc>
      </w:tr>
      <w:tr w14:paraId="395C80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A45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0238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D98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94F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84A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B4D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5BD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7335A">
            <w:pPr>
              <w:jc w:val="center"/>
            </w:pPr>
            <w:r>
              <w:rPr>
                <w:rFonts w:ascii="宋体" w:hAnsi="宋体" w:eastAsia="宋体"/>
                <w:sz w:val="16"/>
              </w:rPr>
              <w:t>—</w:t>
            </w:r>
          </w:p>
        </w:tc>
      </w:tr>
      <w:tr w14:paraId="0171E9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AE63B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EE328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344C78">
            <w:pPr>
              <w:jc w:val="center"/>
            </w:pPr>
            <w:r>
              <w:rPr>
                <w:rFonts w:ascii="宋体" w:hAnsi="宋体" w:eastAsia="宋体"/>
                <w:sz w:val="16"/>
              </w:rPr>
              <w:t>实际完成情况</w:t>
            </w:r>
          </w:p>
        </w:tc>
      </w:tr>
      <w:tr w14:paraId="52EC5F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1C46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39366E">
            <w:pPr>
              <w:jc w:val="both"/>
            </w:pPr>
            <w:r>
              <w:rPr>
                <w:rFonts w:ascii="宋体" w:hAnsi="宋体" w:eastAsia="宋体"/>
                <w:sz w:val="16"/>
              </w:rPr>
              <w:t>保障机构正常运转和本单位基本履职需要，保障农经中心正常开展各项工作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DEC405">
            <w:pPr>
              <w:jc w:val="both"/>
            </w:pPr>
            <w:r>
              <w:rPr>
                <w:rFonts w:hint="eastAsia" w:ascii="宋体" w:hAnsi="宋体"/>
                <w:sz w:val="16"/>
                <w:lang w:eastAsia="zh-CN"/>
              </w:rPr>
              <w:t>截至</w:t>
            </w:r>
            <w:r>
              <w:rPr>
                <w:rFonts w:ascii="宋体" w:hAnsi="宋体" w:eastAsia="宋体"/>
                <w:sz w:val="16"/>
              </w:rPr>
              <w:t>2024年12月31日，该项目实际完成租赁车辆1辆；支付聘用人员1人劳务费；6人相关业务培训。通过该项目的实施，保障日常办公、差旅等基本行政活动的资金需求，维持机关高效运作，通过优化资源配置提升了行政效能和公共服务水平。</w:t>
            </w:r>
          </w:p>
        </w:tc>
      </w:tr>
      <w:tr w14:paraId="4400AB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BD46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962E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6EF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A72A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AB00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819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2DB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23F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EC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E8E3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B7C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6C2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09D5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E9476">
            <w:pPr>
              <w:jc w:val="center"/>
            </w:pPr>
            <w:r>
              <w:rPr>
                <w:rFonts w:ascii="宋体" w:hAnsi="宋体" w:eastAsia="宋体"/>
                <w:sz w:val="16"/>
              </w:rPr>
              <w:t>偏差原因分析及改进措施</w:t>
            </w:r>
          </w:p>
        </w:tc>
      </w:tr>
      <w:tr w14:paraId="43CD4A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2C8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B02E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D97F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49816">
            <w:pPr>
              <w:jc w:val="center"/>
            </w:pPr>
            <w:r>
              <w:rPr>
                <w:rFonts w:ascii="宋体" w:hAnsi="宋体" w:eastAsia="宋体"/>
                <w:sz w:val="16"/>
              </w:rPr>
              <w:t>支付劳务费人员数量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B51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E69D">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5399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F9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E6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2F3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1A3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646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D95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2B341">
            <w:pPr>
              <w:jc w:val="center"/>
            </w:pPr>
          </w:p>
        </w:tc>
      </w:tr>
      <w:tr w14:paraId="498C36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4CB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43A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C63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AB6F4">
            <w:pPr>
              <w:jc w:val="center"/>
            </w:pPr>
            <w:r>
              <w:rPr>
                <w:rFonts w:ascii="宋体" w:hAnsi="宋体" w:eastAsia="宋体"/>
                <w:sz w:val="16"/>
              </w:rPr>
              <w:t>培训人员的数量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C44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F1064">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2C08">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5CC36">
            <w:pPr>
              <w:jc w:val="center"/>
            </w:pPr>
            <w:r>
              <w:rPr>
                <w:rFonts w:ascii="宋体" w:hAnsi="宋体" w:eastAsia="宋体"/>
                <w:sz w:val="16"/>
              </w:rPr>
              <w:t>116%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ACB0">
            <w:pPr>
              <w:jc w:val="center"/>
            </w:pPr>
            <w:r>
              <w:rPr>
                <w:rFonts w:ascii="宋体" w:hAnsi="宋体" w:eastAsia="宋体"/>
                <w:sz w:val="16"/>
              </w:rPr>
              <w:t>6.72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490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E35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9DE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7ED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B106">
            <w:pPr>
              <w:jc w:val="center"/>
            </w:pPr>
            <w:r>
              <w:rPr>
                <w:rFonts w:ascii="宋体" w:hAnsi="宋体" w:eastAsia="宋体"/>
                <w:sz w:val="16"/>
              </w:rPr>
              <w:t>在项目执行中，在确保</w:t>
            </w:r>
            <w:r>
              <w:rPr>
                <w:rFonts w:hint="eastAsia" w:ascii="宋体" w:hAnsi="宋体"/>
                <w:sz w:val="16"/>
                <w:lang w:eastAsia="zh-CN"/>
              </w:rPr>
              <w:t>培训</w:t>
            </w:r>
            <w:r>
              <w:rPr>
                <w:rFonts w:ascii="宋体" w:hAnsi="宋体" w:eastAsia="宋体"/>
                <w:sz w:val="16"/>
              </w:rPr>
              <w:t>质量和资金合规使用的前提下，合理</w:t>
            </w:r>
            <w:r>
              <w:rPr>
                <w:rFonts w:hint="eastAsia" w:ascii="宋体" w:hAnsi="宋体"/>
                <w:sz w:val="16"/>
                <w:lang w:eastAsia="zh-CN"/>
              </w:rPr>
              <w:t>调整</w:t>
            </w:r>
            <w:r>
              <w:rPr>
                <w:rFonts w:ascii="宋体" w:hAnsi="宋体" w:eastAsia="宋体"/>
                <w:sz w:val="16"/>
              </w:rPr>
              <w:t>培训人员，</w:t>
            </w:r>
            <w:r>
              <w:rPr>
                <w:rFonts w:hint="eastAsia" w:ascii="宋体" w:hAnsi="宋体"/>
                <w:sz w:val="16"/>
                <w:lang w:eastAsia="zh-CN"/>
              </w:rPr>
              <w:t>增加</w:t>
            </w:r>
            <w:r>
              <w:rPr>
                <w:rFonts w:ascii="宋体" w:hAnsi="宋体" w:eastAsia="宋体"/>
                <w:sz w:val="16"/>
              </w:rPr>
              <w:t>1人，导致</w:t>
            </w:r>
            <w:r>
              <w:rPr>
                <w:rFonts w:hint="eastAsia" w:ascii="宋体" w:hAnsi="宋体"/>
                <w:sz w:val="16"/>
                <w:lang w:eastAsia="zh-CN"/>
              </w:rPr>
              <w:t>偏差</w:t>
            </w:r>
            <w:r>
              <w:rPr>
                <w:rFonts w:ascii="宋体" w:hAnsi="宋体" w:eastAsia="宋体"/>
                <w:sz w:val="16"/>
              </w:rPr>
              <w:t>率-16%。</w:t>
            </w:r>
          </w:p>
        </w:tc>
      </w:tr>
      <w:tr w14:paraId="0748B7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4D7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A96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B13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E741A">
            <w:pPr>
              <w:jc w:val="center"/>
            </w:pPr>
            <w:r>
              <w:rPr>
                <w:rFonts w:ascii="宋体" w:hAnsi="宋体" w:eastAsia="宋体"/>
                <w:sz w:val="16"/>
              </w:rPr>
              <w:t>租赁车辆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300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6645">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C625">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8F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32D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5F9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BCA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4EB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848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4093E">
            <w:pPr>
              <w:jc w:val="center"/>
            </w:pPr>
          </w:p>
        </w:tc>
      </w:tr>
      <w:tr w14:paraId="00809A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A9C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714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424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DC23">
            <w:pPr>
              <w:jc w:val="center"/>
            </w:pPr>
            <w:r>
              <w:rPr>
                <w:rFonts w:ascii="宋体" w:hAnsi="宋体" w:eastAsia="宋体"/>
                <w:sz w:val="16"/>
              </w:rPr>
              <w:t>聘用人员劳务费支付完成率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12D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A50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16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20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293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3E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49F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6C6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57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4185">
            <w:pPr>
              <w:jc w:val="center"/>
            </w:pPr>
          </w:p>
        </w:tc>
      </w:tr>
      <w:tr w14:paraId="7302CC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B0B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DC4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07B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407E">
            <w:pPr>
              <w:jc w:val="center"/>
            </w:pPr>
            <w:r>
              <w:rPr>
                <w:rFonts w:ascii="宋体" w:hAnsi="宋体" w:eastAsia="宋体"/>
                <w:sz w:val="16"/>
              </w:rPr>
              <w:t>培训完成率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DE04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87D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4D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4A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903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681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60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0F1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5CB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C7B75">
            <w:pPr>
              <w:jc w:val="center"/>
            </w:pPr>
          </w:p>
        </w:tc>
      </w:tr>
      <w:tr w14:paraId="16FB83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CAB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1D1F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991A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1C98">
            <w:pPr>
              <w:jc w:val="center"/>
            </w:pPr>
            <w:r>
              <w:rPr>
                <w:rFonts w:ascii="宋体" w:hAnsi="宋体" w:eastAsia="宋体"/>
                <w:sz w:val="16"/>
              </w:rPr>
              <w:t>保障机构正常运转工作资金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A7618">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F8703">
            <w:pPr>
              <w:jc w:val="center"/>
            </w:pPr>
            <w:r>
              <w:rPr>
                <w:rFonts w:ascii="宋体" w:hAnsi="宋体" w:eastAsia="宋体"/>
                <w:sz w:val="16"/>
              </w:rPr>
              <w:t>&lt;=9.5万元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68568">
            <w:pPr>
              <w:jc w:val="center"/>
            </w:pPr>
            <w:r>
              <w:rPr>
                <w:rFonts w:ascii="宋体" w:hAnsi="宋体" w:eastAsia="宋体"/>
                <w:sz w:val="16"/>
              </w:rPr>
              <w: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2A1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8F64">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317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FA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89D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CD5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90739">
            <w:pPr>
              <w:jc w:val="center"/>
            </w:pPr>
          </w:p>
        </w:tc>
      </w:tr>
      <w:tr w14:paraId="324175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31A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3D9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57E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2C165">
            <w:pPr>
              <w:jc w:val="center"/>
            </w:pPr>
            <w:r>
              <w:rPr>
                <w:rFonts w:ascii="宋体" w:hAnsi="宋体" w:eastAsia="宋体"/>
                <w:sz w:val="16"/>
              </w:rPr>
              <w:t>开展外出学习培训保障经费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6E5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595CE">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B4F15">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535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B08A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D0D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2D1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16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661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DC97C">
            <w:pPr>
              <w:jc w:val="center"/>
            </w:pPr>
          </w:p>
        </w:tc>
      </w:tr>
      <w:tr w14:paraId="7C7E73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C58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D81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2CC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D147">
            <w:pPr>
              <w:jc w:val="center"/>
            </w:pPr>
            <w:r>
              <w:rPr>
                <w:rFonts w:ascii="宋体" w:hAnsi="宋体" w:eastAsia="宋体"/>
                <w:sz w:val="16"/>
              </w:rPr>
              <w:t>车辆租赁费用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566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73A3">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EA680">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A1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7B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BCB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D6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55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55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9DB1">
            <w:pPr>
              <w:jc w:val="center"/>
            </w:pPr>
          </w:p>
        </w:tc>
      </w:tr>
      <w:tr w14:paraId="60203F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D16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3F67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6382">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796A5">
            <w:pPr>
              <w:jc w:val="center"/>
            </w:pPr>
            <w:r>
              <w:rPr>
                <w:rFonts w:ascii="宋体" w:hAnsi="宋体" w:eastAsia="宋体"/>
                <w:sz w:val="16"/>
              </w:rPr>
              <w:t>深化农村改革,增加村集体经济收入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40C3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29A70">
            <w:pPr>
              <w:jc w:val="center"/>
            </w:pPr>
            <w:r>
              <w:rPr>
                <w:rFonts w:ascii="宋体" w:hAnsi="宋体" w:eastAsia="宋体"/>
                <w:sz w:val="16"/>
              </w:rPr>
              <w:t>&gt;=8%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05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5D9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85E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2A3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030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E8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6A6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179B">
            <w:pPr>
              <w:jc w:val="center"/>
            </w:pPr>
          </w:p>
        </w:tc>
      </w:tr>
      <w:tr w14:paraId="478A3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DA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167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3D3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79D5">
            <w:pPr>
              <w:jc w:val="center"/>
            </w:pPr>
            <w:r>
              <w:rPr>
                <w:rFonts w:ascii="宋体" w:hAnsi="宋体" w:eastAsia="宋体"/>
                <w:sz w:val="16"/>
              </w:rPr>
              <w:t>保障单位正常运转,为机关办公提供有效支撑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C3AF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531A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CFAB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B54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46A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7C0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78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7F2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CA7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D52A">
            <w:pPr>
              <w:jc w:val="center"/>
            </w:pPr>
          </w:p>
        </w:tc>
      </w:tr>
      <w:tr w14:paraId="4E0E41F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B5E3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0C9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8F2F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4A52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D83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6B3B">
            <w:pPr>
              <w:jc w:val="center"/>
            </w:pPr>
            <w:r>
              <w:rPr>
                <w:rFonts w:ascii="宋体" w:hAnsi="宋体" w:eastAsia="宋体"/>
                <w:sz w:val="16"/>
              </w:rPr>
              <w:t>98.72分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8627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3AE6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DB3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670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5A5A9A"/>
        </w:tc>
      </w:tr>
    </w:tbl>
    <w:p w14:paraId="794EAE01">
      <w:r>
        <w:br w:type="page"/>
      </w:r>
    </w:p>
    <w:p w14:paraId="39398406">
      <w:pPr>
        <w:spacing w:line="640" w:lineRule="exact"/>
        <w:ind w:firstLine="640"/>
        <w:jc w:val="both"/>
        <w:outlineLvl w:val="2"/>
      </w:pPr>
      <w:r>
        <w:rPr>
          <w:rFonts w:ascii="黑体" w:hAnsi="黑体" w:eastAsia="黑体"/>
          <w:sz w:val="32"/>
        </w:rPr>
        <w:t>十二、其他需说明的事项</w:t>
      </w:r>
    </w:p>
    <w:p w14:paraId="2A3F370D">
      <w:pPr>
        <w:spacing w:line="580" w:lineRule="exact"/>
        <w:ind w:firstLine="640"/>
        <w:jc w:val="both"/>
      </w:pPr>
      <w:r>
        <w:rPr>
          <w:rFonts w:ascii="仿宋_GB2312" w:hAnsi="仿宋_GB2312" w:eastAsia="仿宋_GB2312"/>
          <w:b w:val="0"/>
          <w:sz w:val="32"/>
        </w:rPr>
        <w:t>本单位无其他需说明的事项。</w:t>
      </w:r>
    </w:p>
    <w:p w14:paraId="40A37021">
      <w:r>
        <w:br w:type="page"/>
      </w:r>
    </w:p>
    <w:p w14:paraId="5286CF07">
      <w:pPr>
        <w:spacing w:line="240" w:lineRule="auto"/>
        <w:jc w:val="center"/>
        <w:outlineLvl w:val="1"/>
      </w:pPr>
      <w:r>
        <w:rPr>
          <w:rFonts w:ascii="黑体" w:hAnsi="黑体" w:eastAsia="黑体"/>
          <w:sz w:val="32"/>
        </w:rPr>
        <w:t>第三部分 专业名词解释</w:t>
      </w:r>
    </w:p>
    <w:p w14:paraId="3603311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2CE704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3333B8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C8DBF1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6903FC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7853A3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5BD1D3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54B12D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519B58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A81966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4B41DE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DBED40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06F615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FD8C07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D2D7796">
      <w:r>
        <w:br w:type="page"/>
      </w:r>
    </w:p>
    <w:p w14:paraId="202B137D">
      <w:pPr>
        <w:spacing w:line="240" w:lineRule="auto"/>
        <w:jc w:val="center"/>
        <w:outlineLvl w:val="1"/>
      </w:pPr>
      <w:r>
        <w:rPr>
          <w:rFonts w:ascii="黑体" w:hAnsi="黑体" w:eastAsia="黑体"/>
          <w:sz w:val="32"/>
        </w:rPr>
        <w:t>第四部分 部门决算报表（见附表）</w:t>
      </w:r>
    </w:p>
    <w:p w14:paraId="4C818DA5">
      <w:pPr>
        <w:spacing w:line="240" w:lineRule="auto"/>
        <w:ind w:firstLine="640"/>
        <w:jc w:val="both"/>
      </w:pPr>
      <w:r>
        <w:rPr>
          <w:rFonts w:ascii="仿宋_GB2312" w:hAnsi="仿宋_GB2312" w:eastAsia="仿宋_GB2312"/>
          <w:b w:val="0"/>
          <w:sz w:val="32"/>
        </w:rPr>
        <w:t>一、《收入支出决算总表》</w:t>
      </w:r>
    </w:p>
    <w:p w14:paraId="0C5A4EB6">
      <w:pPr>
        <w:spacing w:line="240" w:lineRule="auto"/>
        <w:ind w:firstLine="640"/>
        <w:jc w:val="both"/>
      </w:pPr>
      <w:r>
        <w:rPr>
          <w:rFonts w:ascii="仿宋_GB2312" w:hAnsi="仿宋_GB2312" w:eastAsia="仿宋_GB2312"/>
          <w:b w:val="0"/>
          <w:sz w:val="32"/>
        </w:rPr>
        <w:t>二、《收入决算表》</w:t>
      </w:r>
    </w:p>
    <w:p w14:paraId="04076290">
      <w:pPr>
        <w:spacing w:line="240" w:lineRule="auto"/>
        <w:ind w:firstLine="640"/>
        <w:jc w:val="both"/>
      </w:pPr>
      <w:r>
        <w:rPr>
          <w:rFonts w:ascii="仿宋_GB2312" w:hAnsi="仿宋_GB2312" w:eastAsia="仿宋_GB2312"/>
          <w:b w:val="0"/>
          <w:sz w:val="32"/>
        </w:rPr>
        <w:t>三、《支出决算表》</w:t>
      </w:r>
    </w:p>
    <w:p w14:paraId="3E22C409">
      <w:pPr>
        <w:spacing w:line="240" w:lineRule="auto"/>
        <w:ind w:firstLine="640"/>
        <w:jc w:val="both"/>
      </w:pPr>
      <w:r>
        <w:rPr>
          <w:rFonts w:ascii="仿宋_GB2312" w:hAnsi="仿宋_GB2312" w:eastAsia="仿宋_GB2312"/>
          <w:b w:val="0"/>
          <w:sz w:val="32"/>
        </w:rPr>
        <w:t>四、《财政拨款收入支出决算总表》</w:t>
      </w:r>
    </w:p>
    <w:p w14:paraId="1BEF56F4">
      <w:pPr>
        <w:spacing w:line="240" w:lineRule="auto"/>
        <w:ind w:firstLine="640"/>
        <w:jc w:val="both"/>
      </w:pPr>
      <w:r>
        <w:rPr>
          <w:rFonts w:ascii="仿宋_GB2312" w:hAnsi="仿宋_GB2312" w:eastAsia="仿宋_GB2312"/>
          <w:b w:val="0"/>
          <w:sz w:val="32"/>
        </w:rPr>
        <w:t>五、《一般公共预算财政拨款支出决算表》</w:t>
      </w:r>
    </w:p>
    <w:p w14:paraId="1EF33688">
      <w:pPr>
        <w:spacing w:line="240" w:lineRule="auto"/>
        <w:ind w:firstLine="640"/>
        <w:jc w:val="both"/>
      </w:pPr>
      <w:r>
        <w:rPr>
          <w:rFonts w:ascii="仿宋_GB2312" w:hAnsi="仿宋_GB2312" w:eastAsia="仿宋_GB2312"/>
          <w:b w:val="0"/>
          <w:sz w:val="32"/>
        </w:rPr>
        <w:t>六、《一般公共预算财政拨款基本支出决算表》</w:t>
      </w:r>
    </w:p>
    <w:p w14:paraId="7293D5D5">
      <w:pPr>
        <w:spacing w:line="240" w:lineRule="auto"/>
        <w:ind w:firstLine="640"/>
        <w:jc w:val="both"/>
      </w:pPr>
      <w:r>
        <w:rPr>
          <w:rFonts w:ascii="仿宋_GB2312" w:hAnsi="仿宋_GB2312" w:eastAsia="仿宋_GB2312"/>
          <w:b w:val="0"/>
          <w:sz w:val="32"/>
        </w:rPr>
        <w:t>七、《政府性基金预算财政拨款收入支出决算表》</w:t>
      </w:r>
    </w:p>
    <w:p w14:paraId="0A17BC9F">
      <w:pPr>
        <w:spacing w:line="240" w:lineRule="auto"/>
        <w:ind w:firstLine="640"/>
        <w:jc w:val="both"/>
      </w:pPr>
      <w:r>
        <w:rPr>
          <w:rFonts w:ascii="仿宋_GB2312" w:hAnsi="仿宋_GB2312" w:eastAsia="仿宋_GB2312"/>
          <w:b w:val="0"/>
          <w:sz w:val="32"/>
        </w:rPr>
        <w:t>八、《国有资本经营预算财政拨款收入支出决算表》</w:t>
      </w:r>
    </w:p>
    <w:p w14:paraId="6C2C9216">
      <w:pPr>
        <w:spacing w:line="240" w:lineRule="auto"/>
        <w:ind w:firstLine="640"/>
        <w:jc w:val="both"/>
      </w:pPr>
      <w:r>
        <w:rPr>
          <w:rFonts w:ascii="仿宋_GB2312" w:hAnsi="仿宋_GB2312" w:eastAsia="仿宋_GB2312"/>
          <w:b w:val="0"/>
          <w:sz w:val="32"/>
        </w:rPr>
        <w:t>九、《财政拨款“三公”经费支出决算表》</w:t>
      </w:r>
    </w:p>
    <w:p w14:paraId="08BE5194">
      <w:pPr>
        <w:spacing w:line="240" w:lineRule="auto"/>
        <w:ind w:firstLine="640"/>
        <w:jc w:val="both"/>
      </w:pPr>
    </w:p>
    <w:p w14:paraId="1F095F11">
      <w:pPr>
        <w:spacing w:line="240" w:lineRule="auto"/>
        <w:ind w:firstLine="640"/>
        <w:jc w:val="both"/>
      </w:pPr>
    </w:p>
    <w:p w14:paraId="6E73FB13">
      <w:pPr>
        <w:spacing w:line="240" w:lineRule="auto"/>
        <w:ind w:firstLine="640"/>
        <w:jc w:val="both"/>
      </w:pPr>
    </w:p>
    <w:p w14:paraId="5F7D99D6">
      <w:pPr>
        <w:spacing w:line="240" w:lineRule="auto"/>
        <w:ind w:firstLine="640"/>
        <w:jc w:val="both"/>
      </w:pPr>
    </w:p>
    <w:p w14:paraId="3C56B04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1EA7462"/>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5716</Words>
  <Characters>6424</Characters>
  <Lines>0</Lines>
  <Paragraphs>0</Paragraphs>
  <TotalTime>2</TotalTime>
  <ScaleCrop>false</ScaleCrop>
  <LinksUpToDate>false</LinksUpToDate>
  <CharactersWithSpaces>6432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2025-10-15T02:47:58Z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