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昌吉回族自治州能源安全监测中心2024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8D78894">
      <w:r>
        <w:br w:type="page"/>
      </w:r>
    </w:p>
    <w:p w14:paraId="0FA6B27D">
      <w:pPr>
        <w:spacing w:line="640" w:lineRule="exact"/>
        <w:jc w:val="center"/>
        <w:outlineLvl w:val="1"/>
      </w:pPr>
      <w:r>
        <w:rPr>
          <w:rFonts w:ascii="黑体" w:hAnsi="黑体" w:eastAsia="黑体"/>
          <w:sz w:val="32"/>
        </w:rPr>
        <w:t>第一部分 单位概况</w:t>
      </w:r>
    </w:p>
    <w:p w14:paraId="0BFDABA3">
      <w:pPr>
        <w:spacing w:line="640" w:lineRule="exact"/>
        <w:ind w:firstLine="640"/>
        <w:jc w:val="both"/>
        <w:outlineLvl w:val="2"/>
      </w:pPr>
      <w:r>
        <w:rPr>
          <w:rFonts w:ascii="黑体" w:hAnsi="黑体" w:eastAsia="黑体"/>
          <w:sz w:val="32"/>
        </w:rPr>
        <w:t>一、主要职能</w:t>
      </w:r>
    </w:p>
    <w:p w14:paraId="24F8130D">
      <w:pPr>
        <w:spacing w:line="580" w:lineRule="exact"/>
        <w:ind w:firstLine="640"/>
        <w:jc w:val="both"/>
      </w:pPr>
      <w:r>
        <w:rPr>
          <w:rFonts w:ascii="仿宋_GB2312" w:hAnsi="仿宋_GB2312" w:eastAsia="仿宋_GB2312"/>
          <w:sz w:val="32"/>
        </w:rPr>
        <w:t>1.主要负责为自治州能源（煤矿、油气管道、电力）安全系统的建设管理、运行维护、数据采集、综合分析及数据建设管理等工作提供服务。</w:t>
      </w:r>
    </w:p>
    <w:p w14:paraId="7A413E1D">
      <w:pPr>
        <w:spacing w:line="580" w:lineRule="exact"/>
        <w:ind w:firstLine="640"/>
        <w:jc w:val="both"/>
      </w:pPr>
      <w:r>
        <w:rPr>
          <w:rFonts w:ascii="仿宋_GB2312" w:hAnsi="仿宋_GB2312" w:eastAsia="仿宋_GB2312"/>
          <w:sz w:val="32"/>
        </w:rPr>
        <w:t>2.为事故预警信息的应急处置提供技术支撑和保障。</w:t>
      </w:r>
    </w:p>
    <w:p w14:paraId="0B8F7D91">
      <w:pPr>
        <w:spacing w:line="580" w:lineRule="exact"/>
        <w:ind w:firstLine="640"/>
        <w:jc w:val="both"/>
      </w:pPr>
      <w:r>
        <w:rPr>
          <w:rFonts w:ascii="仿宋_GB2312" w:hAnsi="仿宋_GB2312" w:eastAsia="仿宋_GB2312"/>
          <w:sz w:val="32"/>
        </w:rPr>
        <w:t>3.指导、推动能源安全生产新技术、新装备的应用。</w:t>
      </w:r>
    </w:p>
    <w:p w14:paraId="3C9D1FD2">
      <w:pPr>
        <w:spacing w:line="580" w:lineRule="exact"/>
        <w:ind w:firstLine="640"/>
        <w:jc w:val="both"/>
      </w:pPr>
      <w:r>
        <w:rPr>
          <w:rFonts w:ascii="仿宋_GB2312" w:hAnsi="仿宋_GB2312" w:eastAsia="仿宋_GB2312"/>
          <w:sz w:val="32"/>
        </w:rPr>
        <w:t>4.指导各县市能源安全监测工作。</w:t>
      </w:r>
    </w:p>
    <w:p w14:paraId="441539C1">
      <w:pPr>
        <w:spacing w:line="580" w:lineRule="exact"/>
        <w:ind w:firstLine="640"/>
        <w:jc w:val="both"/>
      </w:pPr>
      <w:r>
        <w:rPr>
          <w:rFonts w:ascii="仿宋_GB2312" w:hAnsi="仿宋_GB2312" w:eastAsia="仿宋_GB2312"/>
          <w:sz w:val="32"/>
        </w:rPr>
        <w:t>5.承担自治州节能减排领导小组办公室日常工作。</w:t>
      </w:r>
    </w:p>
    <w:p w14:paraId="25650621">
      <w:pPr>
        <w:spacing w:line="640" w:lineRule="exact"/>
        <w:ind w:firstLine="640"/>
        <w:jc w:val="both"/>
        <w:outlineLvl w:val="2"/>
      </w:pPr>
      <w:r>
        <w:rPr>
          <w:rFonts w:ascii="黑体" w:hAnsi="黑体" w:eastAsia="黑体"/>
          <w:sz w:val="32"/>
        </w:rPr>
        <w:t>二、机构设置及人员情况</w:t>
      </w:r>
    </w:p>
    <w:p w14:paraId="50DC077B">
      <w:pPr>
        <w:spacing w:line="580" w:lineRule="exact"/>
        <w:ind w:firstLine="640"/>
        <w:jc w:val="both"/>
      </w:pPr>
      <w:r>
        <w:rPr>
          <w:rFonts w:ascii="仿宋_GB2312" w:hAnsi="仿宋_GB2312" w:eastAsia="仿宋_GB2312"/>
          <w:sz w:val="32"/>
        </w:rPr>
        <w:t>昌吉回族自治州能源安全监测中心2024年度，实有人数6人，其中：在职人员6人，增加1人；离休人员0人，增加0人；退休人员0人,增加0人。</w:t>
      </w:r>
    </w:p>
    <w:p w14:paraId="75C0B492">
      <w:pPr>
        <w:spacing w:line="580" w:lineRule="exact"/>
        <w:ind w:firstLine="640"/>
        <w:jc w:val="both"/>
      </w:pPr>
      <w:r>
        <w:rPr>
          <w:rFonts w:ascii="仿宋_GB2312" w:hAnsi="仿宋_GB2312" w:eastAsia="仿宋_GB2312"/>
          <w:sz w:val="32"/>
        </w:rPr>
        <w:t>昌吉回族自治州能源安全监测中心无下属预算单位，下设3个科室，分别是：综合科、节能科、监测技防科。</w:t>
      </w:r>
    </w:p>
    <w:p w14:paraId="6E133553">
      <w:r>
        <w:br w:type="page"/>
      </w:r>
    </w:p>
    <w:p w14:paraId="31963045">
      <w:pPr>
        <w:spacing w:line="240" w:lineRule="auto"/>
        <w:jc w:val="center"/>
        <w:outlineLvl w:val="1"/>
      </w:pPr>
      <w:r>
        <w:rPr>
          <w:rFonts w:ascii="黑体" w:hAnsi="黑体" w:eastAsia="黑体"/>
          <w:sz w:val="32"/>
        </w:rPr>
        <w:t>第二部分 部门决算情况说明</w:t>
      </w:r>
    </w:p>
    <w:p w14:paraId="63D5C9C9">
      <w:pPr>
        <w:spacing w:line="640" w:lineRule="exact"/>
        <w:ind w:firstLine="640"/>
        <w:jc w:val="both"/>
        <w:outlineLvl w:val="2"/>
      </w:pPr>
      <w:r>
        <w:rPr>
          <w:rFonts w:ascii="黑体" w:hAnsi="黑体" w:eastAsia="黑体"/>
          <w:sz w:val="32"/>
        </w:rPr>
        <w:t>一、收入支出决算总体情况说明</w:t>
      </w:r>
    </w:p>
    <w:p w14:paraId="1254875B">
      <w:pPr>
        <w:spacing w:line="580" w:lineRule="exact"/>
        <w:ind w:firstLine="640"/>
        <w:jc w:val="both"/>
      </w:pPr>
      <w:r>
        <w:rPr>
          <w:rFonts w:ascii="仿宋_GB2312" w:hAnsi="仿宋_GB2312" w:eastAsia="仿宋_GB2312"/>
          <w:b/>
          <w:sz w:val="32"/>
        </w:rPr>
        <w:t>2024年度收入总计122.00万元，</w:t>
      </w:r>
      <w:r>
        <w:rPr>
          <w:rFonts w:ascii="仿宋_GB2312" w:hAnsi="仿宋_GB2312" w:eastAsia="仿宋_GB2312"/>
          <w:b w:val="0"/>
          <w:sz w:val="32"/>
        </w:rPr>
        <w:t>其中：本年收入合计115.02万元，使用非财政拨款结余（含专用结余）0.00万元，年初结转和结余6.98万元。</w:t>
      </w:r>
    </w:p>
    <w:p w14:paraId="15E1442B">
      <w:pPr>
        <w:spacing w:line="580" w:lineRule="exact"/>
        <w:ind w:firstLine="640"/>
        <w:jc w:val="both"/>
      </w:pPr>
      <w:r>
        <w:rPr>
          <w:rFonts w:ascii="仿宋_GB2312" w:hAnsi="仿宋_GB2312" w:eastAsia="仿宋_GB2312"/>
          <w:b/>
          <w:sz w:val="32"/>
        </w:rPr>
        <w:t>2024年度支出总计122.00万元，</w:t>
      </w:r>
      <w:r>
        <w:rPr>
          <w:rFonts w:ascii="仿宋_GB2312" w:hAnsi="仿宋_GB2312" w:eastAsia="仿宋_GB2312"/>
          <w:b w:val="0"/>
          <w:sz w:val="32"/>
        </w:rPr>
        <w:t>其中：本年支出合计115.08万元，结余分配0.00万元，年末结转和结余6.92万元。</w:t>
      </w:r>
    </w:p>
    <w:p w14:paraId="4BBF9B8F">
      <w:pPr>
        <w:spacing w:line="580" w:lineRule="exact"/>
        <w:ind w:firstLine="640"/>
        <w:jc w:val="both"/>
      </w:pPr>
      <w:r>
        <w:rPr>
          <w:rFonts w:ascii="仿宋_GB2312" w:hAnsi="仿宋_GB2312" w:eastAsia="仿宋_GB2312"/>
          <w:b w:val="0"/>
          <w:sz w:val="32"/>
        </w:rPr>
        <w:t>收入支出总体与上年相比，减少33.84万元，下降21.71%，主要原因是：本年减少昌吉州安全生产专项经费、节能督促指导服务工作经费等项目。</w:t>
      </w:r>
    </w:p>
    <w:p w14:paraId="327E3C4F">
      <w:pPr>
        <w:spacing w:line="640" w:lineRule="exact"/>
        <w:ind w:firstLine="640"/>
        <w:jc w:val="both"/>
        <w:outlineLvl w:val="2"/>
      </w:pPr>
      <w:r>
        <w:rPr>
          <w:rFonts w:ascii="黑体" w:hAnsi="黑体" w:eastAsia="黑体"/>
          <w:sz w:val="32"/>
        </w:rPr>
        <w:t>二、收入决算情况说明</w:t>
      </w:r>
    </w:p>
    <w:p w14:paraId="790E7393">
      <w:pPr>
        <w:spacing w:line="580" w:lineRule="exact"/>
        <w:ind w:firstLine="640"/>
        <w:jc w:val="both"/>
      </w:pPr>
      <w:r>
        <w:rPr>
          <w:rFonts w:ascii="仿宋_GB2312" w:hAnsi="仿宋_GB2312" w:eastAsia="仿宋_GB2312"/>
          <w:b/>
          <w:sz w:val="32"/>
        </w:rPr>
        <w:t>本年收入115.02万元，</w:t>
      </w:r>
      <w:r>
        <w:rPr>
          <w:rFonts w:ascii="仿宋_GB2312" w:hAnsi="仿宋_GB2312" w:eastAsia="仿宋_GB2312"/>
          <w:b w:val="0"/>
          <w:sz w:val="32"/>
        </w:rPr>
        <w:t>其中：财政拨款收入114.98万元，占99.97%；上级补助收入0.00万元，占0.00%；事业收入0.00万元，占0.00%；经营收入0.00万元，占0.00%；附属单位上缴收入0.00万元，占0.00%；其他收入0.04万元，占0.03%。</w:t>
      </w:r>
    </w:p>
    <w:p w14:paraId="52B351E0">
      <w:pPr>
        <w:spacing w:line="640" w:lineRule="exact"/>
        <w:ind w:firstLine="640"/>
        <w:jc w:val="both"/>
        <w:outlineLvl w:val="2"/>
      </w:pPr>
      <w:r>
        <w:rPr>
          <w:rFonts w:ascii="黑体" w:hAnsi="黑体" w:eastAsia="黑体"/>
          <w:sz w:val="32"/>
        </w:rPr>
        <w:t>三、支出决算情况说明</w:t>
      </w:r>
    </w:p>
    <w:p w14:paraId="2A05E42D">
      <w:pPr>
        <w:spacing w:line="580" w:lineRule="exact"/>
        <w:ind w:firstLine="640"/>
        <w:jc w:val="both"/>
      </w:pPr>
      <w:r>
        <w:rPr>
          <w:rFonts w:ascii="仿宋_GB2312" w:hAnsi="仿宋_GB2312" w:eastAsia="仿宋_GB2312"/>
          <w:b/>
          <w:sz w:val="32"/>
        </w:rPr>
        <w:t>本年支出115.08万元，</w:t>
      </w:r>
      <w:r>
        <w:rPr>
          <w:rFonts w:ascii="仿宋_GB2312" w:hAnsi="仿宋_GB2312" w:eastAsia="仿宋_GB2312"/>
          <w:b w:val="0"/>
          <w:sz w:val="32"/>
        </w:rPr>
        <w:t>其中：基本支出110.58万元，占96.09%；项目支出4.50万元，占3.91%；上缴上级支出0.00万元，占0.00%；经营支出0.00万元，占0.00%；对附属单位补助支出0.00万元，占0.00%。</w:t>
      </w:r>
    </w:p>
    <w:p w14:paraId="181B4E6D">
      <w:pPr>
        <w:spacing w:line="640" w:lineRule="exact"/>
        <w:ind w:firstLine="640"/>
        <w:jc w:val="both"/>
        <w:outlineLvl w:val="2"/>
      </w:pPr>
      <w:r>
        <w:rPr>
          <w:rFonts w:ascii="黑体" w:hAnsi="黑体" w:eastAsia="黑体"/>
          <w:sz w:val="32"/>
        </w:rPr>
        <w:t>四、财政拨款收入支出决算总体情况说明</w:t>
      </w:r>
    </w:p>
    <w:p w14:paraId="2339AF35">
      <w:pPr>
        <w:spacing w:line="580" w:lineRule="exact"/>
        <w:ind w:firstLine="640"/>
        <w:jc w:val="both"/>
      </w:pPr>
      <w:r>
        <w:rPr>
          <w:rFonts w:ascii="仿宋_GB2312" w:hAnsi="仿宋_GB2312" w:eastAsia="仿宋_GB2312"/>
          <w:b/>
          <w:sz w:val="32"/>
        </w:rPr>
        <w:t>2024年度财政拨款收入总计114.98万元，</w:t>
      </w:r>
      <w:r>
        <w:rPr>
          <w:rFonts w:ascii="仿宋_GB2312" w:hAnsi="仿宋_GB2312" w:eastAsia="仿宋_GB2312"/>
          <w:b w:val="0"/>
          <w:sz w:val="32"/>
        </w:rPr>
        <w:t>其中：年初财政拨款结转和结余0.00万元，本年财政拨款收入114.98万元。</w:t>
      </w:r>
      <w:r>
        <w:rPr>
          <w:rFonts w:ascii="仿宋_GB2312" w:hAnsi="仿宋_GB2312" w:eastAsia="仿宋_GB2312"/>
          <w:b/>
          <w:sz w:val="32"/>
        </w:rPr>
        <w:t>财政拨款支出总计114.98万元，</w:t>
      </w:r>
      <w:r>
        <w:rPr>
          <w:rFonts w:ascii="仿宋_GB2312" w:hAnsi="仿宋_GB2312" w:eastAsia="仿宋_GB2312"/>
          <w:b w:val="0"/>
          <w:sz w:val="32"/>
        </w:rPr>
        <w:t>其中：年末财政拨款结转和结余0.00万元，本年财政拨款支出114.98万元。</w:t>
      </w:r>
    </w:p>
    <w:p w14:paraId="6C39B69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减少33.64万元，下降22.63%，主要原因是：本年减少昌吉州安全生产专项经费、节能督促指导服务工作经费等项目。</w:t>
      </w:r>
      <w:r>
        <w:rPr>
          <w:rFonts w:ascii="仿宋_GB2312" w:hAnsi="仿宋_GB2312" w:eastAsia="仿宋_GB2312"/>
          <w:b/>
          <w:sz w:val="32"/>
        </w:rPr>
        <w:t>与年初预算相比，</w:t>
      </w:r>
      <w:r>
        <w:rPr>
          <w:rFonts w:ascii="仿宋_GB2312" w:hAnsi="仿宋_GB2312" w:eastAsia="仿宋_GB2312"/>
          <w:b w:val="0"/>
          <w:sz w:val="32"/>
        </w:rPr>
        <w:t>年初预算数98.67万元，决算数114.98万元，预决算差异率16.53%，主要原因是：本年在职人员增加，年中追加人员经费及人员工资、社保、公积金基数调增部分资金，导致预决算存在差异。</w:t>
      </w:r>
    </w:p>
    <w:p w14:paraId="3224BA60">
      <w:pPr>
        <w:spacing w:line="640" w:lineRule="exact"/>
        <w:ind w:firstLine="640"/>
        <w:jc w:val="both"/>
        <w:outlineLvl w:val="2"/>
      </w:pPr>
      <w:r>
        <w:rPr>
          <w:rFonts w:ascii="黑体" w:hAnsi="黑体" w:eastAsia="黑体"/>
          <w:sz w:val="32"/>
        </w:rPr>
        <w:t>五、一般公共预算财政拨款支出决算情况说明</w:t>
      </w:r>
    </w:p>
    <w:p w14:paraId="68CC7A03">
      <w:pPr>
        <w:spacing w:line="640" w:lineRule="exact"/>
        <w:ind w:firstLine="640"/>
        <w:jc w:val="both"/>
        <w:outlineLvl w:val="3"/>
      </w:pPr>
      <w:r>
        <w:rPr>
          <w:rFonts w:ascii="楷体_GB2312" w:hAnsi="楷体_GB2312" w:eastAsia="楷体_GB2312"/>
          <w:b/>
          <w:sz w:val="32"/>
        </w:rPr>
        <w:t>（一）一般公共预算财政拨款支出决算总体情况</w:t>
      </w:r>
    </w:p>
    <w:p w14:paraId="466394F3">
      <w:pPr>
        <w:spacing w:line="580" w:lineRule="exact"/>
        <w:ind w:firstLine="640"/>
        <w:jc w:val="both"/>
      </w:pPr>
      <w:r>
        <w:rPr>
          <w:rFonts w:ascii="仿宋_GB2312" w:hAnsi="仿宋_GB2312" w:eastAsia="仿宋_GB2312"/>
          <w:b/>
          <w:sz w:val="32"/>
        </w:rPr>
        <w:t>2024年度一般公共预算财政拨款支出114.98万元，</w:t>
      </w:r>
      <w:r>
        <w:rPr>
          <w:rFonts w:ascii="仿宋_GB2312" w:hAnsi="仿宋_GB2312" w:eastAsia="仿宋_GB2312"/>
          <w:b w:val="0"/>
          <w:sz w:val="32"/>
        </w:rPr>
        <w:t>占本年支出合计的99.91%。</w:t>
      </w:r>
      <w:r>
        <w:rPr>
          <w:rFonts w:ascii="仿宋_GB2312" w:hAnsi="仿宋_GB2312" w:eastAsia="仿宋_GB2312"/>
          <w:b/>
          <w:sz w:val="32"/>
        </w:rPr>
        <w:t>与上年相比，</w:t>
      </w:r>
      <w:r>
        <w:rPr>
          <w:rFonts w:ascii="仿宋_GB2312" w:hAnsi="仿宋_GB2312" w:eastAsia="仿宋_GB2312"/>
          <w:b w:val="0"/>
          <w:sz w:val="32"/>
        </w:rPr>
        <w:t>减少33.64万元，下降22.63%，主要原因是：本年减少昌吉州安全生产专项经费、节能督促指导服务工作经费等项目。</w:t>
      </w:r>
      <w:r>
        <w:rPr>
          <w:rFonts w:ascii="仿宋_GB2312" w:hAnsi="仿宋_GB2312" w:eastAsia="仿宋_GB2312"/>
          <w:b/>
          <w:sz w:val="32"/>
        </w:rPr>
        <w:t>与年初预算相比,</w:t>
      </w:r>
      <w:r>
        <w:rPr>
          <w:rFonts w:ascii="仿宋_GB2312" w:hAnsi="仿宋_GB2312" w:eastAsia="仿宋_GB2312"/>
          <w:b w:val="0"/>
          <w:sz w:val="32"/>
        </w:rPr>
        <w:t>年初预算数98.67万元，决算数114.98万元，预决算差异率16.53%，主要原因是：本年在职人员增加，年中追加人员经费及人员工资、社保、公积金基数调增部分资金，导致预决算存在差异。</w:t>
      </w:r>
    </w:p>
    <w:p w14:paraId="44B2D389">
      <w:pPr>
        <w:spacing w:line="640" w:lineRule="exact"/>
        <w:ind w:firstLine="640"/>
        <w:jc w:val="both"/>
        <w:outlineLvl w:val="3"/>
      </w:pPr>
      <w:r>
        <w:rPr>
          <w:rFonts w:ascii="楷体_GB2312" w:hAnsi="楷体_GB2312" w:eastAsia="楷体_GB2312"/>
          <w:b/>
          <w:sz w:val="32"/>
        </w:rPr>
        <w:t>（二）一般公共预算财政拨款支出决算结构情况</w:t>
      </w:r>
    </w:p>
    <w:p w14:paraId="32F9EC87">
      <w:pPr>
        <w:spacing w:line="580" w:lineRule="exact"/>
        <w:ind w:firstLine="640"/>
        <w:jc w:val="both"/>
      </w:pPr>
      <w:r>
        <w:rPr>
          <w:rFonts w:ascii="仿宋_GB2312" w:hAnsi="仿宋_GB2312" w:eastAsia="仿宋_GB2312"/>
          <w:b w:val="0"/>
          <w:sz w:val="32"/>
        </w:rPr>
        <w:t>1.一般公共服务支出(类)88.51万元,占76.98%。</w:t>
      </w:r>
    </w:p>
    <w:p w14:paraId="6E998D5A">
      <w:pPr>
        <w:spacing w:line="580" w:lineRule="exact"/>
        <w:ind w:firstLine="640"/>
        <w:jc w:val="both"/>
      </w:pPr>
      <w:r>
        <w:rPr>
          <w:rFonts w:ascii="仿宋_GB2312" w:hAnsi="仿宋_GB2312" w:eastAsia="仿宋_GB2312"/>
          <w:b w:val="0"/>
          <w:sz w:val="32"/>
        </w:rPr>
        <w:t>2.社会保障和就业支出(类)13.99万元,占12.17%。</w:t>
      </w:r>
    </w:p>
    <w:p w14:paraId="582AA918">
      <w:pPr>
        <w:spacing w:line="580" w:lineRule="exact"/>
        <w:ind w:firstLine="640"/>
        <w:jc w:val="both"/>
      </w:pPr>
      <w:r>
        <w:rPr>
          <w:rFonts w:ascii="仿宋_GB2312" w:hAnsi="仿宋_GB2312" w:eastAsia="仿宋_GB2312"/>
          <w:b w:val="0"/>
          <w:sz w:val="32"/>
        </w:rPr>
        <w:t>3.卫生健康支出(类)4.98万元,占4.33%。</w:t>
      </w:r>
    </w:p>
    <w:p w14:paraId="56D2314F">
      <w:pPr>
        <w:spacing w:line="580" w:lineRule="exact"/>
        <w:ind w:firstLine="640"/>
        <w:jc w:val="both"/>
      </w:pPr>
      <w:r>
        <w:rPr>
          <w:rFonts w:ascii="仿宋_GB2312" w:hAnsi="仿宋_GB2312" w:eastAsia="仿宋_GB2312"/>
          <w:b w:val="0"/>
          <w:sz w:val="32"/>
        </w:rPr>
        <w:t>4.住房保障支出(类)7.50万元,占6.52%。</w:t>
      </w:r>
    </w:p>
    <w:p w14:paraId="52750992">
      <w:pPr>
        <w:spacing w:line="640" w:lineRule="exact"/>
        <w:ind w:firstLine="640"/>
        <w:jc w:val="both"/>
        <w:outlineLvl w:val="3"/>
      </w:pPr>
      <w:r>
        <w:rPr>
          <w:rFonts w:ascii="楷体_GB2312" w:hAnsi="楷体_GB2312" w:eastAsia="楷体_GB2312"/>
          <w:b/>
          <w:sz w:val="32"/>
        </w:rPr>
        <w:t>（三）一般公共预算财政拨款支出决算具体情况</w:t>
      </w:r>
    </w:p>
    <w:p w14:paraId="04EDEA64">
      <w:pPr>
        <w:spacing w:line="580" w:lineRule="exact"/>
        <w:ind w:firstLine="640"/>
        <w:jc w:val="both"/>
      </w:pPr>
      <w:r>
        <w:rPr>
          <w:rFonts w:ascii="仿宋_GB2312" w:hAnsi="仿宋_GB2312" w:eastAsia="仿宋_GB2312"/>
          <w:b w:val="0"/>
          <w:sz w:val="32"/>
        </w:rPr>
        <w:t>1.一般公共服务支出(类)发展与改革事务(款)事业运行(项):支出决算数为84.11万元，比上年决算减少33.92万元，下降28.74%,主要原因是：本年减少安全生产专项经费。</w:t>
      </w:r>
    </w:p>
    <w:p w14:paraId="145F8519">
      <w:pPr>
        <w:spacing w:line="580" w:lineRule="exact"/>
        <w:ind w:firstLine="640"/>
        <w:jc w:val="both"/>
      </w:pPr>
      <w:r>
        <w:rPr>
          <w:rFonts w:ascii="仿宋_GB2312" w:hAnsi="仿宋_GB2312" w:eastAsia="仿宋_GB2312"/>
          <w:b w:val="0"/>
          <w:sz w:val="32"/>
        </w:rPr>
        <w:t>2.一般公共服务支出(类)发展与改革事务(款)其他发展与改革事务支出(项):支出决算数为4.39万元，比上年决算减少2.98万元，下降40.43%,主要原因是：本年减少节能督促指导服务工作经费等项目。</w:t>
      </w:r>
    </w:p>
    <w:p w14:paraId="12336019">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9.33万元，比上年决算增加1.11万元，增长13.50%,主要原因是：本年在职人员增加，养老保险缴费较上年增加。</w:t>
      </w:r>
    </w:p>
    <w:p w14:paraId="4E14374B">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4.66万元，比上年决算增加0.55万元，增长13.38%,主要原因是：本年在职人员工资基数调增，职业年金缴费基数上涨，相应支出增加。</w:t>
      </w:r>
    </w:p>
    <w:p w14:paraId="6F2AF865">
      <w:pPr>
        <w:spacing w:line="580" w:lineRule="exact"/>
        <w:ind w:firstLine="640"/>
        <w:jc w:val="both"/>
      </w:pPr>
      <w:r>
        <w:rPr>
          <w:rFonts w:ascii="仿宋_GB2312" w:hAnsi="仿宋_GB2312" w:eastAsia="仿宋_GB2312"/>
          <w:b w:val="0"/>
          <w:sz w:val="32"/>
        </w:rPr>
        <w:t>5.卫生健康支出(类)行政事业单位医疗(款)事业单位医疗(项):支出决算数为4.66万元，比上年决算增加0.55万元，增长13.38%,主要原因是：本年在职人员增加，事业单位医疗支出较上年增加。</w:t>
      </w:r>
    </w:p>
    <w:p w14:paraId="690885A5">
      <w:pPr>
        <w:spacing w:line="580" w:lineRule="exact"/>
        <w:ind w:firstLine="640"/>
        <w:jc w:val="both"/>
      </w:pPr>
      <w:r>
        <w:rPr>
          <w:rFonts w:ascii="仿宋_GB2312" w:hAnsi="仿宋_GB2312" w:eastAsia="仿宋_GB2312"/>
          <w:b w:val="0"/>
          <w:sz w:val="32"/>
        </w:rPr>
        <w:t>6.卫生健康支出(类)行政事业单位医疗(款)公务员医疗补助(项):支出决算数为0.29万元，比上年决算增加0.03万元，增长11.54%,主要原因是：本年在职人员增加，公务员医疗补助经费增加。</w:t>
      </w:r>
    </w:p>
    <w:p w14:paraId="5C88185C">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7.卫生健康支出(类)行政事业单位医疗(款)其他行政事业单位医疗支出(项):支出决算数为0.03万元，比上年决算增加0.00万元，增长0.00%,主要原因是：本年其他行政事业单位医疗支出与上年一致，无差异。</w:t>
      </w:r>
    </w:p>
    <w:p w14:paraId="5F3F4FFB">
      <w:pPr>
        <w:spacing w:line="580" w:lineRule="exact"/>
        <w:ind w:firstLine="640"/>
        <w:jc w:val="both"/>
      </w:pPr>
      <w:r>
        <w:rPr>
          <w:rFonts w:ascii="仿宋_GB2312" w:hAnsi="仿宋_GB2312" w:eastAsia="仿宋_GB2312"/>
          <w:b w:val="0"/>
          <w:sz w:val="32"/>
        </w:rPr>
        <w:t>8.住房保障支出(类)住房改革支出(款)住房公积金(项):支出决算数为7.50万元，比上年决算增加1.01万元，增长15.56%,主要原因是：本年在职人员增加，住房公积金支出较上年增加。</w:t>
      </w:r>
    </w:p>
    <w:p w14:paraId="07BF65F1">
      <w:pPr>
        <w:spacing w:line="640" w:lineRule="exact"/>
        <w:ind w:firstLine="640"/>
        <w:jc w:val="both"/>
        <w:outlineLvl w:val="2"/>
      </w:pPr>
      <w:r>
        <w:rPr>
          <w:rFonts w:ascii="黑体" w:hAnsi="黑体" w:eastAsia="黑体"/>
          <w:sz w:val="32"/>
        </w:rPr>
        <w:t>六、一般公共预算财政拨款基本支出决算情况说明</w:t>
      </w:r>
    </w:p>
    <w:p w14:paraId="2E12C986">
      <w:pPr>
        <w:spacing w:line="580" w:lineRule="exact"/>
        <w:ind w:firstLine="640"/>
        <w:jc w:val="both"/>
      </w:pPr>
      <w:r>
        <w:rPr>
          <w:rFonts w:ascii="仿宋_GB2312" w:hAnsi="仿宋_GB2312" w:eastAsia="仿宋_GB2312"/>
          <w:b w:val="0"/>
          <w:sz w:val="32"/>
        </w:rPr>
        <w:t>2024年度一般公共预算财政拨款基本支出110.58万元，其中：</w:t>
      </w:r>
      <w:r>
        <w:rPr>
          <w:rFonts w:ascii="仿宋_GB2312" w:hAnsi="仿宋_GB2312" w:eastAsia="仿宋_GB2312"/>
          <w:b/>
          <w:sz w:val="32"/>
        </w:rPr>
        <w:t>人员经费103.38万元，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119CC097">
      <w:pPr>
        <w:spacing w:line="580" w:lineRule="exact"/>
        <w:ind w:firstLine="640"/>
        <w:jc w:val="both"/>
      </w:pPr>
      <w:r>
        <w:rPr>
          <w:rFonts w:ascii="仿宋_GB2312" w:hAnsi="仿宋_GB2312" w:eastAsia="仿宋_GB2312"/>
          <w:b/>
          <w:sz w:val="32"/>
        </w:rPr>
        <w:t>公用经费7.20万元，</w:t>
      </w:r>
      <w:r>
        <w:rPr>
          <w:rFonts w:ascii="仿宋_GB2312" w:hAnsi="仿宋_GB2312" w:eastAsia="仿宋_GB2312"/>
          <w:b w:val="0"/>
          <w:sz w:val="32"/>
        </w:rPr>
        <w:t>包括：办公费、印刷费、差旅费、工会经费、福利费、公务用车运行维护费、其他商品和服务支出。</w:t>
      </w:r>
    </w:p>
    <w:p w14:paraId="5290AE24">
      <w:pPr>
        <w:spacing w:line="640" w:lineRule="exact"/>
        <w:ind w:firstLine="640"/>
        <w:jc w:val="both"/>
        <w:outlineLvl w:val="2"/>
      </w:pPr>
      <w:r>
        <w:rPr>
          <w:rFonts w:ascii="黑体" w:hAnsi="黑体" w:eastAsia="黑体"/>
          <w:sz w:val="32"/>
        </w:rPr>
        <w:t>七、政府性基金预算财政拨款收入支出决算情况说明</w:t>
      </w:r>
    </w:p>
    <w:p w14:paraId="34CBF6A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1D8CC9C">
      <w:pPr>
        <w:spacing w:line="640" w:lineRule="exact"/>
        <w:ind w:firstLine="640"/>
        <w:jc w:val="both"/>
        <w:outlineLvl w:val="2"/>
      </w:pPr>
      <w:r>
        <w:rPr>
          <w:rFonts w:ascii="黑体" w:hAnsi="黑体" w:eastAsia="黑体"/>
          <w:sz w:val="32"/>
        </w:rPr>
        <w:t>八、国有资本经营预算财政拨款收入支出决算情况说明</w:t>
      </w:r>
    </w:p>
    <w:p w14:paraId="4CBED1C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26B1F56">
      <w:pPr>
        <w:spacing w:line="640" w:lineRule="exact"/>
        <w:ind w:firstLine="640"/>
        <w:jc w:val="both"/>
        <w:outlineLvl w:val="2"/>
      </w:pPr>
      <w:r>
        <w:rPr>
          <w:rFonts w:ascii="黑体" w:hAnsi="黑体" w:eastAsia="黑体"/>
          <w:sz w:val="32"/>
        </w:rPr>
        <w:t>九、财政拨款“三公”经费支出决算情况说明</w:t>
      </w:r>
    </w:p>
    <w:p w14:paraId="09FE2FE6">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2.00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4E24939B">
      <w:pPr>
        <w:spacing w:line="580" w:lineRule="exact"/>
        <w:ind w:firstLine="640"/>
        <w:jc w:val="both"/>
      </w:pPr>
      <w:r>
        <w:rPr>
          <w:rFonts w:ascii="仿宋_GB2312" w:hAnsi="仿宋_GB2312" w:eastAsia="仿宋_GB2312"/>
          <w:b/>
          <w:sz w:val="32"/>
        </w:rPr>
        <w:t>具体情况如下：</w:t>
      </w:r>
    </w:p>
    <w:p w14:paraId="18DD1A2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D3D86C">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审车费、过路费等。公务用车购置数0辆，公务用车保有量1辆。国有资产占用情况中固定资产车辆0辆，与公务用车保有量差异原因是：借用发改委车辆，车辆费用由本单位支付。</w:t>
      </w:r>
    </w:p>
    <w:p w14:paraId="36819C1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935F4D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0.00万元，决算数0.00万元，预决算差异率0.00%，主要原因是：本单位无公务接待费。</w:t>
      </w:r>
    </w:p>
    <w:p w14:paraId="27C54974">
      <w:pPr>
        <w:spacing w:line="640" w:lineRule="exact"/>
        <w:ind w:firstLine="640"/>
        <w:jc w:val="both"/>
        <w:outlineLvl w:val="2"/>
      </w:pPr>
      <w:r>
        <w:rPr>
          <w:rFonts w:ascii="黑体" w:hAnsi="黑体" w:eastAsia="黑体"/>
          <w:sz w:val="32"/>
        </w:rPr>
        <w:t>十、其他重要事项的情况说明</w:t>
      </w:r>
    </w:p>
    <w:p w14:paraId="27258F18">
      <w:pPr>
        <w:spacing w:line="640" w:lineRule="exact"/>
        <w:ind w:firstLine="640"/>
        <w:jc w:val="both"/>
        <w:outlineLvl w:val="3"/>
      </w:pPr>
      <w:r>
        <w:rPr>
          <w:rFonts w:ascii="楷体_GB2312" w:hAnsi="楷体_GB2312" w:eastAsia="楷体_GB2312"/>
          <w:b/>
          <w:sz w:val="32"/>
        </w:rPr>
        <w:t>（一）机关运行经费及公用经费支出情况</w:t>
      </w:r>
    </w:p>
    <w:p w14:paraId="2218A503">
      <w:pPr>
        <w:spacing w:line="580" w:lineRule="exact"/>
        <w:ind w:firstLine="640"/>
        <w:jc w:val="both"/>
      </w:pPr>
      <w:r>
        <w:rPr>
          <w:rFonts w:ascii="仿宋_GB2312" w:hAnsi="仿宋_GB2312" w:eastAsia="仿宋_GB2312"/>
          <w:b w:val="0"/>
          <w:sz w:val="32"/>
        </w:rPr>
        <w:t>2024年度昌吉回族自治州能源安全监测中心（事业单位）公用经费支出7.20万元，比上年减少48.45万元，下降87.06%，主要原因是：本年减少安全生产专项经费，导致公用经费减少。</w:t>
      </w:r>
    </w:p>
    <w:p w14:paraId="3A3939CB">
      <w:pPr>
        <w:spacing w:line="640" w:lineRule="exact"/>
        <w:ind w:firstLine="640"/>
        <w:jc w:val="both"/>
        <w:outlineLvl w:val="3"/>
      </w:pPr>
      <w:r>
        <w:rPr>
          <w:rFonts w:ascii="楷体_GB2312" w:hAnsi="楷体_GB2312" w:eastAsia="楷体_GB2312"/>
          <w:b/>
          <w:sz w:val="32"/>
        </w:rPr>
        <w:t>（二）政府采购情况</w:t>
      </w:r>
    </w:p>
    <w:p w14:paraId="5C758F0D">
      <w:pPr>
        <w:spacing w:line="580" w:lineRule="exact"/>
        <w:ind w:firstLine="640"/>
        <w:jc w:val="both"/>
      </w:pPr>
      <w:r>
        <w:rPr>
          <w:rFonts w:ascii="仿宋_GB2312" w:hAnsi="仿宋_GB2312" w:eastAsia="仿宋_GB2312"/>
          <w:b w:val="0"/>
          <w:sz w:val="32"/>
        </w:rPr>
        <w:t>2024年度政府采购支出总额0.97万元，其中：政府采购货物支出0.15万元、政府采购工程支出0.00万元、政府采购服务支出0.82万元。</w:t>
      </w:r>
    </w:p>
    <w:p w14:paraId="4C72413C">
      <w:pPr>
        <w:spacing w:line="580" w:lineRule="exact"/>
        <w:ind w:firstLine="640"/>
        <w:jc w:val="both"/>
      </w:pPr>
      <w:r>
        <w:rPr>
          <w:rFonts w:ascii="仿宋_GB2312" w:hAnsi="仿宋_GB2312" w:eastAsia="仿宋_GB2312"/>
          <w:b w:val="0"/>
          <w:sz w:val="32"/>
        </w:rPr>
        <w:t>授予中小企业合同金额0.97万元，占政府采购支出总额的100.00%，其中：授予小微企业合同金额0.82万元，占政府采购支出总额的84.54%。</w:t>
      </w:r>
    </w:p>
    <w:p w14:paraId="6593B7D8">
      <w:pPr>
        <w:spacing w:line="640" w:lineRule="exact"/>
        <w:ind w:firstLine="640"/>
        <w:jc w:val="both"/>
        <w:outlineLvl w:val="3"/>
      </w:pPr>
      <w:r>
        <w:rPr>
          <w:rFonts w:ascii="楷体_GB2312" w:hAnsi="楷体_GB2312" w:eastAsia="楷体_GB2312"/>
          <w:b/>
          <w:sz w:val="32"/>
        </w:rPr>
        <w:t>（三）国有资产占用情况说明</w:t>
      </w:r>
    </w:p>
    <w:p w14:paraId="54749AFE">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3B7883DF">
      <w:pPr>
        <w:spacing w:line="640" w:lineRule="exact"/>
        <w:ind w:firstLine="640"/>
        <w:jc w:val="both"/>
        <w:outlineLvl w:val="2"/>
      </w:pPr>
      <w:r>
        <w:rPr>
          <w:rFonts w:ascii="黑体" w:hAnsi="黑体" w:eastAsia="黑体"/>
          <w:sz w:val="32"/>
        </w:rPr>
        <w:t>十一、预算绩效的情况说明</w:t>
      </w:r>
    </w:p>
    <w:p w14:paraId="7857FAD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122.00万元，实际执行总额115.08万元；预算绩效评价项目1个，全年预算数4.39万元，全年执行数4.39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各项工作实施及资金使用情况均在绩效目标设定时</w:t>
      </w:r>
      <w:r>
        <w:rPr>
          <w:rFonts w:hint="eastAsia" w:ascii="仿宋_GB2312" w:hAnsi="仿宋_GB2312" w:eastAsia="仿宋_GB2312"/>
          <w:b w:val="0"/>
          <w:sz w:val="32"/>
          <w:lang w:eastAsia="zh-CN"/>
        </w:rPr>
        <w:t>限内</w:t>
      </w:r>
      <w:r>
        <w:rPr>
          <w:rFonts w:ascii="仿宋_GB2312" w:hAnsi="仿宋_GB2312" w:eastAsia="仿宋_GB2312"/>
          <w:b w:val="0"/>
          <w:sz w:val="32"/>
        </w:rPr>
        <w:t>完成。预算安排的基本支出保障了正常的工作运转，预算安排的项目支出非常必要，在执行</w:t>
      </w:r>
      <w:r>
        <w:rPr>
          <w:rFonts w:hint="eastAsia" w:ascii="仿宋_GB2312" w:hAnsi="仿宋_GB2312" w:eastAsia="仿宋_GB2312"/>
          <w:b w:val="0"/>
          <w:sz w:val="32"/>
          <w:lang w:eastAsia="zh-CN"/>
        </w:rPr>
        <w:t>上</w:t>
      </w:r>
      <w:r>
        <w:rPr>
          <w:rFonts w:ascii="仿宋_GB2312" w:hAnsi="仿宋_GB2312" w:eastAsia="仿宋_GB2312"/>
          <w:b w:val="0"/>
          <w:sz w:val="32"/>
        </w:rPr>
        <w:t>严格遵守各项财经纪律，在项目资金的使用上也是</w:t>
      </w:r>
      <w:r>
        <w:rPr>
          <w:rFonts w:hint="eastAsia" w:ascii="仿宋_GB2312" w:hAnsi="仿宋_GB2312" w:eastAsia="仿宋_GB2312"/>
          <w:b w:val="0"/>
          <w:sz w:val="32"/>
          <w:lang w:eastAsia="zh-CN"/>
        </w:rPr>
        <w:t>放</w:t>
      </w:r>
      <w:r>
        <w:rPr>
          <w:rFonts w:ascii="仿宋_GB2312" w:hAnsi="仿宋_GB2312" w:eastAsia="仿宋_GB2312"/>
          <w:b w:val="0"/>
          <w:sz w:val="32"/>
        </w:rPr>
        <w:t>心的，严守法律底线、纪律底线、道德底线。</w:t>
      </w:r>
      <w:r>
        <w:rPr>
          <w:rFonts w:hint="eastAsia" w:ascii="仿宋_GB2312" w:hAnsi="仿宋_GB2312" w:eastAsia="仿宋_GB2312"/>
          <w:b w:val="0"/>
          <w:sz w:val="32"/>
          <w:lang w:eastAsia="zh-CN"/>
        </w:rPr>
        <w:t>本单位</w:t>
      </w:r>
      <w:r>
        <w:rPr>
          <w:rFonts w:ascii="仿宋_GB2312" w:hAnsi="仿宋_GB2312" w:eastAsia="仿宋_GB2312"/>
          <w:b w:val="0"/>
          <w:sz w:val="32"/>
        </w:rPr>
        <w:t>基本经费中人员经费支出、公用支出严格执行政府的各项制度，保障全局工作正常运转，</w:t>
      </w:r>
      <w:r>
        <w:rPr>
          <w:rFonts w:hint="eastAsia" w:ascii="仿宋_GB2312" w:hAnsi="仿宋_GB2312" w:eastAsia="仿宋_GB2312"/>
          <w:b w:val="0"/>
          <w:sz w:val="32"/>
          <w:lang w:eastAsia="zh-CN"/>
        </w:rPr>
        <w:t>“三公”经费</w:t>
      </w:r>
      <w:r>
        <w:rPr>
          <w:rFonts w:ascii="仿宋_GB2312" w:hAnsi="仿宋_GB2312" w:eastAsia="仿宋_GB2312"/>
          <w:b w:val="0"/>
          <w:sz w:val="32"/>
        </w:rPr>
        <w:t>的使用严格控制在预算申报的范围内；在项目经费的使用上，在保证各项任务顺利完成的同时，严格落实厉行节约的原则。各项经费的使用均体现了高效、透明、合规的原则，有效保障了各项工作的顺利开展。同时，</w:t>
      </w:r>
      <w:r>
        <w:rPr>
          <w:rFonts w:hint="eastAsia" w:ascii="仿宋_GB2312" w:hAnsi="仿宋_GB2312" w:eastAsia="仿宋_GB2312"/>
          <w:b w:val="0"/>
          <w:sz w:val="32"/>
          <w:lang w:eastAsia="zh-CN"/>
        </w:rPr>
        <w:t>本单位</w:t>
      </w:r>
      <w:r>
        <w:rPr>
          <w:rFonts w:ascii="仿宋_GB2312" w:hAnsi="仿宋_GB2312" w:eastAsia="仿宋_GB2312"/>
          <w:b w:val="0"/>
          <w:sz w:val="32"/>
        </w:rPr>
        <w:t>在绩效评价过程中，严格按照相关规定和要求，对各项支出进行了细致、全面的自评，确保了评价结果的客观性和准确性。发现的问题及原因：1.本单位全额拨款事业单位，年初的基本支出预算仅是6名在编人员的财政拨款人员经费及公用经费，执行时由于人员调资等原因，导致人员经费实际执行数大于年初预算数。2.一些企业对节能工作的重视程度不足，这导致了节能措施的实施不够彻底。企业中负责节能的人员能力水平不一，部分企业的节能管理能力较低，这种情况并不利于提升企业的整体节能管理水平。3.业务人员对绩效管理的</w:t>
      </w:r>
      <w:r>
        <w:rPr>
          <w:rFonts w:hint="eastAsia" w:ascii="仿宋_GB2312" w:hAnsi="仿宋_GB2312" w:eastAsia="仿宋_GB2312"/>
          <w:b w:val="0"/>
          <w:sz w:val="32"/>
          <w:lang w:eastAsia="zh-CN"/>
        </w:rPr>
        <w:t>意识亟需</w:t>
      </w:r>
      <w:r>
        <w:rPr>
          <w:rFonts w:ascii="仿宋_GB2312" w:hAnsi="仿宋_GB2312" w:eastAsia="仿宋_GB2312"/>
          <w:b w:val="0"/>
          <w:sz w:val="32"/>
        </w:rPr>
        <w:t>提升，尚未全面且深入地理解绩效管理的重要性。同时，绩效管理的经验尚显不足，因此预算绩效管理的实施需要进一步加强。下一步改进措施：1.高度重视财政预决算工作，加强预算的约束力。2.根据节能相关政策要求，重点指导、诊断规模以上工业企业工艺、能效、设备、计量器具等能源管理情况，查出问题、提出解决措施，帮助企业提高能效水平。3.加强工程管理，强化目标审核，绩效目标编制培训，提高绩效目标编制质量，确保绩效目标“够得着、能实现”。具体附整体支出绩效自评表，项目支出绩效自评表和评价报告。</w:t>
      </w:r>
    </w:p>
    <w:p w14:paraId="78CB1FA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4F7A749">
        <w:tblPrEx>
          <w:tblCellMar>
            <w:top w:w="0" w:type="dxa"/>
            <w:left w:w="108" w:type="dxa"/>
            <w:bottom w:w="0" w:type="dxa"/>
            <w:right w:w="108" w:type="dxa"/>
          </w:tblCellMar>
        </w:tblPrEx>
        <w:tc>
          <w:tcPr>
            <w:tcW w:w="8847" w:type="dxa"/>
            <w:gridSpan w:val="9"/>
            <w:vAlign w:val="center"/>
          </w:tcPr>
          <w:p w14:paraId="558CBFB8">
            <w:pPr>
              <w:jc w:val="center"/>
            </w:pPr>
            <w:r>
              <w:rPr>
                <w:rFonts w:ascii="宋体" w:hAnsi="宋体" w:eastAsia="宋体"/>
                <w:sz w:val="24"/>
              </w:rPr>
              <w:t>单位整体支出绩效自评表</w:t>
            </w:r>
          </w:p>
        </w:tc>
      </w:tr>
      <w:tr w14:paraId="2BC8EF46">
        <w:tblPrEx>
          <w:tblCellMar>
            <w:top w:w="0" w:type="dxa"/>
            <w:left w:w="108" w:type="dxa"/>
            <w:bottom w:w="0" w:type="dxa"/>
            <w:right w:w="108" w:type="dxa"/>
          </w:tblCellMar>
        </w:tblPrEx>
        <w:tc>
          <w:tcPr>
            <w:tcW w:w="8847" w:type="dxa"/>
            <w:gridSpan w:val="9"/>
            <w:vAlign w:val="center"/>
          </w:tcPr>
          <w:p w14:paraId="473C1080">
            <w:pPr>
              <w:jc w:val="center"/>
            </w:pPr>
            <w:r>
              <w:rPr>
                <w:rFonts w:ascii="宋体" w:hAnsi="宋体" w:eastAsia="宋体"/>
                <w:sz w:val="24"/>
              </w:rPr>
              <w:t>（2024年度）</w:t>
            </w:r>
          </w:p>
        </w:tc>
      </w:tr>
      <w:tr w14:paraId="554D7EC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ED88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767FC9">
            <w:pPr>
              <w:jc w:val="center"/>
            </w:pPr>
            <w:r>
              <w:rPr>
                <w:rFonts w:ascii="宋体" w:hAnsi="宋体" w:eastAsia="宋体"/>
                <w:sz w:val="16"/>
              </w:rPr>
              <w:t>昌吉回族自治州能源安全监测中心</w:t>
            </w:r>
          </w:p>
        </w:tc>
      </w:tr>
      <w:tr w14:paraId="76384C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6D9A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2617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8483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788A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A05C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38DE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AAAB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DEEF3">
            <w:pPr>
              <w:jc w:val="center"/>
            </w:pPr>
            <w:r>
              <w:rPr>
                <w:rFonts w:ascii="宋体" w:hAnsi="宋体" w:eastAsia="宋体"/>
                <w:sz w:val="16"/>
              </w:rPr>
              <w:t>得分</w:t>
            </w:r>
          </w:p>
        </w:tc>
      </w:tr>
      <w:tr w14:paraId="08C575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BAD9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2934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2AA2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F35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CD5B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C3B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B33F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4CE79">
            <w:pPr>
              <w:jc w:val="center"/>
            </w:pPr>
            <w:r>
              <w:rPr>
                <w:rFonts w:ascii="宋体" w:hAnsi="宋体" w:eastAsia="宋体"/>
                <w:sz w:val="16"/>
              </w:rPr>
              <w:t>-</w:t>
            </w:r>
          </w:p>
        </w:tc>
      </w:tr>
      <w:tr w14:paraId="6A090B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1107B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B61F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A4945">
            <w:pPr>
              <w:jc w:val="center"/>
            </w:pPr>
            <w:r>
              <w:rPr>
                <w:rFonts w:ascii="宋体" w:hAnsi="宋体" w:eastAsia="宋体"/>
                <w:sz w:val="16"/>
              </w:rPr>
              <w:t>98.67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074B7">
            <w:pPr>
              <w:jc w:val="center"/>
            </w:pPr>
            <w:r>
              <w:rPr>
                <w:rFonts w:ascii="宋体" w:hAnsi="宋体" w:eastAsia="宋体"/>
                <w:sz w:val="16"/>
              </w:rPr>
              <w:t>115.02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6D77B">
            <w:pPr>
              <w:jc w:val="center"/>
            </w:pPr>
            <w:r>
              <w:rPr>
                <w:rFonts w:ascii="宋体" w:hAnsi="宋体" w:eastAsia="宋体"/>
                <w:sz w:val="16"/>
              </w:rPr>
              <w:t>115.02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749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1C7D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6F6CA">
            <w:pPr>
              <w:jc w:val="center"/>
            </w:pPr>
            <w:r>
              <w:rPr>
                <w:rFonts w:ascii="宋体" w:hAnsi="宋体" w:eastAsia="宋体"/>
                <w:sz w:val="16"/>
              </w:rPr>
              <w:t>-</w:t>
            </w:r>
          </w:p>
        </w:tc>
      </w:tr>
      <w:tr w14:paraId="217982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B72C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44C55">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52069">
            <w:pPr>
              <w:jc w:val="center"/>
            </w:pPr>
            <w:r>
              <w:rPr>
                <w:rFonts w:ascii="宋体" w:hAnsi="宋体" w:eastAsia="宋体"/>
                <w:sz w:val="16"/>
              </w:rPr>
              <w:t>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D5DD2">
            <w:pPr>
              <w:jc w:val="center"/>
            </w:pPr>
            <w:r>
              <w:rPr>
                <w:rFonts w:ascii="宋体" w:hAnsi="宋体" w:eastAsia="宋体"/>
                <w:sz w:val="16"/>
              </w:rPr>
              <w:t>6.98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2E702">
            <w:pPr>
              <w:jc w:val="center"/>
            </w:pPr>
            <w:r>
              <w:rPr>
                <w:rFonts w:ascii="宋体" w:hAnsi="宋体" w:eastAsia="宋体"/>
                <w:sz w:val="16"/>
              </w:rPr>
              <w:t>0.06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815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412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D3025">
            <w:pPr>
              <w:jc w:val="center"/>
            </w:pPr>
            <w:r>
              <w:rPr>
                <w:rFonts w:ascii="宋体" w:hAnsi="宋体" w:eastAsia="宋体"/>
                <w:sz w:val="16"/>
              </w:rPr>
              <w:t>-</w:t>
            </w:r>
          </w:p>
        </w:tc>
      </w:tr>
      <w:tr w14:paraId="195462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BDFF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9FDA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7963D">
            <w:pPr>
              <w:jc w:val="center"/>
            </w:pPr>
            <w:r>
              <w:rPr>
                <w:rFonts w:ascii="宋体" w:hAnsi="宋体" w:eastAsia="宋体"/>
                <w:sz w:val="16"/>
              </w:rPr>
              <w:t>102.67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9332A">
            <w:pPr>
              <w:jc w:val="center"/>
            </w:pPr>
            <w:r>
              <w:rPr>
                <w:rFonts w:ascii="宋体" w:hAnsi="宋体" w:eastAsia="宋体"/>
                <w:sz w:val="16"/>
              </w:rPr>
              <w:t>122.00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6871B">
            <w:pPr>
              <w:jc w:val="center"/>
            </w:pPr>
            <w:r>
              <w:rPr>
                <w:rFonts w:ascii="宋体" w:hAnsi="宋体" w:eastAsia="宋体"/>
                <w:sz w:val="16"/>
              </w:rPr>
              <w:t>115.08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7D1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B84D8">
            <w:pPr>
              <w:jc w:val="center"/>
            </w:pPr>
            <w:r>
              <w:rPr>
                <w:rFonts w:ascii="宋体" w:hAnsi="宋体" w:eastAsia="宋体"/>
                <w:sz w:val="16"/>
              </w:rPr>
              <w:t>94.33%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73EAE">
            <w:pPr>
              <w:jc w:val="center"/>
            </w:pPr>
            <w:r>
              <w:rPr>
                <w:rFonts w:ascii="宋体" w:hAnsi="宋体" w:eastAsia="宋体"/>
                <w:sz w:val="16"/>
              </w:rPr>
              <w:t>9.43</w:t>
            </w:r>
          </w:p>
        </w:tc>
      </w:tr>
      <w:tr w14:paraId="2A882C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6322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90C0A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69CB17">
            <w:pPr>
              <w:jc w:val="center"/>
            </w:pPr>
            <w:r>
              <w:rPr>
                <w:rFonts w:ascii="宋体" w:hAnsi="宋体" w:eastAsia="宋体"/>
                <w:sz w:val="16"/>
              </w:rPr>
              <w:t>实际完成情况</w:t>
            </w:r>
          </w:p>
        </w:tc>
      </w:tr>
      <w:tr w14:paraId="7EEF6F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F7BE3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58E1BE">
            <w:pPr>
              <w:jc w:val="both"/>
            </w:pPr>
            <w:bookmarkStart w:id="0" w:name="_GoBack"/>
            <w:r>
              <w:rPr>
                <w:rFonts w:ascii="宋体" w:hAnsi="宋体" w:eastAsia="宋体"/>
                <w:sz w:val="16"/>
              </w:rPr>
              <w:t>1、</w:t>
            </w:r>
            <w:bookmarkEnd w:id="0"/>
            <w:r>
              <w:rPr>
                <w:rFonts w:ascii="宋体" w:hAnsi="宋体" w:eastAsia="宋体"/>
                <w:sz w:val="16"/>
              </w:rPr>
              <w:t>做好自治州节能减排领导小组办公室日常工作，负责制定自治州能耗双控目标及措施，指导重点耗能单位积极开展节能降耗工作。2、指导县市能源安全工作，做好规划制定及实施，煤炭矿区</w:t>
            </w:r>
            <w:r>
              <w:rPr>
                <w:rFonts w:hint="eastAsia" w:ascii="宋体" w:hAnsi="宋体"/>
                <w:sz w:val="16"/>
                <w:lang w:eastAsia="zh-CN"/>
              </w:rPr>
              <w:t>总规</w:t>
            </w:r>
            <w:r>
              <w:rPr>
                <w:rFonts w:ascii="宋体" w:hAnsi="宋体" w:eastAsia="宋体"/>
                <w:sz w:val="16"/>
              </w:rPr>
              <w:t>及项目初审、运行调度等工作。3、对全州规模以上工业企业的工艺水平,能效水平，用能设备，能源计量器具等能源利用管理有问题的企业，通过专家问诊督导等形式，进行节能督促指导社会化服务20次以上,提高企业节能意识和能效水平</w:t>
            </w:r>
            <w:r>
              <w:rPr>
                <w:rFonts w:hint="eastAsia" w:ascii="宋体" w:hAnsi="宋体"/>
                <w:sz w:val="16"/>
                <w:lang w:eastAsia="zh-CN"/>
              </w:rPr>
              <w:t>。</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1696EA">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完成以下工作：对全州规模以上工业企业执行了20次以上的节能督促指导社会化服务。通过专家的深入问诊，针对企业工艺水平</w:t>
            </w:r>
            <w:r>
              <w:rPr>
                <w:rFonts w:hint="eastAsia" w:ascii="宋体" w:hAnsi="宋体"/>
                <w:sz w:val="16"/>
                <w:lang w:eastAsia="zh-CN"/>
              </w:rPr>
              <w:t>、</w:t>
            </w:r>
            <w:r>
              <w:rPr>
                <w:rFonts w:ascii="宋体" w:hAnsi="宋体" w:eastAsia="宋体"/>
                <w:sz w:val="16"/>
              </w:rPr>
              <w:t>能效水平、用能设备、能源计量器具等关键能源利用管理环节，提供了专业的节能督促指导服务。提升企业的节能意识和能效水平，进一步增强企业的节能管理水平和能源利用效率。此外，通过组织节能培训，加强了企业的节能意识，并推广了先进的节能技术和管理方法，帮助企业在节能降耗方面掌握了有效的手段。同时，加大了对工业淘汰落后设备的指导力度，推动企业进行设备升级和技术改造，以减少能源消耗和环境污染，促进可持续发展。此外，开展了至少2场次的电力安全生产检查和至少1场次的油气管道安全生产检查，并提出了整改意见书，以提升安全生产管理水平，确保全州电力、油气长输管道安全生产形势稳定向好。</w:t>
            </w:r>
          </w:p>
        </w:tc>
      </w:tr>
      <w:tr w14:paraId="494B2FB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CC1D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21D7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9812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4543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5E6E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98B2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D78F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E969E">
            <w:pPr>
              <w:jc w:val="center"/>
            </w:pPr>
            <w:r>
              <w:rPr>
                <w:rFonts w:ascii="宋体" w:hAnsi="宋体" w:eastAsia="宋体"/>
                <w:sz w:val="16"/>
              </w:rPr>
              <w:t>得分</w:t>
            </w:r>
          </w:p>
        </w:tc>
      </w:tr>
      <w:tr w14:paraId="1759A7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84B85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0A0D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68AF4">
            <w:pPr>
              <w:jc w:val="center"/>
            </w:pPr>
            <w:r>
              <w:rPr>
                <w:rFonts w:ascii="宋体" w:hAnsi="宋体" w:eastAsia="宋体"/>
                <w:sz w:val="16"/>
              </w:rPr>
              <w:t>节能督导服务企业数量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CC2D1">
            <w:pPr>
              <w:jc w:val="center"/>
            </w:pPr>
            <w:r>
              <w:rPr>
                <w:rFonts w:ascii="宋体" w:hAnsi="宋体" w:eastAsia="宋体"/>
                <w:sz w:val="16"/>
              </w:rPr>
              <w:t>&gt;=20次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0C1B7">
            <w:pPr>
              <w:jc w:val="center"/>
            </w:pPr>
            <w:r>
              <w:rPr>
                <w:rFonts w:ascii="宋体" w:hAnsi="宋体" w:eastAsia="宋体"/>
                <w:sz w:val="16"/>
              </w:rPr>
              <w:t>关于能源安全执法支队2024年工作计划的汇报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ACF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F648A">
            <w:pPr>
              <w:jc w:val="center"/>
            </w:pPr>
            <w:r>
              <w:rPr>
                <w:rFonts w:ascii="宋体" w:hAnsi="宋体" w:eastAsia="宋体"/>
                <w:sz w:val="16"/>
              </w:rPr>
              <w:t>=20次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B2033">
            <w:pPr>
              <w:jc w:val="center"/>
            </w:pPr>
            <w:r>
              <w:rPr>
                <w:rFonts w:ascii="宋体" w:hAnsi="宋体" w:eastAsia="宋体"/>
                <w:sz w:val="16"/>
              </w:rPr>
              <w:t>10</w:t>
            </w:r>
          </w:p>
        </w:tc>
      </w:tr>
      <w:tr w14:paraId="59DD7F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FF65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8959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3DBDF">
            <w:pPr>
              <w:jc w:val="center"/>
            </w:pPr>
            <w:r>
              <w:rPr>
                <w:rFonts w:ascii="宋体" w:hAnsi="宋体" w:eastAsia="宋体"/>
                <w:sz w:val="16"/>
              </w:rPr>
              <w:t>工业企业节能培训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C2326">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16124">
            <w:pPr>
              <w:jc w:val="center"/>
            </w:pPr>
            <w:r>
              <w:rPr>
                <w:rFonts w:ascii="宋体" w:hAnsi="宋体" w:eastAsia="宋体"/>
                <w:sz w:val="16"/>
              </w:rPr>
              <w:t>关于能源安全执法支队2024年工作计划的汇报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23E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648BA">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88ACB">
            <w:pPr>
              <w:jc w:val="center"/>
            </w:pPr>
            <w:r>
              <w:rPr>
                <w:rFonts w:ascii="宋体" w:hAnsi="宋体" w:eastAsia="宋体"/>
                <w:sz w:val="16"/>
              </w:rPr>
              <w:t>10</w:t>
            </w:r>
          </w:p>
        </w:tc>
      </w:tr>
      <w:tr w14:paraId="095C6B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AEC3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E46E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6EA34">
            <w:pPr>
              <w:jc w:val="center"/>
            </w:pPr>
            <w:r>
              <w:rPr>
                <w:rFonts w:ascii="宋体" w:hAnsi="宋体" w:eastAsia="宋体"/>
                <w:sz w:val="16"/>
              </w:rPr>
              <w:t>指导工业淘汰落后设备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DEF9F">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F95B5">
            <w:pPr>
              <w:jc w:val="center"/>
            </w:pPr>
            <w:r>
              <w:rPr>
                <w:rFonts w:ascii="宋体" w:hAnsi="宋体" w:eastAsia="宋体"/>
                <w:sz w:val="16"/>
              </w:rPr>
              <w:t>关于能源安全执法支队2024年工作计划的汇报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517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40E16">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E1D79">
            <w:pPr>
              <w:jc w:val="center"/>
            </w:pPr>
            <w:r>
              <w:rPr>
                <w:rFonts w:ascii="宋体" w:hAnsi="宋体" w:eastAsia="宋体"/>
                <w:sz w:val="16"/>
              </w:rPr>
              <w:t>10</w:t>
            </w:r>
          </w:p>
        </w:tc>
      </w:tr>
      <w:tr w14:paraId="463BC1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63E6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A21C0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7F68B">
            <w:pPr>
              <w:jc w:val="center"/>
            </w:pPr>
            <w:r>
              <w:rPr>
                <w:rFonts w:ascii="宋体" w:hAnsi="宋体" w:eastAsia="宋体"/>
                <w:sz w:val="16"/>
              </w:rPr>
              <w:t>指导企业制定2024年节能培训计划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E8C35">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6CD26">
            <w:pPr>
              <w:jc w:val="center"/>
            </w:pPr>
            <w:r>
              <w:rPr>
                <w:rFonts w:ascii="宋体" w:hAnsi="宋体" w:eastAsia="宋体"/>
                <w:sz w:val="16"/>
              </w:rPr>
              <w:t>关于能源安全执法支队2024年工作计划的汇报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AF8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52F73">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CA6C6">
            <w:pPr>
              <w:jc w:val="center"/>
            </w:pPr>
            <w:r>
              <w:rPr>
                <w:rFonts w:ascii="宋体" w:hAnsi="宋体" w:eastAsia="宋体"/>
                <w:sz w:val="16"/>
              </w:rPr>
              <w:t>10</w:t>
            </w:r>
          </w:p>
        </w:tc>
      </w:tr>
      <w:tr w14:paraId="5C7F4A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BC56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82E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F7D3F">
            <w:pPr>
              <w:jc w:val="center"/>
            </w:pPr>
            <w:r>
              <w:rPr>
                <w:rFonts w:ascii="宋体" w:hAnsi="宋体" w:eastAsia="宋体"/>
                <w:sz w:val="16"/>
              </w:rPr>
              <w:t>开展电力企业安全生产检查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976F3">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FE8D4">
            <w:pPr>
              <w:jc w:val="center"/>
            </w:pPr>
            <w:r>
              <w:rPr>
                <w:rFonts w:ascii="宋体" w:hAnsi="宋体" w:eastAsia="宋体"/>
                <w:sz w:val="16"/>
              </w:rPr>
              <w:t>关于能源安全执法支队2024年工作计划的汇报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1862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D642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B754C">
            <w:pPr>
              <w:jc w:val="center"/>
            </w:pPr>
            <w:r>
              <w:rPr>
                <w:rFonts w:ascii="宋体" w:hAnsi="宋体" w:eastAsia="宋体"/>
                <w:sz w:val="16"/>
              </w:rPr>
              <w:t>20</w:t>
            </w:r>
          </w:p>
        </w:tc>
      </w:tr>
      <w:tr w14:paraId="581C95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AFFB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9A5B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6114A">
            <w:pPr>
              <w:jc w:val="center"/>
            </w:pPr>
            <w:r>
              <w:rPr>
                <w:rFonts w:ascii="宋体" w:hAnsi="宋体" w:eastAsia="宋体"/>
                <w:sz w:val="16"/>
              </w:rPr>
              <w:t>开展油气管道企业安全生产检查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A5B49">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C586F">
            <w:pPr>
              <w:jc w:val="center"/>
            </w:pPr>
            <w:r>
              <w:rPr>
                <w:rFonts w:ascii="宋体" w:hAnsi="宋体" w:eastAsia="宋体"/>
                <w:sz w:val="16"/>
              </w:rPr>
              <w:t>关于能源安全执法支队2024年工作计划的汇报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8CC4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F20AA">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F042A">
            <w:pPr>
              <w:jc w:val="center"/>
            </w:pPr>
            <w:r>
              <w:rPr>
                <w:rFonts w:ascii="宋体" w:hAnsi="宋体" w:eastAsia="宋体"/>
                <w:sz w:val="16"/>
              </w:rPr>
              <w:t>20</w:t>
            </w:r>
          </w:p>
        </w:tc>
      </w:tr>
      <w:tr w14:paraId="2C6EC1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8E13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A1A4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BA70F">
            <w:pPr>
              <w:jc w:val="center"/>
            </w:pPr>
            <w:r>
              <w:rPr>
                <w:rFonts w:ascii="宋体" w:hAnsi="宋体" w:eastAsia="宋体"/>
                <w:sz w:val="16"/>
              </w:rPr>
              <w:t>制定昌吉州节能监查任务工作重点清单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AF3E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55E71">
            <w:pPr>
              <w:jc w:val="center"/>
            </w:pPr>
            <w:r>
              <w:rPr>
                <w:rFonts w:ascii="宋体" w:hAnsi="宋体" w:eastAsia="宋体"/>
                <w:sz w:val="16"/>
              </w:rPr>
              <w:t>关于能源安全执法支队2024年工作计划的汇报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775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AD784">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FCF39">
            <w:pPr>
              <w:jc w:val="center"/>
            </w:pPr>
            <w:r>
              <w:rPr>
                <w:rFonts w:ascii="宋体" w:hAnsi="宋体" w:eastAsia="宋体"/>
                <w:sz w:val="16"/>
              </w:rPr>
              <w:t>10</w:t>
            </w:r>
          </w:p>
        </w:tc>
      </w:tr>
    </w:tbl>
    <w:p w14:paraId="27AFF5E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696"/>
        <w:gridCol w:w="631"/>
        <w:gridCol w:w="776"/>
        <w:gridCol w:w="696"/>
        <w:gridCol w:w="624"/>
        <w:gridCol w:w="631"/>
        <w:gridCol w:w="624"/>
        <w:gridCol w:w="418"/>
        <w:gridCol w:w="206"/>
        <w:gridCol w:w="631"/>
      </w:tblGrid>
      <w:tr w14:paraId="0126AD02">
        <w:tblPrEx>
          <w:tblCellMar>
            <w:top w:w="0" w:type="dxa"/>
            <w:left w:w="108" w:type="dxa"/>
            <w:bottom w:w="0" w:type="dxa"/>
            <w:right w:w="108" w:type="dxa"/>
          </w:tblCellMar>
        </w:tblPrEx>
        <w:tc>
          <w:tcPr>
            <w:tcW w:w="9060" w:type="dxa"/>
            <w:gridSpan w:val="15"/>
            <w:vAlign w:val="center"/>
          </w:tcPr>
          <w:p w14:paraId="7ABF8E95">
            <w:pPr>
              <w:jc w:val="center"/>
            </w:pPr>
            <w:r>
              <w:rPr>
                <w:rFonts w:ascii="宋体" w:hAnsi="宋体" w:eastAsia="宋体"/>
                <w:sz w:val="24"/>
              </w:rPr>
              <w:t>项目支出绩效自评表</w:t>
            </w:r>
          </w:p>
        </w:tc>
      </w:tr>
      <w:tr w14:paraId="723D7995">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D32289E">
            <w:pPr>
              <w:jc w:val="center"/>
            </w:pPr>
            <w:r>
              <w:rPr>
                <w:rFonts w:ascii="宋体" w:hAnsi="宋体" w:eastAsia="宋体"/>
                <w:sz w:val="24"/>
              </w:rPr>
              <w:t>(2024年度)</w:t>
            </w:r>
          </w:p>
        </w:tc>
      </w:tr>
      <w:tr w14:paraId="1D1B26A9">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C9EEE60">
            <w:pPr>
              <w:jc w:val="center"/>
            </w:pPr>
            <w:r>
              <w:rPr>
                <w:rFonts w:ascii="宋体" w:hAnsi="宋体" w:eastAsia="宋体"/>
                <w:sz w:val="16"/>
              </w:rPr>
              <w:t>项目名称</w:t>
            </w:r>
          </w:p>
        </w:tc>
        <w:tc>
          <w:tcPr>
            <w:tcW w:w="843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190BAD">
            <w:pPr>
              <w:jc w:val="center"/>
            </w:pPr>
            <w:r>
              <w:rPr>
                <w:rFonts w:ascii="宋体" w:hAnsi="宋体" w:eastAsia="宋体"/>
                <w:sz w:val="16"/>
              </w:rPr>
              <w:t>节能督促指导服务工作经费</w:t>
            </w:r>
          </w:p>
        </w:tc>
      </w:tr>
      <w:tr w14:paraId="0FB08C27">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C76867D">
            <w:pPr>
              <w:jc w:val="center"/>
            </w:pPr>
            <w:r>
              <w:rPr>
                <w:rFonts w:ascii="宋体" w:hAnsi="宋体" w:eastAsia="宋体"/>
                <w:sz w:val="16"/>
              </w:rPr>
              <w:t>主管部门</w:t>
            </w:r>
          </w:p>
        </w:tc>
        <w:tc>
          <w:tcPr>
            <w:tcW w:w="46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3707A4">
            <w:pPr>
              <w:jc w:val="center"/>
            </w:pPr>
            <w:r>
              <w:rPr>
                <w:rFonts w:hint="eastAsia" w:ascii="宋体" w:hAnsi="宋体" w:eastAsia="宋体"/>
                <w:sz w:val="16"/>
              </w:rPr>
              <w:t>昌吉回族自治州发展和改革委员会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A2FEB6">
            <w:pPr>
              <w:jc w:val="center"/>
            </w:pPr>
            <w:r>
              <w:rPr>
                <w:rFonts w:ascii="宋体" w:hAnsi="宋体" w:eastAsia="宋体"/>
                <w:sz w:val="16"/>
              </w:rPr>
              <w:t>实施单位</w:t>
            </w:r>
          </w:p>
        </w:tc>
        <w:tc>
          <w:tcPr>
            <w:tcW w:w="313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CE8F1B">
            <w:pPr>
              <w:jc w:val="center"/>
            </w:pPr>
            <w:r>
              <w:rPr>
                <w:rFonts w:ascii="宋体" w:hAnsi="宋体" w:eastAsia="宋体"/>
                <w:sz w:val="16"/>
              </w:rPr>
              <w:t>昌吉回族自治州能源安全监测中心</w:t>
            </w:r>
          </w:p>
        </w:tc>
      </w:tr>
      <w:tr w14:paraId="56978806">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C9097">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66F86">
            <w:pPr>
              <w:jc w:val="center"/>
            </w:pP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BC555">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6A59A">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5F4D6">
            <w:pPr>
              <w:jc w:val="center"/>
            </w:pPr>
            <w:r>
              <w:rPr>
                <w:rFonts w:ascii="宋体" w:hAnsi="宋体" w:eastAsia="宋体"/>
                <w:sz w:val="16"/>
              </w:rPr>
              <w:t>全年执行数</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874E0">
            <w:pPr>
              <w:jc w:val="center"/>
            </w:pPr>
            <w:r>
              <w:rPr>
                <w:rFonts w:ascii="宋体" w:hAnsi="宋体" w:eastAsia="宋体"/>
                <w:sz w:val="16"/>
              </w:rPr>
              <w:t>分值</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4180D5">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123323A">
            <w:pPr>
              <w:jc w:val="center"/>
            </w:pPr>
            <w:r>
              <w:rPr>
                <w:rFonts w:ascii="宋体" w:hAnsi="宋体" w:eastAsia="宋体"/>
                <w:sz w:val="16"/>
              </w:rPr>
              <w:t>得分</w:t>
            </w:r>
          </w:p>
        </w:tc>
      </w:tr>
      <w:tr w14:paraId="06D5F0F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821AD23"/>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575F4">
            <w:pPr>
              <w:jc w:val="center"/>
            </w:pPr>
            <w:r>
              <w:rPr>
                <w:rFonts w:ascii="宋体" w:hAnsi="宋体" w:eastAsia="宋体"/>
                <w:sz w:val="16"/>
              </w:rPr>
              <w:t>年度资金总额</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34432">
            <w:pPr>
              <w:jc w:val="center"/>
            </w:pPr>
            <w:r>
              <w:rPr>
                <w:rFonts w:ascii="宋体" w:hAnsi="宋体" w:eastAsia="宋体"/>
                <w:sz w:val="16"/>
              </w:rPr>
              <w:t>5.00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0E3EC">
            <w:pPr>
              <w:jc w:val="center"/>
            </w:pPr>
            <w:r>
              <w:rPr>
                <w:rFonts w:ascii="宋体" w:hAnsi="宋体" w:eastAsia="宋体"/>
                <w:sz w:val="16"/>
              </w:rPr>
              <w:t>4.39</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61406">
            <w:pPr>
              <w:jc w:val="center"/>
            </w:pPr>
            <w:r>
              <w:rPr>
                <w:rFonts w:ascii="宋体" w:hAnsi="宋体" w:eastAsia="宋体"/>
                <w:sz w:val="16"/>
              </w:rPr>
              <w:t>4.39</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47915">
            <w:pPr>
              <w:jc w:val="center"/>
            </w:pPr>
            <w:r>
              <w:rPr>
                <w:rFonts w:ascii="宋体" w:hAnsi="宋体" w:eastAsia="宋体"/>
                <w:sz w:val="16"/>
              </w:rPr>
              <w:t>10</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028B1A">
            <w:pPr>
              <w:jc w:val="center"/>
            </w:pPr>
            <w:r>
              <w:rPr>
                <w:rFonts w:ascii="宋体" w:hAnsi="宋体" w:eastAsia="宋体"/>
                <w:sz w:val="16"/>
              </w:rPr>
              <w:t>100.00%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1BD175">
            <w:pPr>
              <w:jc w:val="center"/>
            </w:pPr>
            <w:r>
              <w:rPr>
                <w:rFonts w:ascii="宋体" w:hAnsi="宋体" w:eastAsia="宋体"/>
                <w:sz w:val="16"/>
              </w:rPr>
              <w:t>10.00</w:t>
            </w:r>
          </w:p>
        </w:tc>
      </w:tr>
      <w:tr w14:paraId="08C1695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5A3F2F2"/>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530C3">
            <w:pPr>
              <w:jc w:val="center"/>
            </w:pPr>
            <w:r>
              <w:rPr>
                <w:rFonts w:ascii="宋体" w:hAnsi="宋体" w:eastAsia="宋体"/>
                <w:sz w:val="16"/>
              </w:rPr>
              <w:t>其中：当年财政拨款</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10068">
            <w:pPr>
              <w:jc w:val="center"/>
            </w:pPr>
            <w:r>
              <w:rPr>
                <w:rFonts w:ascii="宋体" w:hAnsi="宋体" w:eastAsia="宋体"/>
                <w:sz w:val="16"/>
              </w:rPr>
              <w:t>5.00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8C418">
            <w:pPr>
              <w:jc w:val="center"/>
            </w:pPr>
            <w:r>
              <w:rPr>
                <w:rFonts w:ascii="宋体" w:hAnsi="宋体" w:eastAsia="宋体"/>
                <w:sz w:val="16"/>
              </w:rPr>
              <w:t>4.39</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9104A">
            <w:pPr>
              <w:jc w:val="center"/>
            </w:pPr>
            <w:r>
              <w:rPr>
                <w:rFonts w:ascii="宋体" w:hAnsi="宋体" w:eastAsia="宋体"/>
                <w:sz w:val="16"/>
              </w:rPr>
              <w:t>4.39</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1C410">
            <w:pPr>
              <w:jc w:val="center"/>
            </w:pPr>
            <w:r>
              <w:rPr>
                <w:rFonts w:ascii="宋体" w:hAnsi="宋体" w:eastAsia="宋体"/>
                <w:sz w:val="16"/>
              </w:rPr>
              <w:t>—</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88E1FB">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67F1FC2">
            <w:pPr>
              <w:jc w:val="center"/>
            </w:pPr>
            <w:r>
              <w:rPr>
                <w:rFonts w:ascii="宋体" w:hAnsi="宋体" w:eastAsia="宋体"/>
                <w:sz w:val="16"/>
              </w:rPr>
              <w:t>—</w:t>
            </w:r>
          </w:p>
        </w:tc>
      </w:tr>
      <w:tr w14:paraId="4E1FD4A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85D4EC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D207B">
            <w:pPr>
              <w:jc w:val="center"/>
            </w:pPr>
            <w:r>
              <w:rPr>
                <w:rFonts w:ascii="宋体" w:hAnsi="宋体" w:eastAsia="宋体"/>
                <w:sz w:val="16"/>
              </w:rPr>
              <w:t xml:space="preserve">  其他资金</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BEDFC">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422A6">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0E135">
            <w:pPr>
              <w:jc w:val="center"/>
            </w:pPr>
            <w:r>
              <w:rPr>
                <w:rFonts w:ascii="宋体" w:hAnsi="宋体" w:eastAsia="宋体"/>
                <w:sz w:val="16"/>
              </w:rPr>
              <w:t>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DDE2D">
            <w:pPr>
              <w:jc w:val="center"/>
            </w:pPr>
            <w:r>
              <w:rPr>
                <w:rFonts w:ascii="宋体" w:hAnsi="宋体" w:eastAsia="宋体"/>
                <w:sz w:val="16"/>
              </w:rPr>
              <w:t>—</w:t>
            </w:r>
          </w:p>
        </w:tc>
        <w:tc>
          <w:tcPr>
            <w:tcW w:w="124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735A1B">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C8FAD3">
            <w:pPr>
              <w:jc w:val="center"/>
            </w:pPr>
            <w:r>
              <w:rPr>
                <w:rFonts w:ascii="宋体" w:hAnsi="宋体" w:eastAsia="宋体"/>
                <w:sz w:val="16"/>
              </w:rPr>
              <w:t>—</w:t>
            </w:r>
          </w:p>
        </w:tc>
      </w:tr>
      <w:tr w14:paraId="1F11A078">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ADCAC">
            <w:pPr>
              <w:jc w:val="center"/>
            </w:pPr>
            <w:r>
              <w:rPr>
                <w:rFonts w:ascii="宋体" w:hAnsi="宋体" w:eastAsia="宋体"/>
                <w:sz w:val="16"/>
              </w:rPr>
              <w:t>年度总体目标</w:t>
            </w:r>
          </w:p>
        </w:tc>
        <w:tc>
          <w:tcPr>
            <w:tcW w:w="46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F857D5">
            <w:pPr>
              <w:jc w:val="center"/>
            </w:pPr>
            <w:r>
              <w:rPr>
                <w:rFonts w:ascii="宋体" w:hAnsi="宋体" w:eastAsia="宋体"/>
                <w:sz w:val="16"/>
              </w:rPr>
              <w:t>预期目标</w:t>
            </w:r>
          </w:p>
        </w:tc>
        <w:tc>
          <w:tcPr>
            <w:tcW w:w="38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485A68">
            <w:pPr>
              <w:jc w:val="center"/>
            </w:pPr>
            <w:r>
              <w:rPr>
                <w:rFonts w:ascii="宋体" w:hAnsi="宋体" w:eastAsia="宋体"/>
                <w:sz w:val="16"/>
              </w:rPr>
              <w:t>实际完成情况</w:t>
            </w:r>
          </w:p>
        </w:tc>
      </w:tr>
      <w:tr w14:paraId="446E2B8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C8279E8"/>
        </w:tc>
        <w:tc>
          <w:tcPr>
            <w:tcW w:w="46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168E15">
            <w:pPr>
              <w:jc w:val="both"/>
            </w:pPr>
            <w:r>
              <w:rPr>
                <w:rFonts w:ascii="宋体" w:hAnsi="宋体" w:eastAsia="宋体"/>
                <w:sz w:val="16"/>
              </w:rPr>
              <w:t>对全州规模以上工业企业的工艺水平,能效水平，用能设备，能源计量器具等能源利用管理有问题的企业，通过专家问诊督导等形式，进行节能督促指导社会化服务20次以上,提高企业节能意识和能效水平</w:t>
            </w:r>
            <w:r>
              <w:rPr>
                <w:rFonts w:hint="eastAsia" w:ascii="宋体" w:hAnsi="宋体"/>
                <w:sz w:val="16"/>
                <w:lang w:eastAsia="zh-CN"/>
              </w:rPr>
              <w:t>。</w:t>
            </w:r>
          </w:p>
        </w:tc>
        <w:tc>
          <w:tcPr>
            <w:tcW w:w="38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4D80F1">
            <w:pPr>
              <w:jc w:val="both"/>
            </w:pPr>
            <w:r>
              <w:rPr>
                <w:rFonts w:ascii="宋体" w:hAnsi="宋体" w:eastAsia="宋体"/>
                <w:sz w:val="16"/>
              </w:rPr>
              <w:t>截至2024年12月31日，该项目实际完成节能督导服务企业20次、企业能耗问题100%解决、节能督导服务按要求完成；通过</w:t>
            </w:r>
            <w:r>
              <w:rPr>
                <w:rFonts w:hint="eastAsia" w:ascii="宋体" w:hAnsi="宋体"/>
                <w:sz w:val="16"/>
                <w:lang w:eastAsia="zh-CN"/>
              </w:rPr>
              <w:t>该项</w:t>
            </w:r>
            <w:r>
              <w:rPr>
                <w:rFonts w:ascii="宋体" w:hAnsi="宋体" w:eastAsia="宋体"/>
                <w:sz w:val="16"/>
              </w:rPr>
              <w:t>目的实施，提升了全州企业节能意识和能效管理水平，促进了全州节能工作的推进，为能源节能工作夯实了基础。</w:t>
            </w:r>
          </w:p>
        </w:tc>
      </w:tr>
      <w:tr w14:paraId="62564199">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5BBFF02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AF8A83">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51404B">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038F310">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9446A17">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53271F">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7E90CB">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5C1A9C">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5E6175">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E94ADB4">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49FB30">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040E72">
            <w:pPr>
              <w:jc w:val="center"/>
            </w:pPr>
            <w:r>
              <w:rPr>
                <w:rFonts w:ascii="宋体" w:hAnsi="宋体" w:eastAsia="宋体"/>
                <w:sz w:val="16"/>
              </w:rPr>
              <w:t>赋分规则</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F0B1F">
            <w:pPr>
              <w:jc w:val="center"/>
            </w:pPr>
            <w:r>
              <w:rPr>
                <w:rFonts w:ascii="宋体" w:hAnsi="宋体" w:eastAsia="宋体"/>
                <w:sz w:val="16"/>
              </w:rPr>
              <w:t>佐证资料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2338D7">
            <w:pPr>
              <w:jc w:val="center"/>
            </w:pPr>
            <w:r>
              <w:rPr>
                <w:rFonts w:ascii="宋体" w:hAnsi="宋体" w:eastAsia="宋体"/>
                <w:sz w:val="16"/>
              </w:rPr>
              <w:t>偏差原因分析及改进措施</w:t>
            </w:r>
          </w:p>
        </w:tc>
      </w:tr>
      <w:tr w14:paraId="2AEF478C">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E9FBBC">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E4784">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B2A3AE0">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9E5F0C">
            <w:pPr>
              <w:jc w:val="center"/>
            </w:pPr>
            <w:r>
              <w:rPr>
                <w:rFonts w:ascii="宋体" w:hAnsi="宋体" w:eastAsia="宋体"/>
                <w:sz w:val="16"/>
              </w:rPr>
              <w:t>节能督导服务企业数量</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92FC883">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FEDAC8">
            <w:pPr>
              <w:jc w:val="center"/>
            </w:pPr>
            <w:r>
              <w:rPr>
                <w:rFonts w:ascii="宋体" w:hAnsi="宋体" w:eastAsia="宋体"/>
                <w:sz w:val="16"/>
              </w:rPr>
              <w:t>&gt;=20次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FCF742">
            <w:pPr>
              <w:jc w:val="center"/>
            </w:pPr>
            <w:r>
              <w:rPr>
                <w:rFonts w:ascii="宋体" w:hAnsi="宋体" w:eastAsia="宋体"/>
                <w:sz w:val="16"/>
              </w:rPr>
              <w:t>=20次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FB476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73E355">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C7A55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76AF55">
            <w:pPr>
              <w:jc w:val="center"/>
            </w:pPr>
            <w:r>
              <w:rPr>
                <w:rFonts w:ascii="宋体" w:hAnsi="宋体" w:eastAsia="宋体"/>
                <w:sz w:val="16"/>
              </w:rPr>
              <w:t>70%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BA6A27">
            <w:pPr>
              <w:jc w:val="center"/>
            </w:pPr>
            <w:r>
              <w:rPr>
                <w:rFonts w:ascii="宋体" w:hAnsi="宋体" w:eastAsia="宋体"/>
                <w:sz w:val="16"/>
              </w:rPr>
              <w:t>按照完成比例赋分</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AB462">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092A90">
            <w:pPr>
              <w:jc w:val="center"/>
            </w:pPr>
          </w:p>
        </w:tc>
      </w:tr>
      <w:tr w14:paraId="04A5E12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425BEC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283417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6D12334">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D90D01">
            <w:pPr>
              <w:jc w:val="center"/>
            </w:pPr>
            <w:r>
              <w:rPr>
                <w:rFonts w:ascii="宋体" w:hAnsi="宋体" w:eastAsia="宋体"/>
                <w:sz w:val="16"/>
              </w:rPr>
              <w:t>企业能耗问题解决率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87C95E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04814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0BC46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DFBBA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11EEE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14F19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8D9CD7">
            <w:pPr>
              <w:jc w:val="center"/>
            </w:pPr>
            <w:r>
              <w:rPr>
                <w:rFonts w:ascii="宋体" w:hAnsi="宋体" w:eastAsia="宋体"/>
                <w:sz w:val="16"/>
              </w:rPr>
              <w:t>70%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4932BB">
            <w:pPr>
              <w:jc w:val="center"/>
            </w:pPr>
            <w:r>
              <w:rPr>
                <w:rFonts w:ascii="宋体" w:hAnsi="宋体" w:eastAsia="宋体"/>
                <w:sz w:val="16"/>
              </w:rPr>
              <w:t>按照完成比例赋分</w:t>
            </w:r>
          </w:p>
        </w:tc>
        <w:tc>
          <w:tcPr>
            <w:tcW w:w="6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9078F">
            <w:pPr>
              <w:jc w:val="center"/>
            </w:pPr>
            <w:r>
              <w:rPr>
                <w:rFonts w:ascii="宋体" w:hAnsi="宋体" w:eastAsia="宋体"/>
                <w:sz w:val="16"/>
              </w:rPr>
              <w:t>工作资料</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385477">
            <w:pPr>
              <w:jc w:val="center"/>
            </w:pPr>
          </w:p>
        </w:tc>
      </w:tr>
      <w:tr w14:paraId="6090FA1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78F951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4642A7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B79DBB6">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4FD8021">
            <w:pPr>
              <w:jc w:val="center"/>
            </w:pPr>
            <w:r>
              <w:rPr>
                <w:rFonts w:ascii="宋体" w:hAnsi="宋体" w:eastAsia="宋体"/>
                <w:sz w:val="16"/>
              </w:rPr>
              <w:t>节能督导服务按计划完成率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40A6C4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ED984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1F452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06A78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E2BCA9">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40FC45">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AB211D1">
            <w:pPr>
              <w:jc w:val="center"/>
            </w:pPr>
            <w:r>
              <w:rPr>
                <w:rFonts w:ascii="宋体" w:hAnsi="宋体" w:eastAsia="宋体"/>
                <w:sz w:val="16"/>
              </w:rPr>
              <w:t>70%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53B245">
            <w:pPr>
              <w:jc w:val="center"/>
            </w:pPr>
            <w:r>
              <w:rPr>
                <w:rFonts w:ascii="宋体" w:hAnsi="宋体" w:eastAsia="宋体"/>
                <w:sz w:val="16"/>
              </w:rPr>
              <w:t>按照完成比例赋分</w:t>
            </w:r>
          </w:p>
        </w:tc>
        <w:tc>
          <w:tcPr>
            <w:tcW w:w="418" w:type="dxa"/>
            <w:tcBorders>
              <w:top w:val="single" w:color="auto" w:sz="10" w:space="0"/>
              <w:left w:val="single" w:color="auto" w:sz="10" w:space="0"/>
              <w:bottom w:val="single" w:color="auto" w:sz="10" w:space="0"/>
              <w:right w:val="single" w:color="auto" w:sz="10" w:space="0"/>
              <w:insideV w:val="single" w:sz="10" w:space="0"/>
            </w:tcBorders>
            <w:vAlign w:val="center"/>
          </w:tcPr>
          <w:p w14:paraId="2BA0D5B9">
            <w:pPr>
              <w:jc w:val="center"/>
            </w:pPr>
            <w:r>
              <w:rPr>
                <w:rFonts w:ascii="宋体" w:hAnsi="宋体" w:eastAsia="宋体"/>
                <w:sz w:val="16"/>
              </w:rPr>
              <w:t>工作资料</w:t>
            </w:r>
          </w:p>
        </w:tc>
        <w:tc>
          <w:tcPr>
            <w:tcW w:w="8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ED545">
            <w:pPr>
              <w:jc w:val="center"/>
            </w:pPr>
          </w:p>
        </w:tc>
      </w:tr>
      <w:tr w14:paraId="4873552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C0A17FE"/>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F4BCB">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94462">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7092F09">
            <w:pPr>
              <w:jc w:val="center"/>
            </w:pPr>
            <w:r>
              <w:rPr>
                <w:rFonts w:ascii="宋体" w:hAnsi="宋体" w:eastAsia="宋体"/>
                <w:sz w:val="16"/>
              </w:rPr>
              <w:t>节能督促指导专家服务工作经费</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24B20C0">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B9E6A5">
            <w:pPr>
              <w:jc w:val="center"/>
            </w:pPr>
            <w:r>
              <w:rPr>
                <w:rFonts w:ascii="宋体" w:hAnsi="宋体" w:eastAsia="宋体"/>
                <w:sz w:val="16"/>
              </w:rPr>
              <w:t>&lt;=2.5万元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106584E">
            <w:pPr>
              <w:jc w:val="center"/>
            </w:pPr>
            <w:r>
              <w:rPr>
                <w:rFonts w:ascii="宋体" w:hAnsi="宋体" w:eastAsia="宋体"/>
                <w:sz w:val="16"/>
              </w:rPr>
              <w:t>=2.5万元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701A1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016AFF">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FD164AB">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682D546">
            <w:pPr>
              <w:jc w:val="center"/>
            </w:pPr>
            <w:r>
              <w:rPr>
                <w:rFonts w:ascii="宋体" w:hAnsi="宋体" w:eastAsia="宋体"/>
                <w:sz w:val="16"/>
              </w:rPr>
              <w:t>25.5%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C1D4C1A">
            <w:pPr>
              <w:jc w:val="center"/>
            </w:pPr>
            <w:r>
              <w:rPr>
                <w:rFonts w:ascii="宋体" w:hAnsi="宋体" w:eastAsia="宋体"/>
                <w:sz w:val="16"/>
              </w:rPr>
              <w:t>按照完成比例赋分</w:t>
            </w:r>
          </w:p>
        </w:tc>
        <w:tc>
          <w:tcPr>
            <w:tcW w:w="418" w:type="dxa"/>
            <w:tcBorders>
              <w:top w:val="single" w:color="auto" w:sz="10" w:space="0"/>
              <w:left w:val="single" w:color="auto" w:sz="10" w:space="0"/>
              <w:bottom w:val="single" w:color="auto" w:sz="10" w:space="0"/>
              <w:right w:val="single" w:color="auto" w:sz="10" w:space="0"/>
              <w:insideV w:val="single" w:sz="10" w:space="0"/>
            </w:tcBorders>
            <w:vAlign w:val="center"/>
          </w:tcPr>
          <w:p w14:paraId="1E488037">
            <w:pPr>
              <w:jc w:val="center"/>
            </w:pPr>
            <w:r>
              <w:rPr>
                <w:rFonts w:ascii="宋体" w:hAnsi="宋体" w:eastAsia="宋体"/>
                <w:sz w:val="16"/>
              </w:rPr>
              <w:t>原始凭证</w:t>
            </w:r>
          </w:p>
        </w:tc>
        <w:tc>
          <w:tcPr>
            <w:tcW w:w="8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40B80">
            <w:pPr>
              <w:jc w:val="center"/>
            </w:pPr>
          </w:p>
        </w:tc>
      </w:tr>
      <w:tr w14:paraId="7857744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558EB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ABD752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C6B3AB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D4EDAA">
            <w:pPr>
              <w:jc w:val="center"/>
            </w:pPr>
            <w:r>
              <w:rPr>
                <w:rFonts w:ascii="宋体" w:hAnsi="宋体" w:eastAsia="宋体"/>
                <w:sz w:val="16"/>
              </w:rPr>
              <w:t>节能督促指导服务工作材料及差旅费</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78552F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21273A">
            <w:pPr>
              <w:jc w:val="center"/>
            </w:pPr>
            <w:r>
              <w:rPr>
                <w:rFonts w:ascii="宋体" w:hAnsi="宋体" w:eastAsia="宋体"/>
                <w:sz w:val="16"/>
              </w:rPr>
              <w:t>&lt;=1.89万元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A16593">
            <w:pPr>
              <w:jc w:val="center"/>
            </w:pPr>
            <w:r>
              <w:rPr>
                <w:rFonts w:ascii="宋体" w:hAnsi="宋体" w:eastAsia="宋体"/>
                <w:sz w:val="16"/>
              </w:rPr>
              <w:t>=1.89万元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C50E8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97C7D3">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B48DA1">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71CE7E">
            <w:pPr>
              <w:jc w:val="center"/>
            </w:pPr>
            <w:r>
              <w:rPr>
                <w:rFonts w:ascii="宋体" w:hAnsi="宋体" w:eastAsia="宋体"/>
                <w:sz w:val="16"/>
              </w:rPr>
              <w:t>2.8%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CC805D">
            <w:pPr>
              <w:jc w:val="center"/>
            </w:pPr>
            <w:r>
              <w:rPr>
                <w:rFonts w:ascii="宋体" w:hAnsi="宋体" w:eastAsia="宋体"/>
                <w:sz w:val="16"/>
              </w:rPr>
              <w:t>按照完成比例赋分</w:t>
            </w:r>
          </w:p>
        </w:tc>
        <w:tc>
          <w:tcPr>
            <w:tcW w:w="418" w:type="dxa"/>
            <w:tcBorders>
              <w:top w:val="single" w:color="auto" w:sz="10" w:space="0"/>
              <w:left w:val="single" w:color="auto" w:sz="10" w:space="0"/>
              <w:bottom w:val="single" w:color="auto" w:sz="10" w:space="0"/>
              <w:right w:val="single" w:color="auto" w:sz="10" w:space="0"/>
              <w:insideV w:val="single" w:sz="10" w:space="0"/>
            </w:tcBorders>
            <w:vAlign w:val="center"/>
          </w:tcPr>
          <w:p w14:paraId="40CA848E">
            <w:pPr>
              <w:jc w:val="center"/>
            </w:pPr>
            <w:r>
              <w:rPr>
                <w:rFonts w:ascii="宋体" w:hAnsi="宋体" w:eastAsia="宋体"/>
                <w:sz w:val="16"/>
              </w:rPr>
              <w:t>原始凭证</w:t>
            </w:r>
          </w:p>
        </w:tc>
        <w:tc>
          <w:tcPr>
            <w:tcW w:w="8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7679F">
            <w:pPr>
              <w:jc w:val="center"/>
            </w:pPr>
          </w:p>
        </w:tc>
      </w:tr>
      <w:tr w14:paraId="6061794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DB76D74"/>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E5BAA9">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813381">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589052">
            <w:pPr>
              <w:jc w:val="center"/>
            </w:pPr>
            <w:r>
              <w:rPr>
                <w:rFonts w:ascii="宋体" w:hAnsi="宋体" w:eastAsia="宋体"/>
                <w:sz w:val="16"/>
              </w:rPr>
              <w:t>增强节能意识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31FCA3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066AE4">
            <w:pPr>
              <w:jc w:val="center"/>
            </w:pPr>
            <w:r>
              <w:rPr>
                <w:rFonts w:ascii="宋体" w:hAnsi="宋体" w:eastAsia="宋体"/>
                <w:sz w:val="16"/>
              </w:rPr>
              <w:t>有效增强</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146B6D">
            <w:pPr>
              <w:jc w:val="center"/>
            </w:pPr>
            <w:r>
              <w:rPr>
                <w:rFonts w:ascii="宋体" w:hAnsi="宋体" w:eastAsia="宋体"/>
                <w:sz w:val="16"/>
              </w:rPr>
              <w:t>达到预期效果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DE536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EDB4F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7C5430">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AE1F055">
            <w:pPr>
              <w:jc w:val="center"/>
            </w:pPr>
            <w:r>
              <w:rPr>
                <w:rFonts w:ascii="宋体" w:hAnsi="宋体" w:eastAsia="宋体"/>
                <w:sz w:val="16"/>
              </w:rPr>
              <w:t>80%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BC2C45">
            <w:pPr>
              <w:jc w:val="center"/>
            </w:pPr>
            <w:r>
              <w:rPr>
                <w:rFonts w:ascii="宋体" w:hAnsi="宋体" w:eastAsia="宋体"/>
                <w:sz w:val="16"/>
              </w:rPr>
              <w:t>按评判等级赋分</w:t>
            </w:r>
          </w:p>
        </w:tc>
        <w:tc>
          <w:tcPr>
            <w:tcW w:w="418" w:type="dxa"/>
            <w:tcBorders>
              <w:top w:val="single" w:color="auto" w:sz="10" w:space="0"/>
              <w:left w:val="single" w:color="auto" w:sz="10" w:space="0"/>
              <w:bottom w:val="single" w:color="auto" w:sz="10" w:space="0"/>
              <w:right w:val="single" w:color="auto" w:sz="10" w:space="0"/>
              <w:insideV w:val="single" w:sz="10" w:space="0"/>
            </w:tcBorders>
            <w:vAlign w:val="center"/>
          </w:tcPr>
          <w:p w14:paraId="2D83E1C2">
            <w:pPr>
              <w:jc w:val="center"/>
            </w:pPr>
            <w:r>
              <w:rPr>
                <w:rFonts w:ascii="宋体" w:hAnsi="宋体" w:eastAsia="宋体"/>
                <w:sz w:val="16"/>
              </w:rPr>
              <w:t>工作资料</w:t>
            </w:r>
          </w:p>
        </w:tc>
        <w:tc>
          <w:tcPr>
            <w:tcW w:w="8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4A4F9">
            <w:pPr>
              <w:jc w:val="center"/>
            </w:pPr>
          </w:p>
        </w:tc>
      </w:tr>
      <w:tr w14:paraId="1B0C3ED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E00C4B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3B1328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7D0DEC">
            <w:pPr>
              <w:jc w:val="center"/>
            </w:pPr>
            <w:r>
              <w:rPr>
                <w:rFonts w:ascii="宋体" w:hAnsi="宋体" w:eastAsia="宋体"/>
                <w:sz w:val="16"/>
              </w:rPr>
              <w:t>生态效益指标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9499E4">
            <w:pPr>
              <w:jc w:val="center"/>
            </w:pPr>
            <w:r>
              <w:rPr>
                <w:rFonts w:ascii="宋体" w:hAnsi="宋体" w:eastAsia="宋体"/>
                <w:sz w:val="16"/>
              </w:rPr>
              <w:t>提高企业能效水平</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07F016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ECCECC">
            <w:pPr>
              <w:jc w:val="center"/>
            </w:pPr>
            <w:r>
              <w:rPr>
                <w:rFonts w:ascii="宋体" w:hAnsi="宋体" w:eastAsia="宋体"/>
                <w:sz w:val="16"/>
              </w:rPr>
              <w:t>有效提高</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C01863">
            <w:pPr>
              <w:jc w:val="center"/>
            </w:pPr>
            <w:r>
              <w:rPr>
                <w:rFonts w:ascii="宋体" w:hAnsi="宋体" w:eastAsia="宋体"/>
                <w:sz w:val="16"/>
              </w:rPr>
              <w:t>达到预期效果</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38BF7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ED96D4">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D0D49D">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602CDA2">
            <w:pPr>
              <w:jc w:val="center"/>
            </w:pPr>
            <w:r>
              <w:rPr>
                <w:rFonts w:ascii="宋体" w:hAnsi="宋体" w:eastAsia="宋体"/>
                <w:sz w:val="16"/>
              </w:rPr>
              <w:t>80%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4E4B9E">
            <w:pPr>
              <w:jc w:val="center"/>
            </w:pPr>
            <w:r>
              <w:rPr>
                <w:rFonts w:ascii="宋体" w:hAnsi="宋体" w:eastAsia="宋体"/>
                <w:sz w:val="16"/>
              </w:rPr>
              <w:t>按评判等级赋分</w:t>
            </w:r>
          </w:p>
        </w:tc>
        <w:tc>
          <w:tcPr>
            <w:tcW w:w="418" w:type="dxa"/>
            <w:tcBorders>
              <w:top w:val="single" w:color="auto" w:sz="10" w:space="0"/>
              <w:left w:val="single" w:color="auto" w:sz="10" w:space="0"/>
              <w:bottom w:val="single" w:color="auto" w:sz="10" w:space="0"/>
              <w:right w:val="single" w:color="auto" w:sz="10" w:space="0"/>
              <w:insideV w:val="single" w:sz="10" w:space="0"/>
            </w:tcBorders>
            <w:vAlign w:val="center"/>
          </w:tcPr>
          <w:p w14:paraId="15DC2DBE">
            <w:pPr>
              <w:jc w:val="center"/>
            </w:pPr>
            <w:r>
              <w:rPr>
                <w:rFonts w:ascii="宋体" w:hAnsi="宋体" w:eastAsia="宋体"/>
                <w:sz w:val="16"/>
              </w:rPr>
              <w:t>工作资料</w:t>
            </w:r>
          </w:p>
        </w:tc>
        <w:tc>
          <w:tcPr>
            <w:tcW w:w="8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F5A87">
            <w:pPr>
              <w:jc w:val="center"/>
            </w:pPr>
          </w:p>
        </w:tc>
      </w:tr>
      <w:tr w14:paraId="2B44390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C5D806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A85C4D4">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88AA840">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58A0EF">
            <w:pPr>
              <w:jc w:val="center"/>
            </w:pPr>
            <w:r>
              <w:rPr>
                <w:rFonts w:ascii="宋体" w:hAnsi="宋体" w:eastAsia="宋体"/>
                <w:sz w:val="16"/>
              </w:rPr>
              <w:t>企业对节能服务工作满意度</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35800B6">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AD9506">
            <w:pPr>
              <w:jc w:val="center"/>
            </w:pPr>
            <w:r>
              <w:rPr>
                <w:rFonts w:ascii="宋体" w:hAnsi="宋体" w:eastAsia="宋体"/>
                <w:sz w:val="16"/>
              </w:rPr>
              <w:t>&gt;=95%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F930F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A28D3B">
            <w:pPr>
              <w:jc w:val="center"/>
            </w:pPr>
            <w:r>
              <w:rPr>
                <w:rFonts w:ascii="宋体" w:hAnsi="宋体" w:eastAsia="宋体"/>
                <w:sz w:val="16"/>
              </w:rPr>
              <w:t>105.26%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E3A297">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A361C9">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AE7A410">
            <w:pPr>
              <w:jc w:val="center"/>
            </w:pPr>
            <w:r>
              <w:rPr>
                <w:rFonts w:ascii="宋体" w:hAnsi="宋体" w:eastAsia="宋体"/>
                <w:sz w:val="16"/>
              </w:rPr>
              <w:t>80%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B4C1DFA">
            <w:pPr>
              <w:jc w:val="center"/>
            </w:pPr>
            <w:r>
              <w:rPr>
                <w:rFonts w:ascii="宋体" w:hAnsi="宋体" w:eastAsia="宋体"/>
                <w:sz w:val="16"/>
              </w:rPr>
              <w:t>满意度赋分</w:t>
            </w:r>
          </w:p>
        </w:tc>
        <w:tc>
          <w:tcPr>
            <w:tcW w:w="418" w:type="dxa"/>
            <w:tcBorders>
              <w:top w:val="single" w:color="auto" w:sz="10" w:space="0"/>
              <w:left w:val="single" w:color="auto" w:sz="10" w:space="0"/>
              <w:bottom w:val="single" w:color="auto" w:sz="10" w:space="0"/>
              <w:right w:val="single" w:color="auto" w:sz="10" w:space="0"/>
              <w:insideV w:val="single" w:sz="10" w:space="0"/>
            </w:tcBorders>
            <w:vAlign w:val="center"/>
          </w:tcPr>
          <w:p w14:paraId="5D849C48">
            <w:pPr>
              <w:jc w:val="center"/>
            </w:pPr>
            <w:r>
              <w:rPr>
                <w:rFonts w:ascii="宋体" w:hAnsi="宋体" w:eastAsia="宋体"/>
                <w:sz w:val="16"/>
              </w:rPr>
              <w:t>工作资料</w:t>
            </w:r>
          </w:p>
        </w:tc>
        <w:tc>
          <w:tcPr>
            <w:tcW w:w="8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9C6D1">
            <w:pPr>
              <w:jc w:val="center"/>
            </w:pPr>
            <w:r>
              <w:rPr>
                <w:rFonts w:ascii="宋体" w:hAnsi="宋体" w:eastAsia="宋体"/>
                <w:sz w:val="16"/>
              </w:rPr>
              <w:t>企业对节能服务比较满意，并为企业提供可靠的指导意见，同时年初制定目标较低。</w:t>
            </w:r>
          </w:p>
        </w:tc>
      </w:tr>
      <w:tr w14:paraId="314F22F8">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B78327">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1F66FB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62E47BE"/>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B775F8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DDE8201"/>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EA494C">
            <w:pPr>
              <w:jc w:val="center"/>
            </w:pPr>
            <w:r>
              <w:rPr>
                <w:rFonts w:ascii="宋体" w:hAnsi="宋体" w:eastAsia="宋体"/>
                <w:sz w:val="16"/>
              </w:rPr>
              <w:t>100.00分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3FCC28E8"/>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FEAC9C2"/>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C7A4D4C"/>
        </w:tc>
        <w:tc>
          <w:tcPr>
            <w:tcW w:w="418" w:type="dxa"/>
            <w:tcBorders>
              <w:top w:val="single" w:color="auto" w:sz="10" w:space="0"/>
              <w:left w:val="single" w:color="auto" w:sz="10" w:space="0"/>
              <w:bottom w:val="single" w:color="auto" w:sz="10" w:space="0"/>
              <w:right w:val="single" w:color="auto" w:sz="10" w:space="0"/>
              <w:insideV w:val="single" w:sz="10" w:space="0"/>
            </w:tcBorders>
          </w:tcPr>
          <w:p w14:paraId="2134A05B"/>
        </w:tc>
        <w:tc>
          <w:tcPr>
            <w:tcW w:w="837" w:type="dxa"/>
            <w:gridSpan w:val="2"/>
            <w:tcBorders>
              <w:top w:val="single" w:color="auto" w:sz="10" w:space="0"/>
              <w:left w:val="single" w:color="auto" w:sz="10" w:space="0"/>
              <w:bottom w:val="single" w:color="auto" w:sz="10" w:space="0"/>
              <w:right w:val="single" w:color="auto" w:sz="10" w:space="0"/>
              <w:insideV w:val="single" w:sz="10" w:space="0"/>
            </w:tcBorders>
          </w:tcPr>
          <w:p w14:paraId="4C885F8C"/>
        </w:tc>
      </w:tr>
    </w:tbl>
    <w:p w14:paraId="790CD59C">
      <w:r>
        <w:br w:type="page"/>
      </w:r>
    </w:p>
    <w:p w14:paraId="6E440635">
      <w:pPr>
        <w:spacing w:line="640" w:lineRule="exact"/>
        <w:ind w:firstLine="640"/>
        <w:jc w:val="both"/>
        <w:outlineLvl w:val="2"/>
      </w:pPr>
      <w:r>
        <w:rPr>
          <w:rFonts w:ascii="黑体" w:hAnsi="黑体" w:eastAsia="黑体"/>
          <w:sz w:val="32"/>
        </w:rPr>
        <w:t>十二、其他需说明的事项</w:t>
      </w:r>
    </w:p>
    <w:p w14:paraId="5FC6DDCD">
      <w:pPr>
        <w:spacing w:line="580" w:lineRule="exact"/>
        <w:ind w:firstLine="640"/>
        <w:jc w:val="both"/>
      </w:pPr>
      <w:r>
        <w:rPr>
          <w:rFonts w:ascii="仿宋_GB2312" w:hAnsi="仿宋_GB2312" w:eastAsia="仿宋_GB2312"/>
          <w:b w:val="0"/>
          <w:sz w:val="32"/>
        </w:rPr>
        <w:t>本单位无其他需说明的事项。</w:t>
      </w:r>
    </w:p>
    <w:p w14:paraId="35C57007">
      <w:r>
        <w:br w:type="page"/>
      </w:r>
    </w:p>
    <w:p w14:paraId="2ECE9B1B">
      <w:pPr>
        <w:spacing w:line="240" w:lineRule="auto"/>
        <w:jc w:val="center"/>
        <w:outlineLvl w:val="1"/>
      </w:pPr>
      <w:r>
        <w:rPr>
          <w:rFonts w:ascii="黑体" w:hAnsi="黑体" w:eastAsia="黑体"/>
          <w:sz w:val="32"/>
        </w:rPr>
        <w:t>第三部分 专业名词解释</w:t>
      </w:r>
    </w:p>
    <w:p w14:paraId="2157798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B8138A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C987EF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EE5EA5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B9B001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2AA12F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EE1662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648D50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83402C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5E5EDC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697FD7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0428DB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DA5BAE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0B738C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E763F20">
      <w:r>
        <w:br w:type="page"/>
      </w:r>
    </w:p>
    <w:p w14:paraId="560F1016">
      <w:pPr>
        <w:spacing w:line="240" w:lineRule="auto"/>
        <w:jc w:val="center"/>
        <w:outlineLvl w:val="1"/>
      </w:pPr>
      <w:r>
        <w:rPr>
          <w:rFonts w:ascii="黑体" w:hAnsi="黑体" w:eastAsia="黑体"/>
          <w:sz w:val="32"/>
        </w:rPr>
        <w:t>第四部分 部门决算报表（见附表）</w:t>
      </w:r>
    </w:p>
    <w:p w14:paraId="1C76EDCA">
      <w:pPr>
        <w:spacing w:line="240" w:lineRule="auto"/>
        <w:ind w:firstLine="640"/>
        <w:jc w:val="both"/>
      </w:pPr>
      <w:r>
        <w:rPr>
          <w:rFonts w:ascii="仿宋_GB2312" w:hAnsi="仿宋_GB2312" w:eastAsia="仿宋_GB2312"/>
          <w:b w:val="0"/>
          <w:sz w:val="32"/>
        </w:rPr>
        <w:t>一、《收入支出决算总表》</w:t>
      </w:r>
    </w:p>
    <w:p w14:paraId="7EC44D7C">
      <w:pPr>
        <w:spacing w:line="240" w:lineRule="auto"/>
        <w:ind w:firstLine="640"/>
        <w:jc w:val="both"/>
      </w:pPr>
      <w:r>
        <w:rPr>
          <w:rFonts w:ascii="仿宋_GB2312" w:hAnsi="仿宋_GB2312" w:eastAsia="仿宋_GB2312"/>
          <w:b w:val="0"/>
          <w:sz w:val="32"/>
        </w:rPr>
        <w:t>二、《收入决算表》</w:t>
      </w:r>
    </w:p>
    <w:p w14:paraId="65757844">
      <w:pPr>
        <w:spacing w:line="240" w:lineRule="auto"/>
        <w:ind w:firstLine="640"/>
        <w:jc w:val="both"/>
      </w:pPr>
      <w:r>
        <w:rPr>
          <w:rFonts w:ascii="仿宋_GB2312" w:hAnsi="仿宋_GB2312" w:eastAsia="仿宋_GB2312"/>
          <w:b w:val="0"/>
          <w:sz w:val="32"/>
        </w:rPr>
        <w:t>三、《支出决算表》</w:t>
      </w:r>
    </w:p>
    <w:p w14:paraId="0E37291C">
      <w:pPr>
        <w:spacing w:line="240" w:lineRule="auto"/>
        <w:ind w:firstLine="640"/>
        <w:jc w:val="both"/>
      </w:pPr>
      <w:r>
        <w:rPr>
          <w:rFonts w:ascii="仿宋_GB2312" w:hAnsi="仿宋_GB2312" w:eastAsia="仿宋_GB2312"/>
          <w:b w:val="0"/>
          <w:sz w:val="32"/>
        </w:rPr>
        <w:t>四、《财政拨款收入支出决算总表》</w:t>
      </w:r>
    </w:p>
    <w:p w14:paraId="50FF0A95">
      <w:pPr>
        <w:spacing w:line="240" w:lineRule="auto"/>
        <w:ind w:firstLine="640"/>
        <w:jc w:val="both"/>
      </w:pPr>
      <w:r>
        <w:rPr>
          <w:rFonts w:ascii="仿宋_GB2312" w:hAnsi="仿宋_GB2312" w:eastAsia="仿宋_GB2312"/>
          <w:b w:val="0"/>
          <w:sz w:val="32"/>
        </w:rPr>
        <w:t>五、《一般公共预算财政拨款支出决算表》</w:t>
      </w:r>
    </w:p>
    <w:p w14:paraId="04652079">
      <w:pPr>
        <w:spacing w:line="240" w:lineRule="auto"/>
        <w:ind w:firstLine="640"/>
        <w:jc w:val="both"/>
      </w:pPr>
      <w:r>
        <w:rPr>
          <w:rFonts w:ascii="仿宋_GB2312" w:hAnsi="仿宋_GB2312" w:eastAsia="仿宋_GB2312"/>
          <w:b w:val="0"/>
          <w:sz w:val="32"/>
        </w:rPr>
        <w:t>六、《一般公共预算财政拨款基本支出决算表》</w:t>
      </w:r>
    </w:p>
    <w:p w14:paraId="2791FF98">
      <w:pPr>
        <w:spacing w:line="240" w:lineRule="auto"/>
        <w:ind w:firstLine="640"/>
        <w:jc w:val="both"/>
      </w:pPr>
      <w:r>
        <w:rPr>
          <w:rFonts w:ascii="仿宋_GB2312" w:hAnsi="仿宋_GB2312" w:eastAsia="仿宋_GB2312"/>
          <w:b w:val="0"/>
          <w:sz w:val="32"/>
        </w:rPr>
        <w:t>七、《政府性基金预算财政拨款收入支出决算表》</w:t>
      </w:r>
    </w:p>
    <w:p w14:paraId="0D095743">
      <w:pPr>
        <w:spacing w:line="240" w:lineRule="auto"/>
        <w:ind w:firstLine="640"/>
        <w:jc w:val="both"/>
      </w:pPr>
      <w:r>
        <w:rPr>
          <w:rFonts w:ascii="仿宋_GB2312" w:hAnsi="仿宋_GB2312" w:eastAsia="仿宋_GB2312"/>
          <w:b w:val="0"/>
          <w:sz w:val="32"/>
        </w:rPr>
        <w:t>八、《国有资本经营预算财政拨款收入支出决算表》</w:t>
      </w:r>
    </w:p>
    <w:p w14:paraId="22FB7B0D">
      <w:pPr>
        <w:spacing w:line="240" w:lineRule="auto"/>
        <w:ind w:firstLine="640"/>
        <w:jc w:val="both"/>
      </w:pPr>
      <w:r>
        <w:rPr>
          <w:rFonts w:ascii="仿宋_GB2312" w:hAnsi="仿宋_GB2312" w:eastAsia="仿宋_GB2312"/>
          <w:b w:val="0"/>
          <w:sz w:val="32"/>
        </w:rPr>
        <w:t>九、《财政拨款“三公”经费支出决算表》</w:t>
      </w:r>
    </w:p>
    <w:p w14:paraId="2901626A">
      <w:pPr>
        <w:spacing w:line="240" w:lineRule="auto"/>
        <w:ind w:firstLine="640"/>
        <w:jc w:val="both"/>
      </w:pPr>
    </w:p>
    <w:p w14:paraId="50275697">
      <w:pPr>
        <w:spacing w:line="240" w:lineRule="auto"/>
        <w:ind w:firstLine="640"/>
        <w:jc w:val="both"/>
      </w:pPr>
    </w:p>
    <w:p w14:paraId="6D7D8DAD">
      <w:pPr>
        <w:spacing w:line="240" w:lineRule="auto"/>
        <w:ind w:firstLine="640"/>
        <w:jc w:val="both"/>
      </w:pPr>
    </w:p>
    <w:p w14:paraId="0E7E87F3">
      <w:pPr>
        <w:spacing w:line="240" w:lineRule="auto"/>
        <w:ind w:firstLine="640"/>
        <w:jc w:val="both"/>
      </w:pPr>
    </w:p>
    <w:p w14:paraId="4364675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6BA1CA-0BE9-4CAB-81F1-5D7718606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C41A59B-0F06-4F04-9DD3-D6B013BAEC90}"/>
  </w:font>
  <w:font w:name="仿宋_GB2312">
    <w:altName w:val="仿宋"/>
    <w:panose1 w:val="02010609030101010101"/>
    <w:charset w:val="86"/>
    <w:family w:val="modern"/>
    <w:pitch w:val="default"/>
    <w:sig w:usb0="00000000" w:usb1="00000000" w:usb2="00000000" w:usb3="00000000" w:csb0="00040000" w:csb1="00000000"/>
    <w:embedRegular r:id="rId3" w:fontKey="{8A3C0D28-D90D-4E9A-BDAE-E4AC9DAE8C0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EF0F489D-4754-4478-AB0A-420D1354282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9C56FE0"/>
    <w:rsid w:val="5AFC6609"/>
    <w:rsid w:val="5FA17648"/>
    <w:rsid w:val="5FD320BD"/>
    <w:rsid w:val="60DE4D57"/>
    <w:rsid w:val="613409CB"/>
    <w:rsid w:val="61A46A97"/>
    <w:rsid w:val="62DD7D21"/>
    <w:rsid w:val="65D97752"/>
    <w:rsid w:val="664C500C"/>
    <w:rsid w:val="67D111AB"/>
    <w:rsid w:val="68DB0208"/>
    <w:rsid w:val="68DF36D5"/>
    <w:rsid w:val="69846A0E"/>
    <w:rsid w:val="69AD798C"/>
    <w:rsid w:val="6B2C1EBB"/>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4834</Words>
  <Characters>5467</Characters>
  <Lines>0</Lines>
  <Paragraphs>0</Paragraphs>
  <TotalTime>3</TotalTime>
  <ScaleCrop>false</ScaleCrop>
  <LinksUpToDate>false</LinksUpToDate>
  <CharactersWithSpaces>5475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