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昌吉回族自治州粮食安全物资储备中心（价格监测认证中心）2024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F023500">
      <w:r>
        <w:br w:type="page"/>
      </w:r>
    </w:p>
    <w:p w14:paraId="417BB7B1">
      <w:pPr>
        <w:spacing w:line="640" w:lineRule="exact"/>
        <w:jc w:val="center"/>
        <w:outlineLvl w:val="1"/>
      </w:pPr>
      <w:r>
        <w:rPr>
          <w:rFonts w:ascii="黑体" w:hAnsi="黑体" w:eastAsia="黑体"/>
          <w:sz w:val="32"/>
        </w:rPr>
        <w:t>第一部分 单位概况</w:t>
      </w:r>
    </w:p>
    <w:p w14:paraId="5D2FF25E">
      <w:pPr>
        <w:spacing w:line="640" w:lineRule="exact"/>
        <w:ind w:firstLine="640"/>
        <w:jc w:val="both"/>
        <w:outlineLvl w:val="2"/>
      </w:pPr>
      <w:r>
        <w:rPr>
          <w:rFonts w:ascii="黑体" w:hAnsi="黑体" w:eastAsia="黑体"/>
          <w:sz w:val="32"/>
        </w:rPr>
        <w:t>一、主要职能</w:t>
      </w:r>
    </w:p>
    <w:p w14:paraId="2DDF2854">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依据《粮食流通管理条例》，以自治州粮食和物资储备局名义对全州粮食收购、销售、储存等经营活动进行监督检查。</w:t>
      </w:r>
    </w:p>
    <w:p w14:paraId="2AFF486F">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贯彻国家、自治区军粮供应政策；负责军粮供应规范化管理工作，统一筹措全州军供小麦粉，协调军需粮源，承担全州军粮供应网点规划、调整、维修改造工程；承担军粮财务管理、审计和监督工作。</w:t>
      </w:r>
    </w:p>
    <w:p w14:paraId="10010D2E">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组织实施自治州权限内救灾物资、食盐、食糖、棉花等关键品类储备相关工作；承担救灾物资的日常管理和应急动用出库工作。</w:t>
      </w:r>
    </w:p>
    <w:p w14:paraId="56327977">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承担自治州价格监测工作；对自治州重要商品价格进行定期采集、核实、汇总、分析，建立自治州价格监测数据库。</w:t>
      </w:r>
    </w:p>
    <w:p w14:paraId="351F0338">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接受有关机构委托，对其直接办理刑事、民事、经济和仲裁等案件的各种涉案标的价值进行认证和复合价格认证。</w:t>
      </w:r>
    </w:p>
    <w:p w14:paraId="17A923DE">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负责原五家渠粮食分局所属离退休人员管理。</w:t>
      </w:r>
    </w:p>
    <w:p w14:paraId="24E5C77C">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完成自治州发展和改革委员会交办的其他任务。</w:t>
      </w:r>
    </w:p>
    <w:p w14:paraId="434E0B56">
      <w:pPr>
        <w:spacing w:line="640" w:lineRule="exact"/>
        <w:ind w:firstLine="640"/>
        <w:jc w:val="both"/>
        <w:outlineLvl w:val="2"/>
      </w:pPr>
      <w:r>
        <w:rPr>
          <w:rFonts w:ascii="黑体" w:hAnsi="黑体" w:eastAsia="黑体"/>
          <w:sz w:val="32"/>
        </w:rPr>
        <w:t>二、机构设置及人员情况</w:t>
      </w:r>
    </w:p>
    <w:p w14:paraId="74AEF1F6">
      <w:pPr>
        <w:spacing w:line="580" w:lineRule="exact"/>
        <w:ind w:firstLine="640"/>
        <w:jc w:val="both"/>
      </w:pPr>
      <w:r>
        <w:rPr>
          <w:rFonts w:ascii="仿宋_GB2312" w:hAnsi="仿宋_GB2312" w:eastAsia="仿宋_GB2312"/>
          <w:sz w:val="32"/>
        </w:rPr>
        <w:t>昌吉回族自治州粮食安全物资储备中心（价格监测认证中心）2024年度，实有人数90人，其中：在职人员25人，增加20人；离休人员1人，增加0人；退休人员64人,增加7人。</w:t>
      </w:r>
    </w:p>
    <w:p w14:paraId="4324BE38">
      <w:pPr>
        <w:spacing w:line="580" w:lineRule="exact"/>
        <w:ind w:firstLine="640"/>
        <w:jc w:val="both"/>
      </w:pPr>
      <w:r>
        <w:rPr>
          <w:rFonts w:ascii="仿宋_GB2312" w:hAnsi="仿宋_GB2312" w:eastAsia="仿宋_GB2312"/>
          <w:sz w:val="32"/>
        </w:rPr>
        <w:t>昌吉回族自治州粮食安全物资储备中心（价格监测认证中心）无下属预算单位，下设5个科室，分别是：粮食监督科、军粮管理科、物资储备保障科、价格监测科、价格认证科。</w:t>
      </w:r>
    </w:p>
    <w:p w14:paraId="0B471F4F">
      <w:r>
        <w:br w:type="page"/>
      </w:r>
    </w:p>
    <w:p w14:paraId="05DE9CA3">
      <w:pPr>
        <w:spacing w:line="240" w:lineRule="auto"/>
        <w:jc w:val="center"/>
        <w:outlineLvl w:val="1"/>
      </w:pPr>
      <w:r>
        <w:rPr>
          <w:rFonts w:ascii="黑体" w:hAnsi="黑体" w:eastAsia="黑体"/>
          <w:sz w:val="32"/>
        </w:rPr>
        <w:t>第二部分 部门决算情况说明</w:t>
      </w:r>
    </w:p>
    <w:p w14:paraId="6B1B2B28">
      <w:pPr>
        <w:spacing w:line="640" w:lineRule="exact"/>
        <w:ind w:firstLine="640"/>
        <w:jc w:val="both"/>
        <w:outlineLvl w:val="2"/>
      </w:pPr>
      <w:r>
        <w:rPr>
          <w:rFonts w:ascii="黑体" w:hAnsi="黑体" w:eastAsia="黑体"/>
          <w:sz w:val="32"/>
        </w:rPr>
        <w:t>一、收入支出决算总体情况说明</w:t>
      </w:r>
    </w:p>
    <w:p w14:paraId="483D8F89">
      <w:pPr>
        <w:spacing w:line="580" w:lineRule="exact"/>
        <w:ind w:firstLine="640"/>
        <w:jc w:val="both"/>
      </w:pPr>
      <w:r>
        <w:rPr>
          <w:rFonts w:ascii="仿宋_GB2312" w:hAnsi="仿宋_GB2312" w:eastAsia="仿宋_GB2312"/>
          <w:b/>
          <w:sz w:val="32"/>
        </w:rPr>
        <w:t>2024年度收入总计895.76万元，</w:t>
      </w:r>
      <w:r>
        <w:rPr>
          <w:rFonts w:ascii="仿宋_GB2312" w:hAnsi="仿宋_GB2312" w:eastAsia="仿宋_GB2312"/>
          <w:b w:val="0"/>
          <w:sz w:val="32"/>
        </w:rPr>
        <w:t>其中：本年收入合计658.03万元，使用非财政拨款结余（含专用结余）0.00万元，年初结转和结余237.72万元。</w:t>
      </w:r>
    </w:p>
    <w:p w14:paraId="0D1C6B08">
      <w:pPr>
        <w:spacing w:line="580" w:lineRule="exact"/>
        <w:ind w:firstLine="640"/>
        <w:jc w:val="both"/>
      </w:pPr>
      <w:r>
        <w:rPr>
          <w:rFonts w:ascii="仿宋_GB2312" w:hAnsi="仿宋_GB2312" w:eastAsia="仿宋_GB2312"/>
          <w:b/>
          <w:sz w:val="32"/>
        </w:rPr>
        <w:t>2024年度支出总计895.76万元，</w:t>
      </w:r>
      <w:r>
        <w:rPr>
          <w:rFonts w:ascii="仿宋_GB2312" w:hAnsi="仿宋_GB2312" w:eastAsia="仿宋_GB2312"/>
          <w:b w:val="0"/>
          <w:sz w:val="32"/>
        </w:rPr>
        <w:t>其中：本年支出合计660.36万元，结余分配0.00万元，年末结转和结余235.40万元。</w:t>
      </w:r>
    </w:p>
    <w:p w14:paraId="02495FB9">
      <w:pPr>
        <w:spacing w:line="580" w:lineRule="exact"/>
        <w:ind w:firstLine="640"/>
        <w:jc w:val="both"/>
      </w:pPr>
      <w:r>
        <w:rPr>
          <w:rFonts w:ascii="仿宋_GB2312" w:hAnsi="仿宋_GB2312" w:eastAsia="仿宋_GB2312"/>
          <w:b w:val="0"/>
          <w:sz w:val="32"/>
        </w:rPr>
        <w:t>收入支出总体与上年相比，增加353.93万元，增长65.32%，主要原因是：本年机构改革，由原新疆昌吉回族自治州粮食局驻五家渠分局与昌吉回族自治州价格监测中心合并，在职人员增加，在职人员工资调增、社保、公积金基数调增，人员经费增加。本年增加粮食流通监督检查业务经费、农产品调查经费等项目。</w:t>
      </w:r>
    </w:p>
    <w:p w14:paraId="30473363">
      <w:pPr>
        <w:spacing w:line="640" w:lineRule="exact"/>
        <w:ind w:firstLine="640"/>
        <w:jc w:val="both"/>
        <w:outlineLvl w:val="2"/>
      </w:pPr>
      <w:r>
        <w:rPr>
          <w:rFonts w:ascii="黑体" w:hAnsi="黑体" w:eastAsia="黑体"/>
          <w:sz w:val="32"/>
        </w:rPr>
        <w:t>二、收入决算情况说明</w:t>
      </w:r>
    </w:p>
    <w:p w14:paraId="1F65CDDA">
      <w:pPr>
        <w:spacing w:line="580" w:lineRule="exact"/>
        <w:ind w:firstLine="640"/>
        <w:jc w:val="both"/>
      </w:pPr>
      <w:r>
        <w:rPr>
          <w:rFonts w:ascii="仿宋_GB2312" w:hAnsi="仿宋_GB2312" w:eastAsia="仿宋_GB2312"/>
          <w:b/>
          <w:sz w:val="32"/>
        </w:rPr>
        <w:t>本年收入658.03万元，</w:t>
      </w:r>
      <w:r>
        <w:rPr>
          <w:rFonts w:ascii="仿宋_GB2312" w:hAnsi="仿宋_GB2312" w:eastAsia="仿宋_GB2312"/>
          <w:b w:val="0"/>
          <w:sz w:val="32"/>
        </w:rPr>
        <w:t>其中：财政拨款收入657.61万元，占99.94%；上级补助收入0.00万元，占0.00%；事业收入0.00万元，占0.00%；经营收入0.00万元，占0.00%；附属单位上缴收入0.00万元，占0.00%；其他收入0.42万元，占0.06%。</w:t>
      </w:r>
    </w:p>
    <w:p w14:paraId="2D217B45">
      <w:pPr>
        <w:spacing w:line="640" w:lineRule="exact"/>
        <w:ind w:firstLine="640"/>
        <w:jc w:val="both"/>
        <w:outlineLvl w:val="2"/>
      </w:pPr>
      <w:r>
        <w:rPr>
          <w:rFonts w:ascii="黑体" w:hAnsi="黑体" w:eastAsia="黑体"/>
          <w:sz w:val="32"/>
        </w:rPr>
        <w:t>三、支出决算情况说明</w:t>
      </w:r>
    </w:p>
    <w:p w14:paraId="41EDB215">
      <w:pPr>
        <w:spacing w:line="580" w:lineRule="exact"/>
        <w:ind w:firstLine="640"/>
        <w:jc w:val="both"/>
      </w:pPr>
      <w:r>
        <w:rPr>
          <w:rFonts w:ascii="仿宋_GB2312" w:hAnsi="仿宋_GB2312" w:eastAsia="仿宋_GB2312"/>
          <w:b/>
          <w:sz w:val="32"/>
        </w:rPr>
        <w:t>本年支出660.36万元，</w:t>
      </w:r>
      <w:r>
        <w:rPr>
          <w:rFonts w:ascii="仿宋_GB2312" w:hAnsi="仿宋_GB2312" w:eastAsia="仿宋_GB2312"/>
          <w:b w:val="0"/>
          <w:sz w:val="32"/>
        </w:rPr>
        <w:t>其中：基本支出642.64万元，占97.32%；项目支出17.72万元，占2.68%；上缴上级支出0.00万元，占0.00%；经营支出0.00万元，占0.00%；对附属单位补助支出0.00万元，占0.00%。</w:t>
      </w:r>
    </w:p>
    <w:p w14:paraId="502E27AC">
      <w:pPr>
        <w:spacing w:line="640" w:lineRule="exact"/>
        <w:ind w:firstLine="640"/>
        <w:jc w:val="both"/>
        <w:outlineLvl w:val="2"/>
      </w:pPr>
      <w:r>
        <w:rPr>
          <w:rFonts w:ascii="黑体" w:hAnsi="黑体" w:eastAsia="黑体"/>
          <w:sz w:val="32"/>
        </w:rPr>
        <w:t>四、财政拨款收入支出决算总体情况说明</w:t>
      </w:r>
    </w:p>
    <w:p w14:paraId="62676517">
      <w:pPr>
        <w:spacing w:line="580" w:lineRule="exact"/>
        <w:ind w:firstLine="640"/>
        <w:jc w:val="both"/>
      </w:pPr>
      <w:r>
        <w:rPr>
          <w:rFonts w:ascii="仿宋_GB2312" w:hAnsi="仿宋_GB2312" w:eastAsia="仿宋_GB2312"/>
          <w:b/>
          <w:sz w:val="32"/>
        </w:rPr>
        <w:t>2024年度财政拨款收入总计657.61万元，</w:t>
      </w:r>
      <w:r>
        <w:rPr>
          <w:rFonts w:ascii="仿宋_GB2312" w:hAnsi="仿宋_GB2312" w:eastAsia="仿宋_GB2312"/>
          <w:b w:val="0"/>
          <w:sz w:val="32"/>
        </w:rPr>
        <w:t>其中：年初财政拨款结转和结余0.00万元，本年财政拨款收入657.61万元。</w:t>
      </w:r>
      <w:r>
        <w:rPr>
          <w:rFonts w:ascii="仿宋_GB2312" w:hAnsi="仿宋_GB2312" w:eastAsia="仿宋_GB2312"/>
          <w:b/>
          <w:sz w:val="32"/>
        </w:rPr>
        <w:t>财政拨款支出总计657.61万元，</w:t>
      </w:r>
      <w:r>
        <w:rPr>
          <w:rFonts w:ascii="仿宋_GB2312" w:hAnsi="仿宋_GB2312" w:eastAsia="仿宋_GB2312"/>
          <w:b w:val="0"/>
          <w:sz w:val="32"/>
        </w:rPr>
        <w:t>其中：年末财政拨款结转和结余0.00万元，本年财政拨款支出657.61万元。</w:t>
      </w:r>
    </w:p>
    <w:p w14:paraId="6D3EA4B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360.77万元，增长121.54%，主要原因是：本年机构改革，由原新疆昌吉回族自治州粮食局驻五家渠分局与昌吉回族自治州价格监测中心合并，在职人员增加，在职人员工资调增、社保、公积金基数调增，人员经费增加，本年增加粮食流通监督检查业务经费、农产品调查经费等项目。</w:t>
      </w:r>
      <w:r>
        <w:rPr>
          <w:rFonts w:ascii="仿宋_GB2312" w:hAnsi="仿宋_GB2312" w:eastAsia="仿宋_GB2312"/>
          <w:b/>
          <w:sz w:val="32"/>
        </w:rPr>
        <w:t>与年初预算相比，</w:t>
      </w:r>
      <w:r>
        <w:rPr>
          <w:rFonts w:ascii="仿宋_GB2312" w:hAnsi="仿宋_GB2312" w:eastAsia="仿宋_GB2312"/>
          <w:b w:val="0"/>
          <w:sz w:val="32"/>
        </w:rPr>
        <w:t>年初预算数512.48万元，决算数657.61万元，预决算差异率28.32%，主要原因是：年中追加</w:t>
      </w:r>
      <w:r>
        <w:rPr>
          <w:rFonts w:ascii="仿宋_GB2312" w:hAnsi="仿宋_GB2312" w:eastAsia="仿宋_GB2312"/>
          <w:b w:val="0"/>
          <w:spacing w:val="-6"/>
          <w:sz w:val="32"/>
        </w:rPr>
        <w:t>人员工资、社保、公积金基数调增部分资金，导致预决算存在差异。</w:t>
      </w:r>
    </w:p>
    <w:p w14:paraId="59489203">
      <w:pPr>
        <w:spacing w:line="640" w:lineRule="exact"/>
        <w:ind w:firstLine="640"/>
        <w:jc w:val="both"/>
        <w:outlineLvl w:val="2"/>
      </w:pPr>
      <w:r>
        <w:rPr>
          <w:rFonts w:ascii="黑体" w:hAnsi="黑体" w:eastAsia="黑体"/>
          <w:sz w:val="32"/>
        </w:rPr>
        <w:t>五、一般公共预算财政拨款支出决算情况说明</w:t>
      </w:r>
    </w:p>
    <w:p w14:paraId="1E319E05">
      <w:pPr>
        <w:spacing w:line="640" w:lineRule="exact"/>
        <w:ind w:firstLine="640"/>
        <w:jc w:val="both"/>
        <w:outlineLvl w:val="3"/>
      </w:pPr>
      <w:r>
        <w:rPr>
          <w:rFonts w:ascii="楷体_GB2312" w:hAnsi="楷体_GB2312" w:eastAsia="楷体_GB2312"/>
          <w:b/>
          <w:sz w:val="32"/>
        </w:rPr>
        <w:t>（一）一般公共预算财政拨款支出决算总体情况</w:t>
      </w:r>
    </w:p>
    <w:p w14:paraId="5B2E0FCD">
      <w:pPr>
        <w:spacing w:line="580" w:lineRule="exact"/>
        <w:ind w:firstLine="640"/>
        <w:jc w:val="both"/>
      </w:pPr>
      <w:r>
        <w:rPr>
          <w:rFonts w:ascii="仿宋_GB2312" w:hAnsi="仿宋_GB2312" w:eastAsia="仿宋_GB2312"/>
          <w:b/>
          <w:sz w:val="32"/>
        </w:rPr>
        <w:t>2024年度一般公共预算财政拨款支出657.61万元，</w:t>
      </w:r>
      <w:r>
        <w:rPr>
          <w:rFonts w:ascii="仿宋_GB2312" w:hAnsi="仿宋_GB2312" w:eastAsia="仿宋_GB2312"/>
          <w:b w:val="0"/>
          <w:sz w:val="32"/>
        </w:rPr>
        <w:t>占本年支出合计的99.58%。</w:t>
      </w:r>
      <w:r>
        <w:rPr>
          <w:rFonts w:ascii="仿宋_GB2312" w:hAnsi="仿宋_GB2312" w:eastAsia="仿宋_GB2312"/>
          <w:b/>
          <w:sz w:val="32"/>
        </w:rPr>
        <w:t>与上年相比，</w:t>
      </w:r>
      <w:r>
        <w:rPr>
          <w:rFonts w:ascii="仿宋_GB2312" w:hAnsi="仿宋_GB2312" w:eastAsia="仿宋_GB2312"/>
          <w:b w:val="0"/>
          <w:sz w:val="32"/>
        </w:rPr>
        <w:t>增加360.77万元，增长121.54%，主要原因是：本年机构改革，由原新疆昌吉回族自治州粮食局驻五家渠分局与昌吉回族自治州价格监测中心合并成立，在职人员增加，在职人员工资调增、社保、公积金基数调增，人员经费增加，本年增加粮食流通监督检查业务经费、农产品调查经费等项目。</w:t>
      </w:r>
      <w:r>
        <w:rPr>
          <w:rFonts w:ascii="仿宋_GB2312" w:hAnsi="仿宋_GB2312" w:eastAsia="仿宋_GB2312"/>
          <w:b/>
          <w:sz w:val="32"/>
        </w:rPr>
        <w:t>与年初预算相比,</w:t>
      </w:r>
      <w:r>
        <w:rPr>
          <w:rFonts w:ascii="仿宋_GB2312" w:hAnsi="仿宋_GB2312" w:eastAsia="仿宋_GB2312"/>
          <w:b w:val="0"/>
          <w:sz w:val="32"/>
        </w:rPr>
        <w:t>年初预算数512.48万元，决算数657.61万元，预决算差异率28.32%，主要原因是：年中追加人员工资、社保、公积金基数调增部分资金，导致预决算存在差异。</w:t>
      </w:r>
    </w:p>
    <w:p w14:paraId="1038958D">
      <w:pPr>
        <w:spacing w:line="640" w:lineRule="exact"/>
        <w:ind w:firstLine="640"/>
        <w:jc w:val="both"/>
        <w:outlineLvl w:val="3"/>
      </w:pPr>
      <w:r>
        <w:rPr>
          <w:rFonts w:ascii="楷体_GB2312" w:hAnsi="楷体_GB2312" w:eastAsia="楷体_GB2312"/>
          <w:b/>
          <w:sz w:val="32"/>
        </w:rPr>
        <w:t>（二）一般公共预算财政拨款支出决算结构情况</w:t>
      </w:r>
    </w:p>
    <w:p w14:paraId="2BF9E63B">
      <w:pPr>
        <w:spacing w:line="580" w:lineRule="exact"/>
        <w:ind w:firstLine="640"/>
        <w:jc w:val="both"/>
      </w:pPr>
      <w:r>
        <w:rPr>
          <w:rFonts w:ascii="仿宋_GB2312" w:hAnsi="仿宋_GB2312" w:eastAsia="仿宋_GB2312"/>
          <w:b w:val="0"/>
          <w:sz w:val="32"/>
        </w:rPr>
        <w:t>1.一般公共服务支出(类)4.98万元,占0.76%。</w:t>
      </w:r>
    </w:p>
    <w:p w14:paraId="3D01881F">
      <w:pPr>
        <w:spacing w:line="580" w:lineRule="exact"/>
        <w:ind w:firstLine="640"/>
        <w:jc w:val="both"/>
      </w:pPr>
      <w:r>
        <w:rPr>
          <w:rFonts w:ascii="仿宋_GB2312" w:hAnsi="仿宋_GB2312" w:eastAsia="仿宋_GB2312"/>
          <w:b w:val="0"/>
          <w:sz w:val="32"/>
        </w:rPr>
        <w:t>2.社会保障和就业支出(类)235.97万元,占35.88%。</w:t>
      </w:r>
    </w:p>
    <w:p w14:paraId="2EAAB9A1">
      <w:pPr>
        <w:spacing w:line="580" w:lineRule="exact"/>
        <w:ind w:firstLine="640"/>
        <w:jc w:val="both"/>
      </w:pPr>
      <w:r>
        <w:rPr>
          <w:rFonts w:ascii="仿宋_GB2312" w:hAnsi="仿宋_GB2312" w:eastAsia="仿宋_GB2312"/>
          <w:b w:val="0"/>
          <w:sz w:val="32"/>
        </w:rPr>
        <w:t>3.卫生健康支出(类)25.22万元,占3.84%。</w:t>
      </w:r>
    </w:p>
    <w:p w14:paraId="27ACC2EC">
      <w:pPr>
        <w:spacing w:line="580" w:lineRule="exact"/>
        <w:ind w:firstLine="640"/>
        <w:jc w:val="both"/>
      </w:pPr>
      <w:r>
        <w:rPr>
          <w:rFonts w:ascii="仿宋_GB2312" w:hAnsi="仿宋_GB2312" w:eastAsia="仿宋_GB2312"/>
          <w:b w:val="0"/>
          <w:sz w:val="32"/>
        </w:rPr>
        <w:t>4.住房保障支出(类)37.54万元,占5.71%。</w:t>
      </w:r>
    </w:p>
    <w:p w14:paraId="21E7BB49">
      <w:pPr>
        <w:spacing w:line="580" w:lineRule="exact"/>
        <w:ind w:firstLine="640"/>
        <w:jc w:val="both"/>
      </w:pPr>
      <w:r>
        <w:rPr>
          <w:rFonts w:ascii="仿宋_GB2312" w:hAnsi="仿宋_GB2312" w:eastAsia="仿宋_GB2312"/>
          <w:b w:val="0"/>
          <w:sz w:val="32"/>
        </w:rPr>
        <w:t>5.粮油物资储备支出(类)353.91万元,占53.82%。</w:t>
      </w:r>
    </w:p>
    <w:p w14:paraId="268E18CC">
      <w:pPr>
        <w:spacing w:line="640" w:lineRule="exact"/>
        <w:ind w:firstLine="640"/>
        <w:jc w:val="both"/>
        <w:outlineLvl w:val="3"/>
      </w:pPr>
      <w:r>
        <w:rPr>
          <w:rFonts w:ascii="楷体_GB2312" w:hAnsi="楷体_GB2312" w:eastAsia="楷体_GB2312"/>
          <w:b/>
          <w:sz w:val="32"/>
        </w:rPr>
        <w:t>（三）一般公共预算财政拨款支出决算具体情况</w:t>
      </w:r>
    </w:p>
    <w:p w14:paraId="6B185032">
      <w:pPr>
        <w:spacing w:line="580" w:lineRule="exact"/>
        <w:ind w:firstLine="640"/>
        <w:jc w:val="both"/>
      </w:pPr>
      <w:r>
        <w:rPr>
          <w:rFonts w:ascii="仿宋_GB2312" w:hAnsi="仿宋_GB2312" w:eastAsia="仿宋_GB2312"/>
          <w:b w:val="0"/>
          <w:sz w:val="32"/>
        </w:rPr>
        <w:t>1.一般公共服务支出(类)发展与改革事务(款)其他发展与改革事务支出(项):支出决算数为4.98万元，比上年决算增加4.98万元，增长100.00%,主要原因是：本年度增加农产品调查经费项目。</w:t>
      </w:r>
    </w:p>
    <w:p w14:paraId="4C04B972">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2.社会保障和就业支出(类)行政事业单位养老支出(款)行政单位离退休(项):支出决算数为34.59万元，比上年决算增加2.05万元，增长6.30%,主要原因是：本年退休人员增加，增加退休人员基础绩效奖，退休费支出增加。</w:t>
      </w:r>
    </w:p>
    <w:p w14:paraId="369FF15F">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11.44万元，比上年决算增加11.44万元，增长100.00%,主要原因是：本年退休人员增加，增加退休人员基础绩效奖，退休费支出增加。</w:t>
      </w:r>
    </w:p>
    <w:p w14:paraId="3048AA9A">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46.42万元，比上年决算增加35.66万元，增长331.41%,主要原因是：本年在职人员增加，在职人员工资基数调增，养老缴费基数上涨，相应支出增加。</w:t>
      </w:r>
    </w:p>
    <w:p w14:paraId="7693507D">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5.社会保障和就业支出(类)行政事业单位养老支出(款)机关事业单位职业年金缴费支出(项):支出决算数为42.99万元，比上年决算增加30.93万元，增长256.47%,主要原因是：本年新增退休人员，职业年金缴费支出增加。</w:t>
      </w:r>
    </w:p>
    <w:p w14:paraId="028FB41B">
      <w:pPr>
        <w:spacing w:line="580" w:lineRule="exact"/>
        <w:ind w:firstLine="640"/>
        <w:jc w:val="both"/>
      </w:pPr>
      <w:r>
        <w:rPr>
          <w:rFonts w:ascii="仿宋_GB2312" w:hAnsi="仿宋_GB2312" w:eastAsia="仿宋_GB2312"/>
          <w:b w:val="0"/>
          <w:sz w:val="32"/>
        </w:rPr>
        <w:t>6.社会保障和就业支出(类)抚恤(款)死亡抚恤(项):支出决算数为100.52万元，比上年决算减少35.25万元，下降25.96%,主要原因是：本年新增死亡人员较上年减少，死亡抚恤支出较上年减少。</w:t>
      </w:r>
    </w:p>
    <w:p w14:paraId="35534670">
      <w:pPr>
        <w:spacing w:line="580" w:lineRule="exact"/>
        <w:ind w:firstLine="640"/>
        <w:jc w:val="both"/>
      </w:pPr>
      <w:r>
        <w:rPr>
          <w:rFonts w:ascii="仿宋_GB2312" w:hAnsi="仿宋_GB2312" w:eastAsia="仿宋_GB2312"/>
          <w:b w:val="0"/>
          <w:sz w:val="32"/>
        </w:rPr>
        <w:t>7.卫生健康支出(类)行政事业单位医疗(款)行政单位医疗(项):支出决算数为23.21万元，比上年决算增加17.83万元，增长331.41%,主要原因是：本年在职人员增加，在职人员工资基数调增，医疗缴费基数上涨，相应支出增加。</w:t>
      </w:r>
    </w:p>
    <w:p w14:paraId="379F640F">
      <w:pPr>
        <w:spacing w:line="580" w:lineRule="exact"/>
        <w:ind w:firstLine="640"/>
        <w:jc w:val="both"/>
      </w:pPr>
      <w:r>
        <w:rPr>
          <w:rFonts w:ascii="仿宋_GB2312" w:hAnsi="仿宋_GB2312" w:eastAsia="仿宋_GB2312"/>
          <w:b w:val="0"/>
          <w:sz w:val="32"/>
        </w:rPr>
        <w:t>8.卫生健康支出(类)行政事业单位医疗(款)公务员医疗补助(项):支出决算数为1.45万元，比上年决算增加1.11万元，增长326.47%,主要原因是：本年在职人员增加，在职人员工资基数调增，医疗缴费基数上涨，相应支出增加。</w:t>
      </w:r>
    </w:p>
    <w:p w14:paraId="70706F15">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0.56万元，比上年决算增加0.13万元，增长30.23%,主要原因是：本年在职人员增加，在职人员工资基数调增，医疗缴费基数上涨，相应支出增加。</w:t>
      </w:r>
    </w:p>
    <w:p w14:paraId="1AD98004">
      <w:pPr>
        <w:spacing w:line="580" w:lineRule="exact"/>
        <w:ind w:firstLine="640"/>
        <w:jc w:val="both"/>
      </w:pPr>
      <w:r>
        <w:rPr>
          <w:rFonts w:ascii="仿宋_GB2312" w:hAnsi="仿宋_GB2312" w:eastAsia="仿宋_GB2312"/>
          <w:b w:val="0"/>
          <w:sz w:val="32"/>
        </w:rPr>
        <w:t>10.住房保障支出(类)住房改革支出(款)住房公积金(项):支出决算数为37.54万元，比上年决算增加29.08万元，增长343.74%,主要原因是：本年在职人员增加，在职人员工资基数调增，公积金缴费基数上涨，相应支出增加。</w:t>
      </w:r>
    </w:p>
    <w:p w14:paraId="1B5018F9">
      <w:pPr>
        <w:spacing w:line="580" w:lineRule="exact"/>
        <w:ind w:firstLine="640"/>
        <w:jc w:val="both"/>
      </w:pPr>
      <w:r>
        <w:rPr>
          <w:rFonts w:ascii="仿宋_GB2312" w:hAnsi="仿宋_GB2312" w:eastAsia="仿宋_GB2312"/>
          <w:b w:val="0"/>
          <w:sz w:val="32"/>
        </w:rPr>
        <w:t>11.粮油物资储备支出(类)粮油物资事务(款)行政运行(项):支出决算数为343.91万元，比上年决算增加252.81万元，增长277.51%,主要原因是：本年新增在职人员，在职人员工资调增，导致相关人员经费较上年有所增加。</w:t>
      </w:r>
    </w:p>
    <w:p w14:paraId="4BAE6F7D">
      <w:pPr>
        <w:spacing w:line="580" w:lineRule="exact"/>
        <w:ind w:firstLine="640"/>
        <w:jc w:val="both"/>
      </w:pPr>
      <w:r>
        <w:rPr>
          <w:rFonts w:ascii="仿宋_GB2312" w:hAnsi="仿宋_GB2312" w:eastAsia="仿宋_GB2312"/>
          <w:b w:val="0"/>
          <w:sz w:val="32"/>
        </w:rPr>
        <w:t>12.粮油物资储备支出(类)粮油物资事务(款)一般行政管理事务(项):支出决算数为10.00万元，比上年决算增加10.00万元，增长100.00%,主要原因是：本年度新增粮食流通监督检查业务经费项目。</w:t>
      </w:r>
    </w:p>
    <w:p w14:paraId="2B617E14">
      <w:pPr>
        <w:spacing w:line="640" w:lineRule="exact"/>
        <w:ind w:firstLine="640"/>
        <w:jc w:val="both"/>
        <w:outlineLvl w:val="2"/>
      </w:pPr>
      <w:r>
        <w:rPr>
          <w:rFonts w:ascii="黑体" w:hAnsi="黑体" w:eastAsia="黑体"/>
          <w:sz w:val="32"/>
        </w:rPr>
        <w:t>六、一般公共预算财政拨款基本支出决算情况说明</w:t>
      </w:r>
    </w:p>
    <w:p w14:paraId="643DF44D">
      <w:pPr>
        <w:spacing w:line="580" w:lineRule="exact"/>
        <w:ind w:firstLine="640"/>
        <w:jc w:val="both"/>
      </w:pPr>
      <w:r>
        <w:rPr>
          <w:rFonts w:ascii="仿宋_GB2312" w:hAnsi="仿宋_GB2312" w:eastAsia="仿宋_GB2312"/>
          <w:b w:val="0"/>
          <w:sz w:val="32"/>
        </w:rPr>
        <w:t>2024年度一般公共预算财政拨款基本支出642.64万元，其中：</w:t>
      </w:r>
      <w:r>
        <w:rPr>
          <w:rFonts w:ascii="仿宋_GB2312" w:hAnsi="仿宋_GB2312" w:eastAsia="仿宋_GB2312"/>
          <w:b/>
          <w:sz w:val="32"/>
        </w:rPr>
        <w:t>人员经费615.69万元，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离休费、退休费、抚恤金、生活补助、奖励金、其他对个人和家庭的补助。</w:t>
      </w:r>
    </w:p>
    <w:p w14:paraId="1199A13F">
      <w:pPr>
        <w:spacing w:line="580" w:lineRule="exact"/>
        <w:ind w:firstLine="640"/>
        <w:jc w:val="both"/>
      </w:pPr>
      <w:r>
        <w:rPr>
          <w:rFonts w:ascii="仿宋_GB2312" w:hAnsi="仿宋_GB2312" w:eastAsia="仿宋_GB2312"/>
          <w:b/>
          <w:sz w:val="32"/>
        </w:rPr>
        <w:t>公用经费26.94万元，</w:t>
      </w:r>
      <w:r>
        <w:rPr>
          <w:rFonts w:ascii="仿宋_GB2312" w:hAnsi="仿宋_GB2312" w:eastAsia="仿宋_GB2312"/>
          <w:b w:val="0"/>
          <w:sz w:val="32"/>
        </w:rPr>
        <w:t>包括：办公费、印刷费、水费、电费、差旅费、维修（护）费、会议费、公务接待费、劳务费、工会经费、福利费、公务用车运行维护费、其他商品和服务支出。</w:t>
      </w:r>
    </w:p>
    <w:p w14:paraId="671E76B4">
      <w:pPr>
        <w:spacing w:line="640" w:lineRule="exact"/>
        <w:ind w:firstLine="640"/>
        <w:jc w:val="both"/>
        <w:outlineLvl w:val="2"/>
      </w:pPr>
      <w:r>
        <w:rPr>
          <w:rFonts w:ascii="黑体" w:hAnsi="黑体" w:eastAsia="黑体"/>
          <w:sz w:val="32"/>
        </w:rPr>
        <w:t>七、政府性基金预算财政拨款收入支出决算情况说明</w:t>
      </w:r>
    </w:p>
    <w:p w14:paraId="63FF92C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56D0F89">
      <w:pPr>
        <w:spacing w:line="640" w:lineRule="exact"/>
        <w:ind w:firstLine="640"/>
        <w:jc w:val="both"/>
        <w:outlineLvl w:val="2"/>
      </w:pPr>
      <w:r>
        <w:rPr>
          <w:rFonts w:ascii="黑体" w:hAnsi="黑体" w:eastAsia="黑体"/>
          <w:sz w:val="32"/>
        </w:rPr>
        <w:t>八、国有资本经营预算财政拨款收入支出决算情况说明</w:t>
      </w:r>
    </w:p>
    <w:p w14:paraId="0E97C09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0CDE1EE">
      <w:pPr>
        <w:spacing w:line="640" w:lineRule="exact"/>
        <w:ind w:firstLine="640"/>
        <w:jc w:val="both"/>
        <w:outlineLvl w:val="2"/>
      </w:pPr>
      <w:r>
        <w:rPr>
          <w:rFonts w:ascii="黑体" w:hAnsi="黑体" w:eastAsia="黑体"/>
          <w:sz w:val="32"/>
        </w:rPr>
        <w:t>九、财政拨款“三公”经费支出决算情况说明</w:t>
      </w:r>
    </w:p>
    <w:p w14:paraId="4DE2F34C">
      <w:pPr>
        <w:spacing w:line="580" w:lineRule="exact"/>
        <w:ind w:firstLine="640"/>
        <w:jc w:val="both"/>
      </w:pPr>
      <w:r>
        <w:rPr>
          <w:rFonts w:ascii="仿宋_GB2312" w:hAnsi="仿宋_GB2312" w:eastAsia="仿宋_GB2312"/>
          <w:b/>
          <w:sz w:val="32"/>
        </w:rPr>
        <w:t>2024年度财政拨款“三公”经费支出2.14万元，</w:t>
      </w:r>
      <w:r>
        <w:rPr>
          <w:rFonts w:ascii="仿宋_GB2312" w:hAnsi="仿宋_GB2312" w:eastAsia="仿宋_GB2312"/>
          <w:b w:val="0"/>
          <w:sz w:val="32"/>
        </w:rPr>
        <w:t>比上年增加0.34万元，增长18.89%，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1.80万元，占84.11%，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公务用车运行维护费与上年一致无变化。公务接待费支出0.34万元，占15.89%，比上年增加0.34万元，增长100.00%，主要原因是：本</w:t>
      </w:r>
      <w:r>
        <w:rPr>
          <w:rFonts w:ascii="仿宋_GB2312" w:hAnsi="仿宋_GB2312" w:eastAsia="仿宋_GB2312"/>
          <w:b w:val="0"/>
          <w:spacing w:val="-6"/>
          <w:sz w:val="32"/>
        </w:rPr>
        <w:t>年因业务需求，增加公务接待工作，导致公务接待费较上年增加。</w:t>
      </w:r>
    </w:p>
    <w:p w14:paraId="43E224B6">
      <w:pPr>
        <w:spacing w:line="580" w:lineRule="exact"/>
        <w:ind w:firstLine="640"/>
        <w:jc w:val="both"/>
      </w:pPr>
      <w:r>
        <w:rPr>
          <w:rFonts w:ascii="仿宋_GB2312" w:hAnsi="仿宋_GB2312" w:eastAsia="仿宋_GB2312"/>
          <w:b/>
          <w:sz w:val="32"/>
        </w:rPr>
        <w:t>具体情况如下：</w:t>
      </w:r>
    </w:p>
    <w:p w14:paraId="480528C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81C2D12">
      <w:pPr>
        <w:spacing w:line="580" w:lineRule="exact"/>
        <w:ind w:firstLine="640"/>
        <w:jc w:val="both"/>
      </w:pPr>
      <w:r>
        <w:rPr>
          <w:rFonts w:ascii="仿宋_GB2312" w:hAnsi="仿宋_GB2312" w:eastAsia="仿宋_GB2312"/>
          <w:b w:val="0"/>
          <w:sz w:val="32"/>
        </w:rPr>
        <w:t>公务用车购置及运行维护费1.80万元，其中：公务用车购置费0.00万元，公务用车运行维护费1.80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1B5F86A6">
      <w:pPr>
        <w:spacing w:line="580" w:lineRule="exact"/>
        <w:ind w:firstLine="640"/>
        <w:jc w:val="both"/>
      </w:pPr>
      <w:r>
        <w:rPr>
          <w:rFonts w:ascii="仿宋_GB2312" w:hAnsi="仿宋_GB2312" w:eastAsia="仿宋_GB2312"/>
          <w:b w:val="0"/>
          <w:sz w:val="32"/>
        </w:rPr>
        <w:t>公务接待费0.34万元，开支内容包括因粮食流通监督检查业务，接待上级领导检查产生的就餐费。单位全年安排的国内公务接待2批次，18人次。</w:t>
      </w:r>
    </w:p>
    <w:p w14:paraId="56F8311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2.14万元，决算数2.14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1.80万元，决算数1.80万元，预决算差异率0.00%，主要原因是：严格按照预算执行，预决算无差异。公务接待费全年预算数0.34万元，决算数0.34万元，预决算差异率0.00%，主要原因是：严格按照预算执行，预决算无差异。</w:t>
      </w:r>
    </w:p>
    <w:p w14:paraId="23108BB1">
      <w:pPr>
        <w:spacing w:line="640" w:lineRule="exact"/>
        <w:ind w:firstLine="640"/>
        <w:jc w:val="both"/>
        <w:outlineLvl w:val="2"/>
      </w:pPr>
      <w:r>
        <w:rPr>
          <w:rFonts w:ascii="黑体" w:hAnsi="黑体" w:eastAsia="黑体"/>
          <w:sz w:val="32"/>
        </w:rPr>
        <w:t>十、其他重要事项的情况说明</w:t>
      </w:r>
    </w:p>
    <w:p w14:paraId="0EA8C6EA">
      <w:pPr>
        <w:spacing w:line="640" w:lineRule="exact"/>
        <w:ind w:firstLine="640"/>
        <w:jc w:val="both"/>
        <w:outlineLvl w:val="3"/>
      </w:pPr>
      <w:r>
        <w:rPr>
          <w:rFonts w:ascii="楷体_GB2312" w:hAnsi="楷体_GB2312" w:eastAsia="楷体_GB2312"/>
          <w:b/>
          <w:sz w:val="32"/>
        </w:rPr>
        <w:t>（一）机关运行经费及公用经费支出情况</w:t>
      </w:r>
    </w:p>
    <w:p w14:paraId="7B8ADD74">
      <w:pPr>
        <w:spacing w:line="580" w:lineRule="exact"/>
        <w:ind w:firstLine="640"/>
        <w:jc w:val="both"/>
      </w:pPr>
      <w:r>
        <w:rPr>
          <w:rFonts w:ascii="仿宋_GB2312" w:hAnsi="仿宋_GB2312" w:eastAsia="仿宋_GB2312"/>
          <w:b w:val="0"/>
          <w:sz w:val="32"/>
        </w:rPr>
        <w:t>2024年度昌吉回族自治州粮食安全物资储备中心（价格监测认证中心）（行政单位和参照公务员法管理事业单位）机关运行经费支出26.94万元，比上年增加15.53万元，增长136.11%，主要原因是：本年机构改革，由原新疆昌吉回族自治州粮食局驻五家渠分局与昌吉回族自治州价格监测中心合并成立，在职人员增加，办公费用、福利费增加。</w:t>
      </w:r>
    </w:p>
    <w:p w14:paraId="1320641D">
      <w:pPr>
        <w:spacing w:line="640" w:lineRule="exact"/>
        <w:ind w:firstLine="640"/>
        <w:jc w:val="both"/>
        <w:outlineLvl w:val="3"/>
      </w:pPr>
      <w:r>
        <w:rPr>
          <w:rFonts w:ascii="楷体_GB2312" w:hAnsi="楷体_GB2312" w:eastAsia="楷体_GB2312"/>
          <w:b/>
          <w:sz w:val="32"/>
        </w:rPr>
        <w:t>（二）政府采购情况</w:t>
      </w:r>
    </w:p>
    <w:p w14:paraId="593BD4B1">
      <w:pPr>
        <w:spacing w:line="580" w:lineRule="exact"/>
        <w:ind w:firstLine="640"/>
        <w:jc w:val="both"/>
      </w:pPr>
      <w:r>
        <w:rPr>
          <w:rFonts w:ascii="仿宋_GB2312" w:hAnsi="仿宋_GB2312" w:eastAsia="仿宋_GB2312"/>
          <w:b w:val="0"/>
          <w:sz w:val="32"/>
        </w:rPr>
        <w:t>2024年度政府采购支出总额1.42万元，其中：政府采购货物支出0.60万元、政府采购工程支出0.00万元、政府采购服务支出0.83万元。</w:t>
      </w:r>
    </w:p>
    <w:p w14:paraId="5A54D3CE">
      <w:pPr>
        <w:spacing w:line="580" w:lineRule="exact"/>
        <w:ind w:firstLine="640"/>
        <w:jc w:val="both"/>
      </w:pPr>
      <w:r>
        <w:rPr>
          <w:rFonts w:ascii="仿宋_GB2312" w:hAnsi="仿宋_GB2312" w:eastAsia="仿宋_GB2312"/>
          <w:b w:val="0"/>
          <w:sz w:val="32"/>
        </w:rPr>
        <w:t>授予中小企业合同金额1.42万元，占政府采购支出总额的100.00%，其中：授予小微企业合同金额1.42万元，占政府采购支出总额的100.00%。</w:t>
      </w:r>
    </w:p>
    <w:p w14:paraId="45E7CE7E">
      <w:pPr>
        <w:spacing w:line="640" w:lineRule="exact"/>
        <w:ind w:firstLine="640"/>
        <w:jc w:val="both"/>
        <w:outlineLvl w:val="3"/>
      </w:pPr>
      <w:r>
        <w:rPr>
          <w:rFonts w:ascii="楷体_GB2312" w:hAnsi="楷体_GB2312" w:eastAsia="楷体_GB2312"/>
          <w:b/>
          <w:sz w:val="32"/>
        </w:rPr>
        <w:t>（三）国有资产占用情况说明</w:t>
      </w:r>
    </w:p>
    <w:p w14:paraId="396951A6">
      <w:pPr>
        <w:spacing w:line="580" w:lineRule="exact"/>
        <w:ind w:firstLine="640"/>
        <w:jc w:val="both"/>
      </w:pPr>
      <w:r>
        <w:rPr>
          <w:rFonts w:ascii="仿宋_GB2312" w:hAnsi="仿宋_GB2312" w:eastAsia="仿宋_GB2312"/>
          <w:b w:val="0"/>
          <w:sz w:val="32"/>
        </w:rPr>
        <w:t>截至2024年12月31日，房屋901.60平方米，价值118.42万元。车辆1辆，价值28.11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54F23518">
      <w:pPr>
        <w:spacing w:line="640" w:lineRule="exact"/>
        <w:ind w:firstLine="640"/>
        <w:jc w:val="both"/>
        <w:outlineLvl w:val="2"/>
      </w:pPr>
      <w:r>
        <w:rPr>
          <w:rFonts w:ascii="黑体" w:hAnsi="黑体" w:eastAsia="黑体"/>
          <w:sz w:val="32"/>
        </w:rPr>
        <w:t>十一、预算绩效的情况说明</w:t>
      </w:r>
    </w:p>
    <w:p w14:paraId="0404EA8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895.76万元，实际执行总额660.36万元；预算绩效评价项目3个，全年预算数16.98万元，全年执行数16.96万元。预算绩效管理取得的成效：一是按照《粮食流通管理条例》行使粮食行政职能，在辖</w:t>
      </w:r>
      <w:r>
        <w:rPr>
          <w:rFonts w:hint="eastAsia" w:ascii="仿宋_GB2312" w:hAnsi="仿宋_GB2312" w:eastAsia="仿宋_GB2312"/>
          <w:b w:val="0"/>
          <w:sz w:val="32"/>
          <w:lang w:eastAsia="zh-CN"/>
        </w:rPr>
        <w:t>区内</w:t>
      </w:r>
      <w:r>
        <w:rPr>
          <w:rFonts w:ascii="仿宋_GB2312" w:hAnsi="仿宋_GB2312" w:eastAsia="仿宋_GB2312"/>
          <w:b w:val="0"/>
          <w:sz w:val="32"/>
        </w:rPr>
        <w:t>履行粮食业务的指导、协调、监督、服务职能，保障辖区粮食安全；认真完成粮食行政执法监督检查；二是</w:t>
      </w:r>
      <w:r>
        <w:rPr>
          <w:rFonts w:hint="eastAsia" w:ascii="仿宋_GB2312" w:hAnsi="仿宋_GB2312" w:eastAsia="仿宋_GB2312"/>
          <w:b w:val="0"/>
          <w:sz w:val="32"/>
          <w:lang w:eastAsia="zh-CN"/>
        </w:rPr>
        <w:t>本单位</w:t>
      </w:r>
      <w:r>
        <w:rPr>
          <w:rFonts w:ascii="仿宋_GB2312" w:hAnsi="仿宋_GB2312" w:eastAsia="仿宋_GB2312"/>
          <w:b w:val="0"/>
          <w:sz w:val="32"/>
        </w:rPr>
        <w:t>严格按照年初预算以及单位年度工作计划执行预算，做到专款专用、科学管理，每笔开支都有相关经办人员签字，做到程序规范，开支合理，勤俭节约，最大限度</w:t>
      </w:r>
      <w:r>
        <w:rPr>
          <w:rFonts w:hint="eastAsia" w:ascii="仿宋_GB2312" w:hAnsi="仿宋_GB2312" w:eastAsia="仿宋_GB2312"/>
          <w:b w:val="0"/>
          <w:sz w:val="32"/>
          <w:lang w:eastAsia="zh-CN"/>
        </w:rPr>
        <w:t>地</w:t>
      </w:r>
      <w:r>
        <w:rPr>
          <w:rFonts w:ascii="仿宋_GB2312" w:hAnsi="仿宋_GB2312" w:eastAsia="仿宋_GB2312"/>
          <w:b w:val="0"/>
          <w:sz w:val="32"/>
        </w:rPr>
        <w:t>提高项目经费的使用效率，保证项目的顺利进行。三是保证人力、物力、财务，使用单位资金1.98万元，确保机关运行保障项目完成。发现的问题及原因：一是本单位为全额拨款单位，年初的基本支出预算是5名在编人员的财政拨款人员经费及公用经费，执行时间由于人员调资等原因，导致人员经费实际执行数大于年初预算数；二是绩效指标的明确性、可衡量性、相关性还需进一步提升。预算精细化管理还需完善，预算编制管理水平仍有进一步提升的空间；三是业务人员绩效管理意识有待增强，未能全面深入认识理解绩效管理工作的意义。绩效管理经验不足，预算绩效管理工作有待进一步落实。下一步改进措施：一是本单位为全额拨款单位，年初的基本支出预算是5名在编人员的财政拨款人员经费及公用经费，执行时间由于人员调资等原因，导致人员经费实际执行数大于年初预算数；二是绩效指标的明确性、可衡量性、相关性还需进一步提升。预算精细化管理还需完善，预算编制管理水平仍有进一步提升的空间；三是业务人员绩效管理意识有待增强，未能全面深入认识理解绩效管理工作的意义。绩效管理经验不足，预算绩效管理工作有待进一步落实。具体附整体支出绩效自评表，项目支出绩效自评表和评价报告。</w:t>
      </w:r>
    </w:p>
    <w:p w14:paraId="4B88980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BA2F607">
        <w:tblPrEx>
          <w:tblCellMar>
            <w:top w:w="0" w:type="dxa"/>
            <w:left w:w="108" w:type="dxa"/>
            <w:bottom w:w="0" w:type="dxa"/>
            <w:right w:w="108" w:type="dxa"/>
          </w:tblCellMar>
        </w:tblPrEx>
        <w:tc>
          <w:tcPr>
            <w:tcW w:w="8847" w:type="dxa"/>
            <w:gridSpan w:val="9"/>
            <w:vAlign w:val="center"/>
          </w:tcPr>
          <w:p w14:paraId="6BD9288E">
            <w:pPr>
              <w:jc w:val="center"/>
            </w:pPr>
            <w:r>
              <w:rPr>
                <w:rFonts w:ascii="宋体" w:hAnsi="宋体" w:eastAsia="宋体"/>
                <w:sz w:val="24"/>
              </w:rPr>
              <w:t>单位整体支出绩效自评表</w:t>
            </w:r>
          </w:p>
        </w:tc>
      </w:tr>
      <w:tr w14:paraId="279C2B5D">
        <w:tblPrEx>
          <w:tblCellMar>
            <w:top w:w="0" w:type="dxa"/>
            <w:left w:w="108" w:type="dxa"/>
            <w:bottom w:w="0" w:type="dxa"/>
            <w:right w:w="108" w:type="dxa"/>
          </w:tblCellMar>
        </w:tblPrEx>
        <w:tc>
          <w:tcPr>
            <w:tcW w:w="8847" w:type="dxa"/>
            <w:gridSpan w:val="9"/>
            <w:vAlign w:val="center"/>
          </w:tcPr>
          <w:p w14:paraId="1B07A2F9">
            <w:pPr>
              <w:jc w:val="center"/>
            </w:pPr>
            <w:r>
              <w:rPr>
                <w:rFonts w:ascii="宋体" w:hAnsi="宋体" w:eastAsia="宋体"/>
                <w:sz w:val="24"/>
              </w:rPr>
              <w:t>（2024年度）</w:t>
            </w:r>
          </w:p>
        </w:tc>
      </w:tr>
      <w:tr w14:paraId="5783C5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250D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2DA1DBF">
            <w:pPr>
              <w:jc w:val="center"/>
            </w:pPr>
            <w:r>
              <w:rPr>
                <w:rFonts w:ascii="宋体" w:hAnsi="宋体" w:eastAsia="宋体"/>
                <w:sz w:val="16"/>
              </w:rPr>
              <w:t>昌吉回族自治州粮食安全物资储备中心（价格监测认证中心）</w:t>
            </w:r>
          </w:p>
        </w:tc>
      </w:tr>
      <w:tr w14:paraId="62C80C0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0F12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6D7E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232C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9421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EF98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2174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FC14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AADA1">
            <w:pPr>
              <w:jc w:val="center"/>
            </w:pPr>
            <w:r>
              <w:rPr>
                <w:rFonts w:ascii="宋体" w:hAnsi="宋体" w:eastAsia="宋体"/>
                <w:sz w:val="16"/>
              </w:rPr>
              <w:t>得分</w:t>
            </w:r>
          </w:p>
        </w:tc>
      </w:tr>
      <w:tr w14:paraId="01BCED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D8C9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B2ED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03425">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D963D">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8B212">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556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E3D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EA38B">
            <w:pPr>
              <w:jc w:val="center"/>
            </w:pPr>
            <w:r>
              <w:rPr>
                <w:rFonts w:ascii="宋体" w:hAnsi="宋体" w:eastAsia="宋体"/>
                <w:sz w:val="16"/>
              </w:rPr>
              <w:t>-</w:t>
            </w:r>
          </w:p>
        </w:tc>
      </w:tr>
      <w:tr w14:paraId="437581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CFCC2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C55B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7D48F">
            <w:pPr>
              <w:jc w:val="center"/>
            </w:pPr>
            <w:r>
              <w:rPr>
                <w:rFonts w:ascii="宋体" w:hAnsi="宋体" w:eastAsia="宋体"/>
                <w:sz w:val="16"/>
              </w:rPr>
              <w:t>507.48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E5CDD">
            <w:pPr>
              <w:jc w:val="center"/>
            </w:pPr>
            <w:r>
              <w:rPr>
                <w:rFonts w:ascii="宋体" w:hAnsi="宋体" w:eastAsia="宋体"/>
                <w:sz w:val="16"/>
              </w:rPr>
              <w:t>653.04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9531B">
            <w:pPr>
              <w:jc w:val="center"/>
            </w:pPr>
            <w:r>
              <w:rPr>
                <w:rFonts w:ascii="宋体" w:hAnsi="宋体" w:eastAsia="宋体"/>
                <w:sz w:val="16"/>
              </w:rPr>
              <w:t>652.64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9EC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0DC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93A65">
            <w:pPr>
              <w:jc w:val="center"/>
            </w:pPr>
            <w:r>
              <w:rPr>
                <w:rFonts w:ascii="宋体" w:hAnsi="宋体" w:eastAsia="宋体"/>
                <w:sz w:val="16"/>
              </w:rPr>
              <w:t>-</w:t>
            </w:r>
          </w:p>
        </w:tc>
      </w:tr>
      <w:tr w14:paraId="093EBF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E2E2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6ED3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42D84">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52D7B">
            <w:pPr>
              <w:jc w:val="center"/>
            </w:pPr>
            <w:r>
              <w:rPr>
                <w:rFonts w:ascii="宋体" w:hAnsi="宋体" w:eastAsia="宋体"/>
                <w:sz w:val="16"/>
              </w:rPr>
              <w:t>237.74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8C5AD">
            <w:pPr>
              <w:jc w:val="center"/>
            </w:pPr>
            <w:r>
              <w:rPr>
                <w:rFonts w:ascii="宋体" w:hAnsi="宋体" w:eastAsia="宋体"/>
                <w:sz w:val="16"/>
              </w:rPr>
              <w:t>2.74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BDAC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C9A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6F2FE">
            <w:pPr>
              <w:jc w:val="center"/>
            </w:pPr>
            <w:r>
              <w:rPr>
                <w:rFonts w:ascii="宋体" w:hAnsi="宋体" w:eastAsia="宋体"/>
                <w:sz w:val="16"/>
              </w:rPr>
              <w:t>-</w:t>
            </w:r>
          </w:p>
        </w:tc>
      </w:tr>
      <w:tr w14:paraId="660765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EC01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208C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597D3">
            <w:pPr>
              <w:jc w:val="center"/>
            </w:pPr>
            <w:r>
              <w:rPr>
                <w:rFonts w:ascii="宋体" w:hAnsi="宋体" w:eastAsia="宋体"/>
                <w:sz w:val="16"/>
              </w:rPr>
              <w:t>552.48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F21BC">
            <w:pPr>
              <w:jc w:val="center"/>
            </w:pPr>
            <w:r>
              <w:rPr>
                <w:rFonts w:ascii="宋体" w:hAnsi="宋体" w:eastAsia="宋体"/>
                <w:sz w:val="16"/>
              </w:rPr>
              <w:t>895.76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E1660">
            <w:pPr>
              <w:jc w:val="center"/>
            </w:pPr>
            <w:r>
              <w:rPr>
                <w:rFonts w:ascii="宋体" w:hAnsi="宋体" w:eastAsia="宋体"/>
                <w:sz w:val="16"/>
              </w:rPr>
              <w:t>660.36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3DD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52402">
            <w:pPr>
              <w:jc w:val="center"/>
            </w:pPr>
            <w:r>
              <w:rPr>
                <w:rFonts w:ascii="宋体" w:hAnsi="宋体" w:eastAsia="宋体"/>
                <w:sz w:val="16"/>
              </w:rPr>
              <w:t>73.72%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41CA9">
            <w:pPr>
              <w:jc w:val="center"/>
            </w:pPr>
            <w:r>
              <w:rPr>
                <w:rFonts w:ascii="宋体" w:hAnsi="宋体" w:eastAsia="宋体"/>
                <w:sz w:val="16"/>
              </w:rPr>
              <w:t>7.3</w:t>
            </w:r>
          </w:p>
        </w:tc>
      </w:tr>
      <w:tr w14:paraId="6445289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EAE2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9CEB0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EF6941">
            <w:pPr>
              <w:jc w:val="center"/>
            </w:pPr>
            <w:r>
              <w:rPr>
                <w:rFonts w:ascii="宋体" w:hAnsi="宋体" w:eastAsia="宋体"/>
                <w:sz w:val="16"/>
              </w:rPr>
              <w:t>实际完成情况</w:t>
            </w:r>
          </w:p>
        </w:tc>
      </w:tr>
      <w:tr w14:paraId="2FCA35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85862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2AC750">
            <w:pPr>
              <w:jc w:val="both"/>
            </w:pPr>
            <w:r>
              <w:rPr>
                <w:rFonts w:ascii="宋体" w:hAnsi="宋体" w:eastAsia="宋体"/>
                <w:sz w:val="16"/>
              </w:rPr>
              <w:t>开展1批次“双随机、一公开”检查，依托自治区“双随机、一公开”协同监管平台，持续推进“双随机、一公开”监管常态化，有效避免选择性执法，减少多头多层次重复执法，提高监管效能，充分激发市场主体活力，全力助推昌吉州优化营商环境建设。开展2批次市场收购以及执行国家粮食流通统计制度的情况检查，严格落实自治区粮食收储政策，切实保护种粮农民利益，确保收购工作顺利进行。开展1批次政策性粮食库存检查，确保储粮安全、数量真实、质量良好。开展4批次政策性粮食日常巡查，监督检查粮食收储企业执行国家粮食政策情况及政策性粮食储存情况，督促各县市发改委落实属地监管责任。</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023BA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全年预算数为895.76万元，全年执行数为660.36万元，总预算执行率为73.72%。2024年</w:t>
            </w:r>
            <w:r>
              <w:rPr>
                <w:rFonts w:hint="eastAsia" w:ascii="宋体" w:hAnsi="宋体"/>
                <w:sz w:val="16"/>
                <w:lang w:eastAsia="zh-CN"/>
              </w:rPr>
              <w:t>本单位</w:t>
            </w:r>
            <w:r>
              <w:rPr>
                <w:rFonts w:ascii="宋体" w:hAnsi="宋体" w:eastAsia="宋体"/>
                <w:sz w:val="16"/>
              </w:rPr>
              <w:t>完成以下工作内容：1.开展市场收购监督检查2次；2.开展粮食库存检查1批次；3.开展政策性粮食日常巡查4批次；4.价格监测工作1次；5、价格认证工作次数1次；6.军粮供应规范化管理工作1次。通过以上工作的实施，</w:t>
            </w:r>
            <w:r>
              <w:rPr>
                <w:rFonts w:hint="eastAsia" w:ascii="宋体" w:hAnsi="宋体"/>
                <w:sz w:val="16"/>
                <w:lang w:eastAsia="zh-CN"/>
              </w:rPr>
              <w:t>本单位</w:t>
            </w:r>
            <w:r>
              <w:rPr>
                <w:rFonts w:ascii="宋体" w:hAnsi="宋体" w:eastAsia="宋体"/>
                <w:sz w:val="16"/>
              </w:rPr>
              <w:t>严格</w:t>
            </w:r>
            <w:r>
              <w:rPr>
                <w:rFonts w:hint="eastAsia" w:ascii="宋体" w:hAnsi="宋体"/>
                <w:sz w:val="16"/>
                <w:lang w:eastAsia="zh-CN"/>
              </w:rPr>
              <w:t>落实</w:t>
            </w:r>
            <w:r>
              <w:rPr>
                <w:rFonts w:ascii="宋体" w:hAnsi="宋体" w:eastAsia="宋体"/>
                <w:sz w:val="16"/>
              </w:rPr>
              <w:t>自治区粮食收储政策，切实</w:t>
            </w:r>
            <w:r>
              <w:rPr>
                <w:rFonts w:hint="eastAsia" w:ascii="宋体" w:hAnsi="宋体"/>
                <w:sz w:val="16"/>
                <w:lang w:eastAsia="zh-CN"/>
              </w:rPr>
              <w:t>保护</w:t>
            </w:r>
            <w:r>
              <w:rPr>
                <w:rFonts w:ascii="宋体" w:hAnsi="宋体" w:eastAsia="宋体"/>
                <w:sz w:val="16"/>
              </w:rPr>
              <w:t>农民的利益，确保了收购工作的顺利进行，实现了保持粮食价格稳定，保障粮食市场的正常流通和公平竞争，维护粮食市场的经济效益</w:t>
            </w:r>
          </w:p>
        </w:tc>
      </w:tr>
      <w:tr w14:paraId="2227DAA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6869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F3F0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7C56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F5C2A">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A53E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E19D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50FD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80729">
            <w:pPr>
              <w:jc w:val="center"/>
            </w:pPr>
            <w:r>
              <w:rPr>
                <w:rFonts w:ascii="宋体" w:hAnsi="宋体" w:eastAsia="宋体"/>
                <w:sz w:val="16"/>
              </w:rPr>
              <w:t>得分</w:t>
            </w:r>
          </w:p>
        </w:tc>
      </w:tr>
      <w:tr w14:paraId="326744B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FB128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5413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43C74">
            <w:pPr>
              <w:jc w:val="center"/>
            </w:pPr>
            <w:r>
              <w:rPr>
                <w:rFonts w:ascii="宋体" w:hAnsi="宋体" w:eastAsia="宋体"/>
                <w:sz w:val="16"/>
              </w:rPr>
              <w:t>开展</w:t>
            </w:r>
            <w:r>
              <w:rPr>
                <w:rFonts w:hint="eastAsia" w:ascii="宋体" w:hAnsi="宋体"/>
                <w:sz w:val="16"/>
                <w:lang w:eastAsia="zh-CN"/>
              </w:rPr>
              <w:t>“双随机、一公开”</w:t>
            </w:r>
            <w:r>
              <w:rPr>
                <w:rFonts w:ascii="宋体" w:hAnsi="宋体" w:eastAsia="宋体"/>
                <w:sz w:val="16"/>
              </w:rPr>
              <w:t>监督检查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560F1">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778B8">
            <w:pPr>
              <w:jc w:val="center"/>
            </w:pPr>
            <w:r>
              <w:rPr>
                <w:rFonts w:ascii="宋体" w:hAnsi="宋体" w:eastAsia="宋体"/>
                <w:sz w:val="16"/>
              </w:rPr>
              <w:t>粮食安全物资储备中心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34F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6D5C6">
            <w:pPr>
              <w:jc w:val="center"/>
            </w:pPr>
            <w:r>
              <w:rPr>
                <w:rFonts w:ascii="宋体" w:hAnsi="宋体" w:eastAsia="宋体"/>
                <w:sz w:val="16"/>
              </w:rPr>
              <w:t>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16D42">
            <w:pPr>
              <w:jc w:val="center"/>
            </w:pPr>
            <w:r>
              <w:rPr>
                <w:rFonts w:ascii="宋体" w:hAnsi="宋体" w:eastAsia="宋体"/>
                <w:sz w:val="16"/>
              </w:rPr>
              <w:t>0</w:t>
            </w:r>
          </w:p>
        </w:tc>
      </w:tr>
      <w:tr w14:paraId="137BA1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CC7C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39EBC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541F4">
            <w:pPr>
              <w:jc w:val="center"/>
            </w:pPr>
            <w:r>
              <w:rPr>
                <w:rFonts w:ascii="宋体" w:hAnsi="宋体" w:eastAsia="宋体"/>
                <w:sz w:val="16"/>
              </w:rPr>
              <w:t>开展市场收购监督检查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9B7B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BA79E">
            <w:pPr>
              <w:jc w:val="center"/>
            </w:pPr>
            <w:r>
              <w:rPr>
                <w:rFonts w:ascii="宋体" w:hAnsi="宋体" w:eastAsia="宋体"/>
                <w:sz w:val="16"/>
              </w:rPr>
              <w:t>粮食安全物资储备中心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4786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17522">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38ABF">
            <w:pPr>
              <w:jc w:val="center"/>
            </w:pPr>
            <w:r>
              <w:rPr>
                <w:rFonts w:ascii="宋体" w:hAnsi="宋体" w:eastAsia="宋体"/>
                <w:sz w:val="16"/>
              </w:rPr>
              <w:t>15</w:t>
            </w:r>
          </w:p>
        </w:tc>
      </w:tr>
      <w:tr w14:paraId="1C44B5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D11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B560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08257">
            <w:pPr>
              <w:jc w:val="center"/>
            </w:pPr>
            <w:r>
              <w:rPr>
                <w:rFonts w:ascii="宋体" w:hAnsi="宋体" w:eastAsia="宋体"/>
                <w:sz w:val="16"/>
              </w:rPr>
              <w:t>开展粮食库存检查（批次）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5272E">
            <w:pPr>
              <w:jc w:val="center"/>
            </w:pPr>
            <w:r>
              <w:rPr>
                <w:rFonts w:ascii="宋体" w:hAnsi="宋体" w:eastAsia="宋体"/>
                <w:sz w:val="16"/>
              </w:rPr>
              <w:t>&gt;=1批次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2B234">
            <w:pPr>
              <w:jc w:val="center"/>
            </w:pPr>
            <w:r>
              <w:rPr>
                <w:rFonts w:ascii="宋体" w:hAnsi="宋体" w:eastAsia="宋体"/>
                <w:sz w:val="16"/>
              </w:rPr>
              <w:t>粮食安全物资储备中心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5A3A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E4B5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D1301">
            <w:pPr>
              <w:jc w:val="center"/>
            </w:pPr>
            <w:r>
              <w:rPr>
                <w:rFonts w:ascii="宋体" w:hAnsi="宋体" w:eastAsia="宋体"/>
                <w:sz w:val="16"/>
              </w:rPr>
              <w:t>15</w:t>
            </w:r>
          </w:p>
        </w:tc>
      </w:tr>
      <w:tr w14:paraId="289910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6E4E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D6E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52635">
            <w:pPr>
              <w:jc w:val="center"/>
            </w:pPr>
            <w:r>
              <w:rPr>
                <w:rFonts w:ascii="宋体" w:hAnsi="宋体" w:eastAsia="宋体"/>
                <w:sz w:val="16"/>
              </w:rPr>
              <w:t>开展政策性粮食日常巡查（批次）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75296">
            <w:pPr>
              <w:jc w:val="center"/>
            </w:pPr>
            <w:r>
              <w:rPr>
                <w:rFonts w:ascii="宋体" w:hAnsi="宋体" w:eastAsia="宋体"/>
                <w:sz w:val="16"/>
              </w:rPr>
              <w:t>&gt;=4批次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F1674">
            <w:pPr>
              <w:jc w:val="center"/>
            </w:pPr>
            <w:r>
              <w:rPr>
                <w:rFonts w:ascii="宋体" w:hAnsi="宋体" w:eastAsia="宋体"/>
                <w:sz w:val="16"/>
              </w:rPr>
              <w:t>粮食安全物资储备中心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DFA6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67F70">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07660">
            <w:pPr>
              <w:jc w:val="center"/>
            </w:pPr>
            <w:r>
              <w:rPr>
                <w:rFonts w:ascii="宋体" w:hAnsi="宋体" w:eastAsia="宋体"/>
                <w:sz w:val="16"/>
              </w:rPr>
              <w:t>15</w:t>
            </w:r>
          </w:p>
        </w:tc>
      </w:tr>
      <w:tr w14:paraId="0C3F38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740E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3AC25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330BE">
            <w:pPr>
              <w:jc w:val="center"/>
            </w:pPr>
            <w:r>
              <w:rPr>
                <w:rFonts w:ascii="宋体" w:hAnsi="宋体" w:eastAsia="宋体"/>
                <w:sz w:val="16"/>
              </w:rPr>
              <w:t>价格监测工作次数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E8B8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17223">
            <w:pPr>
              <w:jc w:val="center"/>
            </w:pPr>
            <w:r>
              <w:rPr>
                <w:rFonts w:ascii="宋体" w:hAnsi="宋体" w:eastAsia="宋体"/>
                <w:sz w:val="16"/>
              </w:rPr>
              <w:t>计划粮食安全物资储备中心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F6A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FCD09">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13ADC">
            <w:pPr>
              <w:jc w:val="center"/>
            </w:pPr>
            <w:r>
              <w:rPr>
                <w:rFonts w:ascii="宋体" w:hAnsi="宋体" w:eastAsia="宋体"/>
                <w:sz w:val="16"/>
              </w:rPr>
              <w:t>10</w:t>
            </w:r>
          </w:p>
        </w:tc>
      </w:tr>
      <w:tr w14:paraId="0FCE05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5F35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8658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FC7A7">
            <w:pPr>
              <w:jc w:val="center"/>
            </w:pPr>
            <w:r>
              <w:rPr>
                <w:rFonts w:ascii="宋体" w:hAnsi="宋体" w:eastAsia="宋体"/>
                <w:sz w:val="16"/>
              </w:rPr>
              <w:t>价格认证工作次数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A8226">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1D1C6">
            <w:pPr>
              <w:jc w:val="center"/>
            </w:pPr>
            <w:r>
              <w:rPr>
                <w:rFonts w:ascii="宋体" w:hAnsi="宋体" w:eastAsia="宋体"/>
                <w:sz w:val="16"/>
              </w:rPr>
              <w:t>粮食安全物资储备中心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134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AD77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E2AC9">
            <w:pPr>
              <w:jc w:val="center"/>
            </w:pPr>
            <w:r>
              <w:rPr>
                <w:rFonts w:ascii="宋体" w:hAnsi="宋体" w:eastAsia="宋体"/>
                <w:sz w:val="16"/>
              </w:rPr>
              <w:t>10</w:t>
            </w:r>
          </w:p>
        </w:tc>
      </w:tr>
      <w:tr w14:paraId="7B9A0F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9926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E69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88283">
            <w:pPr>
              <w:jc w:val="center"/>
            </w:pPr>
            <w:r>
              <w:rPr>
                <w:rFonts w:ascii="宋体" w:hAnsi="宋体" w:eastAsia="宋体"/>
                <w:sz w:val="16"/>
              </w:rPr>
              <w:t>军粮供应规范化管理工作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B4A17">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A0820">
            <w:pPr>
              <w:jc w:val="center"/>
            </w:pPr>
            <w:r>
              <w:rPr>
                <w:rFonts w:ascii="宋体" w:hAnsi="宋体" w:eastAsia="宋体"/>
                <w:sz w:val="16"/>
              </w:rPr>
              <w:t>粮食安全物资储备中心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9B50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6529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F6477">
            <w:pPr>
              <w:jc w:val="center"/>
            </w:pPr>
            <w:r>
              <w:rPr>
                <w:rFonts w:ascii="宋体" w:hAnsi="宋体" w:eastAsia="宋体"/>
                <w:sz w:val="16"/>
              </w:rPr>
              <w:t>15</w:t>
            </w:r>
          </w:p>
        </w:tc>
      </w:tr>
    </w:tbl>
    <w:p w14:paraId="3D3BEF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906A478">
        <w:tblPrEx>
          <w:tblCellMar>
            <w:top w:w="0" w:type="dxa"/>
            <w:left w:w="108" w:type="dxa"/>
            <w:bottom w:w="0" w:type="dxa"/>
            <w:right w:w="108" w:type="dxa"/>
          </w:tblCellMar>
        </w:tblPrEx>
        <w:tc>
          <w:tcPr>
            <w:tcW w:w="8848" w:type="dxa"/>
            <w:gridSpan w:val="14"/>
            <w:vAlign w:val="center"/>
          </w:tcPr>
          <w:p w14:paraId="2D5CEEAB">
            <w:pPr>
              <w:jc w:val="center"/>
            </w:pPr>
            <w:r>
              <w:rPr>
                <w:rFonts w:ascii="宋体" w:hAnsi="宋体" w:eastAsia="宋体"/>
                <w:sz w:val="24"/>
              </w:rPr>
              <w:t>项目支出绩效自评表</w:t>
            </w:r>
          </w:p>
        </w:tc>
      </w:tr>
      <w:tr w14:paraId="552AD61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9805FEE">
            <w:pPr>
              <w:jc w:val="center"/>
            </w:pPr>
            <w:r>
              <w:rPr>
                <w:rFonts w:ascii="宋体" w:hAnsi="宋体" w:eastAsia="宋体"/>
                <w:sz w:val="24"/>
              </w:rPr>
              <w:t>(2024年度)</w:t>
            </w:r>
          </w:p>
        </w:tc>
      </w:tr>
      <w:tr w14:paraId="618FE6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161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D9BD28">
            <w:pPr>
              <w:jc w:val="center"/>
            </w:pPr>
            <w:r>
              <w:rPr>
                <w:rFonts w:ascii="宋体" w:hAnsi="宋体" w:eastAsia="宋体"/>
                <w:sz w:val="16"/>
              </w:rPr>
              <w:t>农产品调查经费</w:t>
            </w:r>
          </w:p>
        </w:tc>
      </w:tr>
      <w:tr w14:paraId="0F0F50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9C92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AD2429">
            <w:pPr>
              <w:jc w:val="center"/>
            </w:pPr>
            <w:r>
              <w:rPr>
                <w:rFonts w:hint="eastAsia" w:ascii="宋体" w:hAnsi="宋体"/>
                <w:sz w:val="16"/>
                <w:lang w:eastAsia="zh-CN"/>
              </w:rPr>
              <w:t>昌吉回族自治州</w:t>
            </w:r>
            <w:r>
              <w:rPr>
                <w:rFonts w:ascii="宋体" w:hAnsi="宋体" w:eastAsia="宋体"/>
                <w:sz w:val="16"/>
              </w:rPr>
              <w:t>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BF1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E07E71">
            <w:pPr>
              <w:jc w:val="center"/>
            </w:pPr>
            <w:r>
              <w:rPr>
                <w:rFonts w:ascii="宋体" w:hAnsi="宋体" w:eastAsia="宋体"/>
                <w:sz w:val="16"/>
              </w:rPr>
              <w:t>昌吉回族自治州粮食安全物资储备中心（价格监测认证中心）</w:t>
            </w:r>
          </w:p>
        </w:tc>
      </w:tr>
      <w:tr w14:paraId="0CEC02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0B7B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22A4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5B4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53C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B0A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17CA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D184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58149">
            <w:pPr>
              <w:jc w:val="center"/>
            </w:pPr>
            <w:r>
              <w:rPr>
                <w:rFonts w:ascii="宋体" w:hAnsi="宋体" w:eastAsia="宋体"/>
                <w:sz w:val="16"/>
              </w:rPr>
              <w:t>得分</w:t>
            </w:r>
          </w:p>
        </w:tc>
      </w:tr>
      <w:tr w14:paraId="75BE9E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510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6776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0CD1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E78F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29C06">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62B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EBE3D">
            <w:pPr>
              <w:jc w:val="center"/>
            </w:pPr>
            <w:r>
              <w:rPr>
                <w:rFonts w:ascii="宋体" w:hAnsi="宋体" w:eastAsia="宋体"/>
                <w:sz w:val="16"/>
              </w:rPr>
              <w:t>99.60%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4E1F">
            <w:pPr>
              <w:jc w:val="center"/>
            </w:pPr>
            <w:r>
              <w:rPr>
                <w:rFonts w:ascii="宋体" w:hAnsi="宋体" w:eastAsia="宋体"/>
                <w:sz w:val="16"/>
              </w:rPr>
              <w:t>9.90</w:t>
            </w:r>
          </w:p>
        </w:tc>
      </w:tr>
      <w:tr w14:paraId="70DFC8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655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2A9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212A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BB08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D2879">
            <w:pPr>
              <w:jc w:val="center"/>
            </w:pPr>
            <w:r>
              <w:rPr>
                <w:rFonts w:ascii="宋体" w:hAnsi="宋体" w:eastAsia="宋体"/>
                <w:sz w:val="16"/>
              </w:rPr>
              <w:t>4.98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CEA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9CF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7E315">
            <w:pPr>
              <w:jc w:val="center"/>
            </w:pPr>
            <w:r>
              <w:rPr>
                <w:rFonts w:ascii="宋体" w:hAnsi="宋体" w:eastAsia="宋体"/>
                <w:sz w:val="16"/>
              </w:rPr>
              <w:t>—</w:t>
            </w:r>
          </w:p>
        </w:tc>
      </w:tr>
      <w:tr w14:paraId="1FDA6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97D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BC5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FBE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764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2A1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8B0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826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0A658">
            <w:pPr>
              <w:jc w:val="center"/>
            </w:pPr>
            <w:r>
              <w:rPr>
                <w:rFonts w:ascii="宋体" w:hAnsi="宋体" w:eastAsia="宋体"/>
                <w:sz w:val="16"/>
              </w:rPr>
              <w:t>—</w:t>
            </w:r>
          </w:p>
        </w:tc>
      </w:tr>
      <w:tr w14:paraId="53868B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FBE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5C11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74E7DC">
            <w:pPr>
              <w:jc w:val="center"/>
            </w:pPr>
            <w:r>
              <w:rPr>
                <w:rFonts w:ascii="宋体" w:hAnsi="宋体" w:eastAsia="宋体"/>
                <w:sz w:val="16"/>
              </w:rPr>
              <w:t>实际完成情况</w:t>
            </w:r>
          </w:p>
        </w:tc>
      </w:tr>
      <w:tr w14:paraId="2608D1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3D79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0D891C">
            <w:pPr>
              <w:jc w:val="both"/>
            </w:pPr>
            <w:r>
              <w:rPr>
                <w:rFonts w:ascii="宋体" w:hAnsi="宋体" w:eastAsia="宋体"/>
                <w:sz w:val="16"/>
              </w:rPr>
              <w:t>落实2024年价格监测经费的合理使用，确保专人负责价格监测工作。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646FCC">
            <w:pPr>
              <w:jc w:val="both"/>
            </w:pPr>
            <w:r>
              <w:rPr>
                <w:rFonts w:ascii="宋体" w:hAnsi="宋体" w:eastAsia="宋体"/>
                <w:sz w:val="16"/>
              </w:rPr>
              <w:t>截至2024年12月31日，该项目实际完成99.6%，通过该项目的实施，全年完成分析材料10篇，调研报告2篇，完成每周固定的</w:t>
            </w:r>
            <w:r>
              <w:rPr>
                <w:rFonts w:hint="eastAsia" w:ascii="宋体" w:hAnsi="宋体"/>
                <w:sz w:val="16"/>
                <w:lang w:eastAsia="zh-CN"/>
              </w:rPr>
              <w:t>监测</w:t>
            </w:r>
            <w:r>
              <w:rPr>
                <w:rFonts w:ascii="宋体" w:hAnsi="宋体" w:eastAsia="宋体"/>
                <w:sz w:val="16"/>
              </w:rPr>
              <w:t>常规报表，完成国家和自治区价格监测中心培训任务2次。通过以上工作任务的实施和完成，提升了价格监测工作的数据准确性和及时性，促进了价格监测工作进一步提升，确保了昌吉州价格监测数据可靠，来源清晰，为党和政府行政决策提供第一手价格资料和大量</w:t>
            </w:r>
            <w:r>
              <w:rPr>
                <w:rFonts w:hint="eastAsia" w:ascii="宋体" w:hAnsi="宋体"/>
                <w:sz w:val="16"/>
                <w:lang w:eastAsia="zh-CN"/>
              </w:rPr>
              <w:t>翔实</w:t>
            </w:r>
            <w:r>
              <w:rPr>
                <w:rFonts w:ascii="宋体" w:hAnsi="宋体" w:eastAsia="宋体"/>
                <w:sz w:val="16"/>
              </w:rPr>
              <w:t>数据。</w:t>
            </w:r>
          </w:p>
        </w:tc>
      </w:tr>
      <w:tr w14:paraId="212BB2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F197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FA87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B9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05B4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4829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FEBC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DCC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E465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65B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19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93F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2AB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15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BCA2D">
            <w:pPr>
              <w:jc w:val="center"/>
            </w:pPr>
            <w:r>
              <w:rPr>
                <w:rFonts w:ascii="宋体" w:hAnsi="宋体" w:eastAsia="宋体"/>
                <w:sz w:val="16"/>
              </w:rPr>
              <w:t>偏差原因分析及改进措施</w:t>
            </w:r>
          </w:p>
        </w:tc>
      </w:tr>
      <w:tr w14:paraId="7E6B09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7FB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124D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208C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70FB4">
            <w:pPr>
              <w:jc w:val="center"/>
            </w:pPr>
            <w:r>
              <w:rPr>
                <w:rFonts w:ascii="宋体" w:hAnsi="宋体" w:eastAsia="宋体"/>
                <w:sz w:val="16"/>
              </w:rPr>
              <w:t>监测品种如粮油蔬菜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88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2D9BC">
            <w:pPr>
              <w:jc w:val="center"/>
            </w:pPr>
            <w:r>
              <w:rPr>
                <w:rFonts w:ascii="宋体" w:hAnsi="宋体" w:eastAsia="宋体"/>
                <w:sz w:val="16"/>
              </w:rPr>
              <w:t>&gt;=25个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DAAA8">
            <w:pPr>
              <w:jc w:val="center"/>
            </w:pPr>
            <w:r>
              <w:rPr>
                <w:rFonts w:ascii="宋体" w:hAnsi="宋体" w:eastAsia="宋体"/>
                <w:sz w:val="16"/>
              </w:rPr>
              <w:t>=25个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A7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F1F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269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5983">
            <w:pPr>
              <w:jc w:val="center"/>
            </w:pPr>
            <w:r>
              <w:rPr>
                <w:rFonts w:ascii="宋体" w:hAnsi="宋体" w:eastAsia="宋体"/>
                <w:sz w:val="16"/>
              </w:rPr>
              <w:t>25个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47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A4C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B798F">
            <w:pPr>
              <w:jc w:val="center"/>
            </w:pPr>
          </w:p>
        </w:tc>
      </w:tr>
      <w:tr w14:paraId="508F8F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30D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3FC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96A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17D6E">
            <w:pPr>
              <w:jc w:val="center"/>
            </w:pPr>
            <w:r>
              <w:rPr>
                <w:rFonts w:ascii="宋体" w:hAnsi="宋体" w:eastAsia="宋体"/>
                <w:sz w:val="16"/>
              </w:rPr>
              <w:t>全年完成两篇调研报告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89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A434">
            <w:pPr>
              <w:jc w:val="center"/>
            </w:pPr>
            <w:r>
              <w:rPr>
                <w:rFonts w:ascii="宋体" w:hAnsi="宋体" w:eastAsia="宋体"/>
                <w:sz w:val="16"/>
              </w:rPr>
              <w: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7A80">
            <w:pPr>
              <w:jc w:val="center"/>
            </w:pPr>
            <w:r>
              <w:rPr>
                <w:rFonts w:ascii="宋体" w:hAnsi="宋体" w:eastAsia="宋体"/>
                <w:sz w:val="16"/>
              </w:rPr>
              <w: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58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7CA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582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D76C">
            <w:pPr>
              <w:jc w:val="center"/>
            </w:pPr>
            <w:r>
              <w:rPr>
                <w:rFonts w:ascii="宋体" w:hAnsi="宋体" w:eastAsia="宋体"/>
                <w:sz w:val="16"/>
              </w:rPr>
              <w: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EA2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98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C246">
            <w:pPr>
              <w:jc w:val="center"/>
            </w:pPr>
          </w:p>
        </w:tc>
      </w:tr>
      <w:tr w14:paraId="53C7E7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D74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BAD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CD6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808A">
            <w:pPr>
              <w:jc w:val="center"/>
            </w:pPr>
            <w:r>
              <w:rPr>
                <w:rFonts w:ascii="宋体" w:hAnsi="宋体" w:eastAsia="宋体"/>
                <w:sz w:val="16"/>
              </w:rPr>
              <w:t>完成月度分析报告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8F8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E1B66">
            <w:pPr>
              <w:jc w:val="center"/>
            </w:pPr>
            <w:r>
              <w:rPr>
                <w:rFonts w:ascii="宋体" w:hAnsi="宋体" w:eastAsia="宋体"/>
                <w:sz w:val="16"/>
              </w:rPr>
              <w:t>&gt;=10篇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63FB">
            <w:pPr>
              <w:jc w:val="center"/>
            </w:pPr>
            <w:r>
              <w:rPr>
                <w:rFonts w:ascii="宋体" w:hAnsi="宋体" w:eastAsia="宋体"/>
                <w:sz w:val="16"/>
              </w:rPr>
              <w: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8AA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74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85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6DBD">
            <w:pPr>
              <w:jc w:val="center"/>
            </w:pPr>
            <w:r>
              <w:rPr>
                <w:rFonts w:ascii="宋体" w:hAnsi="宋体" w:eastAsia="宋体"/>
                <w:sz w:val="16"/>
              </w:rPr>
              <w:t>12篇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E5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15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1372">
            <w:pPr>
              <w:jc w:val="center"/>
            </w:pPr>
          </w:p>
        </w:tc>
      </w:tr>
      <w:tr w14:paraId="3E546F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656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169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EC14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2608">
            <w:pPr>
              <w:jc w:val="center"/>
            </w:pPr>
            <w:r>
              <w:rPr>
                <w:rFonts w:ascii="宋体" w:hAnsi="宋体" w:eastAsia="宋体"/>
                <w:sz w:val="16"/>
              </w:rPr>
              <w:t>价格监测数据合格率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72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D8F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02F2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8B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8C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23A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AFBE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07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C22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2279B">
            <w:pPr>
              <w:jc w:val="center"/>
            </w:pPr>
          </w:p>
        </w:tc>
      </w:tr>
      <w:tr w14:paraId="723D5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D31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DD0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C360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6DB9">
            <w:pPr>
              <w:jc w:val="center"/>
            </w:pPr>
            <w:r>
              <w:rPr>
                <w:rFonts w:ascii="宋体" w:hAnsi="宋体" w:eastAsia="宋体"/>
                <w:sz w:val="16"/>
              </w:rPr>
              <w:t>价格监测差旅、办公等费用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1AC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08330">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0062">
            <w:pPr>
              <w:jc w:val="center"/>
            </w:pPr>
            <w:r>
              <w:rPr>
                <w:rFonts w:ascii="宋体" w:hAnsi="宋体" w:eastAsia="宋体"/>
                <w:sz w:val="16"/>
              </w:rPr>
              <w: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5CFA">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3C35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A8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6A62">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5B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5DC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759B">
            <w:pPr>
              <w:jc w:val="center"/>
            </w:pPr>
            <w:r>
              <w:rPr>
                <w:rFonts w:ascii="宋体" w:hAnsi="宋体" w:eastAsia="宋体"/>
                <w:sz w:val="16"/>
              </w:rPr>
              <w:t>差旅费实际产生的费用剩余230元。</w:t>
            </w:r>
          </w:p>
        </w:tc>
      </w:tr>
      <w:tr w14:paraId="6FDAA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DF7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DA2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842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980A">
            <w:pPr>
              <w:jc w:val="center"/>
            </w:pPr>
            <w:r>
              <w:rPr>
                <w:rFonts w:ascii="宋体" w:hAnsi="宋体" w:eastAsia="宋体"/>
                <w:sz w:val="16"/>
              </w:rPr>
              <w:t>价格监测品种经费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88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5D6FB">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FBD5">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99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AE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8BA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96F1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4B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4340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3361">
            <w:pPr>
              <w:jc w:val="center"/>
            </w:pPr>
          </w:p>
        </w:tc>
      </w:tr>
      <w:tr w14:paraId="15C00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48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7AB2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198BC">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ECA5">
            <w:pPr>
              <w:jc w:val="center"/>
            </w:pPr>
            <w:r>
              <w:rPr>
                <w:rFonts w:ascii="宋体" w:hAnsi="宋体" w:eastAsia="宋体"/>
                <w:sz w:val="16"/>
              </w:rPr>
              <w:t>监测数据为上级政府提供参考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939F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25BA">
            <w:pPr>
              <w:jc w:val="center"/>
            </w:pPr>
            <w:r>
              <w:rPr>
                <w:rFonts w:ascii="宋体" w:hAnsi="宋体" w:eastAsia="宋体"/>
                <w:sz w:val="16"/>
              </w:rPr>
              <w:t>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4DD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FB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728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7F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2DBA">
            <w:pPr>
              <w:jc w:val="center"/>
            </w:pPr>
            <w:r>
              <w:rPr>
                <w:rFonts w:ascii="宋体" w:hAnsi="宋体" w:eastAsia="宋体"/>
                <w:sz w:val="16"/>
              </w:rPr>
              <w:t>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15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B4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699FA">
            <w:pPr>
              <w:jc w:val="center"/>
            </w:pPr>
          </w:p>
        </w:tc>
      </w:tr>
      <w:tr w14:paraId="0010DA7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47C7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1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3DE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A6CE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406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77C8">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D87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9823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21C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8A3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D9671"/>
        </w:tc>
      </w:tr>
    </w:tbl>
    <w:p w14:paraId="375EA16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65A81A54">
        <w:tblPrEx>
          <w:tblCellMar>
            <w:top w:w="0" w:type="dxa"/>
            <w:left w:w="108" w:type="dxa"/>
            <w:bottom w:w="0" w:type="dxa"/>
            <w:right w:w="108" w:type="dxa"/>
          </w:tblCellMar>
        </w:tblPrEx>
        <w:tc>
          <w:tcPr>
            <w:tcW w:w="8848" w:type="dxa"/>
            <w:gridSpan w:val="14"/>
            <w:vAlign w:val="center"/>
          </w:tcPr>
          <w:p w14:paraId="0F59CB3E">
            <w:pPr>
              <w:jc w:val="center"/>
            </w:pPr>
            <w:r>
              <w:rPr>
                <w:rFonts w:ascii="宋体" w:hAnsi="宋体" w:eastAsia="宋体"/>
                <w:sz w:val="24"/>
              </w:rPr>
              <w:t>项目支出绩效自评表</w:t>
            </w:r>
          </w:p>
        </w:tc>
      </w:tr>
      <w:tr w14:paraId="30BC34F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9AE33C">
            <w:pPr>
              <w:jc w:val="center"/>
            </w:pPr>
            <w:r>
              <w:rPr>
                <w:rFonts w:ascii="宋体" w:hAnsi="宋体" w:eastAsia="宋体"/>
                <w:sz w:val="24"/>
              </w:rPr>
              <w:t>(2024年度)</w:t>
            </w:r>
          </w:p>
        </w:tc>
      </w:tr>
      <w:tr w14:paraId="4FDF90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C11D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A72E5C">
            <w:pPr>
              <w:jc w:val="center"/>
            </w:pPr>
            <w:r>
              <w:rPr>
                <w:rFonts w:ascii="宋体" w:hAnsi="宋体" w:eastAsia="宋体"/>
                <w:sz w:val="16"/>
              </w:rPr>
              <w:t>机构运行保障经费</w:t>
            </w:r>
          </w:p>
        </w:tc>
      </w:tr>
      <w:tr w14:paraId="70888D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4C0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C7229D">
            <w:pPr>
              <w:jc w:val="center"/>
            </w:pPr>
            <w:r>
              <w:rPr>
                <w:rFonts w:ascii="宋体" w:hAnsi="宋体" w:eastAsia="宋体"/>
                <w:sz w:val="16"/>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4E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70C5C9">
            <w:pPr>
              <w:jc w:val="center"/>
            </w:pPr>
            <w:r>
              <w:rPr>
                <w:rFonts w:ascii="宋体" w:hAnsi="宋体" w:eastAsia="宋体"/>
                <w:sz w:val="16"/>
              </w:rPr>
              <w:t>昌吉回族自治州粮食安全物资储备中心（价格监测认证中心）</w:t>
            </w:r>
          </w:p>
        </w:tc>
      </w:tr>
      <w:tr w14:paraId="34914C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DA0F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CC50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85C4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9F26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7550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D57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2B20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425A">
            <w:pPr>
              <w:jc w:val="center"/>
            </w:pPr>
            <w:r>
              <w:rPr>
                <w:rFonts w:ascii="宋体" w:hAnsi="宋体" w:eastAsia="宋体"/>
                <w:sz w:val="16"/>
              </w:rPr>
              <w:t>得分</w:t>
            </w:r>
          </w:p>
        </w:tc>
      </w:tr>
      <w:tr w14:paraId="7BCA4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8A4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2614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0BA2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F889C">
            <w:pPr>
              <w:jc w:val="center"/>
            </w:pPr>
            <w:r>
              <w:rPr>
                <w:rFonts w:ascii="宋体" w:hAnsi="宋体" w:eastAsia="宋体"/>
                <w:sz w:val="16"/>
              </w:rPr>
              <w:t>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77624">
            <w:pPr>
              <w:jc w:val="center"/>
            </w:pPr>
            <w:r>
              <w:rPr>
                <w:rFonts w:ascii="宋体" w:hAnsi="宋体" w:eastAsia="宋体"/>
                <w:sz w:val="16"/>
              </w:rPr>
              <w:t>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104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F7DD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02618">
            <w:pPr>
              <w:jc w:val="center"/>
            </w:pPr>
            <w:r>
              <w:rPr>
                <w:rFonts w:ascii="宋体" w:hAnsi="宋体" w:eastAsia="宋体"/>
                <w:sz w:val="16"/>
              </w:rPr>
              <w:t>10.00</w:t>
            </w:r>
          </w:p>
        </w:tc>
      </w:tr>
      <w:tr w14:paraId="24E5A9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C17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746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5B8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C04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ADE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A80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EA5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987D">
            <w:pPr>
              <w:jc w:val="center"/>
            </w:pPr>
            <w:r>
              <w:rPr>
                <w:rFonts w:ascii="宋体" w:hAnsi="宋体" w:eastAsia="宋体"/>
                <w:sz w:val="16"/>
              </w:rPr>
              <w:t>—</w:t>
            </w:r>
          </w:p>
        </w:tc>
      </w:tr>
      <w:tr w14:paraId="56DEEA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768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2601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13BA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ABA1C">
            <w:pPr>
              <w:jc w:val="center"/>
            </w:pPr>
            <w:r>
              <w:rPr>
                <w:rFonts w:ascii="宋体" w:hAnsi="宋体" w:eastAsia="宋体"/>
                <w:sz w:val="16"/>
              </w:rPr>
              <w:t>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D26A9">
            <w:pPr>
              <w:jc w:val="center"/>
            </w:pPr>
            <w:r>
              <w:rPr>
                <w:rFonts w:ascii="宋体" w:hAnsi="宋体" w:eastAsia="宋体"/>
                <w:sz w:val="16"/>
              </w:rPr>
              <w:t>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A4D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CE9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EBA71">
            <w:pPr>
              <w:jc w:val="center"/>
            </w:pPr>
            <w:r>
              <w:rPr>
                <w:rFonts w:ascii="宋体" w:hAnsi="宋体" w:eastAsia="宋体"/>
                <w:sz w:val="16"/>
              </w:rPr>
              <w:t>—</w:t>
            </w:r>
          </w:p>
        </w:tc>
      </w:tr>
      <w:tr w14:paraId="194D70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79F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8E96E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0DFCED">
            <w:pPr>
              <w:jc w:val="center"/>
            </w:pPr>
            <w:r>
              <w:rPr>
                <w:rFonts w:ascii="宋体" w:hAnsi="宋体" w:eastAsia="宋体"/>
                <w:sz w:val="16"/>
              </w:rPr>
              <w:t>实际完成情况</w:t>
            </w:r>
          </w:p>
        </w:tc>
      </w:tr>
      <w:tr w14:paraId="5B7A5B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BD82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FF1381">
            <w:pPr>
              <w:jc w:val="both"/>
            </w:pPr>
            <w:r>
              <w:rPr>
                <w:rFonts w:ascii="宋体" w:hAnsi="宋体" w:eastAsia="宋体"/>
                <w:sz w:val="16"/>
              </w:rPr>
              <w:t>承担粮食经营活动实行监督检查、军粮供应管理工作、组织实施救灾物资等关键品类储备工作、价格监测和认定工作；保障粮食安全、为政府决策和经济发展提供价格监测和认定服务。保障26名办公人员、粮食领域、价格监测等工作完成率98%、中心运行差旅费、其他商品和服务支出等相关费用约2.981万元、发改办公耗材、资料印刷、电脑运维等相关费用约0.979万元，保障粮食安全、为政府决策和经济发展提供价格监测和认定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665B66">
            <w:pPr>
              <w:jc w:val="both"/>
            </w:pPr>
            <w:r>
              <w:rPr>
                <w:rFonts w:ascii="宋体" w:hAnsi="宋体" w:eastAsia="宋体"/>
                <w:sz w:val="16"/>
              </w:rPr>
              <w:t>截至2024年12月31日，该项目实际完成粮食</w:t>
            </w:r>
            <w:bookmarkStart w:id="0" w:name="_GoBack"/>
            <w:r>
              <w:rPr>
                <w:rFonts w:hint="eastAsia" w:ascii="宋体" w:hAnsi="宋体"/>
                <w:sz w:val="16"/>
                <w:lang w:eastAsia="zh-CN"/>
              </w:rPr>
              <w:t>领域</w:t>
            </w:r>
            <w:bookmarkEnd w:id="0"/>
            <w:r>
              <w:rPr>
                <w:rFonts w:ascii="宋体" w:hAnsi="宋体" w:eastAsia="宋体"/>
                <w:sz w:val="16"/>
              </w:rPr>
              <w:t>检查、价格监测工作2次，各项执法检查按照要求完成，均已达标，购买相关办公用品1.98万元，通过该项目的实施，提升了粮食市场的透明度，帮助各方面更好地了解市场动态；通过监督检查，提升政府对粮食市场的监管能力，确保政策有效落实，促进了粮食市场的健康发展以及粮食供应链的优化。</w:t>
            </w:r>
          </w:p>
        </w:tc>
      </w:tr>
      <w:tr w14:paraId="427216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899F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B17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685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475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5FD7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368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F007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3D9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6F6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2614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341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9F1F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DD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C26AB">
            <w:pPr>
              <w:jc w:val="center"/>
            </w:pPr>
            <w:r>
              <w:rPr>
                <w:rFonts w:ascii="宋体" w:hAnsi="宋体" w:eastAsia="宋体"/>
                <w:sz w:val="16"/>
              </w:rPr>
              <w:t>偏差原因分析及改进措施</w:t>
            </w:r>
          </w:p>
        </w:tc>
      </w:tr>
      <w:tr w14:paraId="349EF4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1BC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3C2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E646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74AC">
            <w:pPr>
              <w:jc w:val="center"/>
            </w:pPr>
            <w:r>
              <w:rPr>
                <w:rFonts w:ascii="宋体" w:hAnsi="宋体" w:eastAsia="宋体"/>
                <w:sz w:val="16"/>
              </w:rPr>
              <w:t>保障人员办公经费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FDB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EDB78">
            <w:pPr>
              <w:jc w:val="center"/>
            </w:pPr>
            <w:r>
              <w:rPr>
                <w:rFonts w:ascii="宋体" w:hAnsi="宋体" w:eastAsia="宋体"/>
                <w:sz w:val="16"/>
              </w:rPr>
              <w:t>&gt;=26个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40D8">
            <w:pPr>
              <w:jc w:val="center"/>
            </w:pPr>
            <w:r>
              <w:rPr>
                <w:rFonts w:ascii="宋体" w:hAnsi="宋体" w:eastAsia="宋体"/>
                <w:sz w:val="16"/>
              </w:rPr>
              <w:t>=25个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60C7">
            <w:pPr>
              <w:jc w:val="center"/>
            </w:pPr>
            <w:r>
              <w:rPr>
                <w:rFonts w:ascii="宋体" w:hAnsi="宋体" w:eastAsia="宋体"/>
                <w:sz w:val="16"/>
              </w:rPr>
              <w:t>96.15%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48D4">
            <w:pPr>
              <w:jc w:val="center"/>
            </w:pPr>
            <w:r>
              <w:rPr>
                <w:rFonts w:ascii="宋体" w:hAnsi="宋体" w:eastAsia="宋体"/>
                <w:sz w:val="16"/>
              </w:rPr>
              <w:t>13.56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2B6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C98B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0D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E8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CE0B">
            <w:pPr>
              <w:jc w:val="center"/>
            </w:pPr>
            <w:r>
              <w:rPr>
                <w:rFonts w:hint="eastAsia" w:ascii="宋体" w:hAnsi="宋体"/>
                <w:sz w:val="16"/>
                <w:lang w:eastAsia="zh-CN"/>
              </w:rPr>
              <w:t>本单位</w:t>
            </w:r>
            <w:r>
              <w:rPr>
                <w:rFonts w:ascii="宋体" w:hAnsi="宋体" w:eastAsia="宋体"/>
                <w:sz w:val="16"/>
              </w:rPr>
              <w:t>2024年度人员变动，调出1人。</w:t>
            </w:r>
          </w:p>
        </w:tc>
      </w:tr>
      <w:tr w14:paraId="325940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051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7FF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23D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AFA63">
            <w:pPr>
              <w:jc w:val="center"/>
            </w:pPr>
            <w:r>
              <w:rPr>
                <w:rFonts w:ascii="宋体" w:hAnsi="宋体" w:eastAsia="宋体"/>
                <w:sz w:val="16"/>
              </w:rPr>
              <w:t>完成粮食领域、价格监测等工作次数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1B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CF7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5FA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73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34F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4A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CC2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3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C90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55FD">
            <w:pPr>
              <w:jc w:val="center"/>
            </w:pPr>
          </w:p>
        </w:tc>
      </w:tr>
      <w:tr w14:paraId="0A6297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227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542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900B3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C15F">
            <w:pPr>
              <w:jc w:val="center"/>
            </w:pPr>
            <w:r>
              <w:rPr>
                <w:rFonts w:ascii="宋体" w:hAnsi="宋体" w:eastAsia="宋体"/>
                <w:sz w:val="16"/>
              </w:rPr>
              <w:t>粮食领域、价格监测等工作完成率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03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5D0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46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707E4">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074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C7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B271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04D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2A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A08DF">
            <w:pPr>
              <w:jc w:val="center"/>
            </w:pPr>
            <w:r>
              <w:rPr>
                <w:rFonts w:ascii="宋体" w:hAnsi="宋体" w:eastAsia="宋体"/>
                <w:sz w:val="16"/>
              </w:rPr>
              <w:t>考虑实际工作中的困难，目标值设置较低，实际超额完成。</w:t>
            </w:r>
          </w:p>
        </w:tc>
      </w:tr>
      <w:tr w14:paraId="48B5C8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2B8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0C1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8ED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73D8D">
            <w:pPr>
              <w:jc w:val="center"/>
            </w:pPr>
            <w:r>
              <w:rPr>
                <w:rFonts w:ascii="宋体" w:hAnsi="宋体" w:eastAsia="宋体"/>
                <w:sz w:val="16"/>
              </w:rPr>
              <w:t>各项执法检查达标率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16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3D64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309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78C6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C2525">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BEF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0FE8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75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87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4EFD">
            <w:pPr>
              <w:jc w:val="center"/>
            </w:pPr>
            <w:r>
              <w:rPr>
                <w:rFonts w:ascii="宋体" w:hAnsi="宋体" w:eastAsia="宋体"/>
                <w:sz w:val="16"/>
              </w:rPr>
              <w:t>考虑实际工作中的困难，目标值设置较低，实际超额完成。</w:t>
            </w:r>
          </w:p>
        </w:tc>
      </w:tr>
      <w:tr w14:paraId="7DEEA0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633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D944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3D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A5F29">
            <w:pPr>
              <w:jc w:val="center"/>
            </w:pPr>
            <w:r>
              <w:rPr>
                <w:rFonts w:ascii="宋体" w:hAnsi="宋体" w:eastAsia="宋体"/>
                <w:sz w:val="16"/>
              </w:rPr>
              <w:t>发改办公耗材、资料印刷、电脑运维等相关费用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495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815AD">
            <w:pPr>
              <w:jc w:val="center"/>
            </w:pPr>
            <w:r>
              <w:rPr>
                <w:rFonts w:ascii="宋体" w:hAnsi="宋体" w:eastAsia="宋体"/>
                <w:sz w:val="16"/>
              </w:rPr>
              <w:t>&lt;=1.98万元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C885">
            <w:pPr>
              <w:jc w:val="center"/>
            </w:pPr>
            <w:r>
              <w:rPr>
                <w:rFonts w:ascii="宋体" w:hAnsi="宋体" w:eastAsia="宋体"/>
                <w:sz w:val="16"/>
              </w:rPr>
              <w:t>=1.98万元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FAA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EAD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BD8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989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670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BE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ACD01">
            <w:pPr>
              <w:jc w:val="center"/>
            </w:pPr>
          </w:p>
        </w:tc>
      </w:tr>
      <w:tr w14:paraId="76086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93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2235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5F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4D70">
            <w:pPr>
              <w:jc w:val="center"/>
            </w:pPr>
            <w:r>
              <w:rPr>
                <w:rFonts w:ascii="宋体" w:hAnsi="宋体" w:eastAsia="宋体"/>
                <w:sz w:val="16"/>
              </w:rPr>
              <w:t>保障粮食安全、为政府决策和经济发展提供价格监测和认定服务。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FDA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6C2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AF0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12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C1FB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82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D1E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95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61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967FD">
            <w:pPr>
              <w:jc w:val="center"/>
            </w:pPr>
          </w:p>
        </w:tc>
      </w:tr>
      <w:tr w14:paraId="19B09B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586C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17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11F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E694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7BE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7F9E">
            <w:pPr>
              <w:jc w:val="center"/>
            </w:pPr>
            <w:r>
              <w:rPr>
                <w:rFonts w:ascii="宋体" w:hAnsi="宋体" w:eastAsia="宋体"/>
                <w:sz w:val="16"/>
              </w:rPr>
              <w:t>97.81分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FC21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748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6317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6B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B10A0"/>
        </w:tc>
      </w:tr>
    </w:tbl>
    <w:p w14:paraId="6E369C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11353593">
        <w:tblPrEx>
          <w:tblCellMar>
            <w:top w:w="0" w:type="dxa"/>
            <w:left w:w="108" w:type="dxa"/>
            <w:bottom w:w="0" w:type="dxa"/>
            <w:right w:w="108" w:type="dxa"/>
          </w:tblCellMar>
        </w:tblPrEx>
        <w:tc>
          <w:tcPr>
            <w:tcW w:w="8848" w:type="dxa"/>
            <w:gridSpan w:val="14"/>
            <w:vAlign w:val="center"/>
          </w:tcPr>
          <w:p w14:paraId="5360A070">
            <w:pPr>
              <w:jc w:val="center"/>
            </w:pPr>
            <w:r>
              <w:rPr>
                <w:rFonts w:ascii="宋体" w:hAnsi="宋体" w:eastAsia="宋体"/>
                <w:sz w:val="24"/>
              </w:rPr>
              <w:t>项目支出绩效自评表</w:t>
            </w:r>
          </w:p>
        </w:tc>
      </w:tr>
      <w:tr w14:paraId="5170BEB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ED2F16">
            <w:pPr>
              <w:jc w:val="center"/>
            </w:pPr>
            <w:r>
              <w:rPr>
                <w:rFonts w:ascii="宋体" w:hAnsi="宋体" w:eastAsia="宋体"/>
                <w:sz w:val="24"/>
              </w:rPr>
              <w:t>(2024年度)</w:t>
            </w:r>
          </w:p>
        </w:tc>
      </w:tr>
      <w:tr w14:paraId="2E5C0D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EA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30112F">
            <w:pPr>
              <w:jc w:val="center"/>
            </w:pPr>
            <w:r>
              <w:rPr>
                <w:rFonts w:ascii="宋体" w:hAnsi="宋体" w:eastAsia="宋体"/>
                <w:sz w:val="16"/>
              </w:rPr>
              <w:t>粮食流通监督检查业务经费</w:t>
            </w:r>
          </w:p>
        </w:tc>
      </w:tr>
      <w:tr w14:paraId="2A3AA8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C2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123B09">
            <w:pPr>
              <w:jc w:val="center"/>
            </w:pPr>
            <w:r>
              <w:rPr>
                <w:rFonts w:ascii="宋体" w:hAnsi="宋体" w:eastAsia="宋体"/>
                <w:sz w:val="16"/>
              </w:rPr>
              <w:t>昌吉回族自治州粮食安全物资储备中心（价格监测认证中心）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791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62A94B">
            <w:pPr>
              <w:jc w:val="center"/>
            </w:pPr>
            <w:r>
              <w:rPr>
                <w:rFonts w:ascii="宋体" w:hAnsi="宋体" w:eastAsia="宋体"/>
                <w:sz w:val="16"/>
              </w:rPr>
              <w:t>昌吉回族自治州粮食安全物资储备中心（价格监测认证中心）</w:t>
            </w:r>
          </w:p>
        </w:tc>
      </w:tr>
      <w:tr w14:paraId="6FA408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547BA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876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CEF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415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1EE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26ED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73C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E26F8">
            <w:pPr>
              <w:jc w:val="center"/>
            </w:pPr>
            <w:r>
              <w:rPr>
                <w:rFonts w:ascii="宋体" w:hAnsi="宋体" w:eastAsia="宋体"/>
                <w:sz w:val="16"/>
              </w:rPr>
              <w:t>得分</w:t>
            </w:r>
          </w:p>
        </w:tc>
      </w:tr>
      <w:tr w14:paraId="29D20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12A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08C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3F27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62A5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171D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0C4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2C89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6A70">
            <w:pPr>
              <w:jc w:val="center"/>
            </w:pPr>
            <w:r>
              <w:rPr>
                <w:rFonts w:ascii="宋体" w:hAnsi="宋体" w:eastAsia="宋体"/>
                <w:sz w:val="16"/>
              </w:rPr>
              <w:t>10.00</w:t>
            </w:r>
          </w:p>
        </w:tc>
      </w:tr>
      <w:tr w14:paraId="5630AD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EF0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63B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B652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7176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0C80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3B8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292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28AE9">
            <w:pPr>
              <w:jc w:val="center"/>
            </w:pPr>
            <w:r>
              <w:rPr>
                <w:rFonts w:ascii="宋体" w:hAnsi="宋体" w:eastAsia="宋体"/>
                <w:sz w:val="16"/>
              </w:rPr>
              <w:t>—</w:t>
            </w:r>
          </w:p>
        </w:tc>
      </w:tr>
      <w:tr w14:paraId="0025C0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40A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968B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C78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F4A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8D6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F5F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161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4923">
            <w:pPr>
              <w:jc w:val="center"/>
            </w:pPr>
            <w:r>
              <w:rPr>
                <w:rFonts w:ascii="宋体" w:hAnsi="宋体" w:eastAsia="宋体"/>
                <w:sz w:val="16"/>
              </w:rPr>
              <w:t>—</w:t>
            </w:r>
          </w:p>
        </w:tc>
      </w:tr>
      <w:tr w14:paraId="452465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5044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C43D6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762B29">
            <w:pPr>
              <w:jc w:val="center"/>
            </w:pPr>
            <w:r>
              <w:rPr>
                <w:rFonts w:ascii="宋体" w:hAnsi="宋体" w:eastAsia="宋体"/>
                <w:sz w:val="16"/>
              </w:rPr>
              <w:t>实际完成情况</w:t>
            </w:r>
          </w:p>
        </w:tc>
      </w:tr>
      <w:tr w14:paraId="17162B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FA4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E37814">
            <w:pPr>
              <w:jc w:val="both"/>
            </w:pPr>
            <w:r>
              <w:rPr>
                <w:rFonts w:ascii="宋体" w:hAnsi="宋体" w:eastAsia="宋体"/>
                <w:sz w:val="16"/>
              </w:rPr>
              <w:t>1.开展2批次市场收购以及执行国家粮食流通统计制度的情况检查，严格落实自治区粮食收储政策，切实保护种粮农民利益，确保收购工作顺利进行。    2.开展1批次政策性粮食库存检查，确保储粮安全、数量真实、质量良好。    3.开展4批次政策性粮食日常巡查，监督检查粮食收储企业执行国家粮食政策情况及政策性粮食储存情况，督促各县市发改委落实属地监管责任。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CAB30E">
            <w:pPr>
              <w:jc w:val="both"/>
            </w:pPr>
            <w:r>
              <w:rPr>
                <w:rFonts w:ascii="宋体" w:hAnsi="宋体" w:eastAsia="宋体"/>
                <w:sz w:val="16"/>
              </w:rPr>
              <w:t>截至2024年12月31日，该项目开展市场收购监督检查2次；开展粮食库存检查1批次；开展政策性粮食日常巡查4批次；各项执法检查均按照文件要求严格执行；各类检查差旅费、办公费等10万元。通过该项目的实施，提升了粮食市场的透明度，帮助各方面更好地了解市场动态；通过监督检查，提升政府对粮食市场的监管能力，确保政策有效落实，促进了粮食市场的健康发展以及粮食供应链的优化。</w:t>
            </w:r>
          </w:p>
        </w:tc>
      </w:tr>
      <w:tr w14:paraId="03D050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3ED2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B0A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67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D37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E85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89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F1F3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FCE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8C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525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20F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BC4A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2E31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01BBD">
            <w:pPr>
              <w:jc w:val="center"/>
            </w:pPr>
            <w:r>
              <w:rPr>
                <w:rFonts w:ascii="宋体" w:hAnsi="宋体" w:eastAsia="宋体"/>
                <w:sz w:val="16"/>
              </w:rPr>
              <w:t>偏差原因分析及改进措施</w:t>
            </w:r>
          </w:p>
        </w:tc>
      </w:tr>
      <w:tr w14:paraId="3FBB8A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8886F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881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06D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1A357">
            <w:pPr>
              <w:jc w:val="center"/>
            </w:pPr>
            <w:r>
              <w:rPr>
                <w:rFonts w:ascii="宋体" w:hAnsi="宋体" w:eastAsia="宋体"/>
                <w:sz w:val="16"/>
              </w:rPr>
              <w:t>开展市场收购监督检查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70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BD6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C547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C2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6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64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A9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61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EBF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B549">
            <w:pPr>
              <w:jc w:val="center"/>
            </w:pPr>
          </w:p>
        </w:tc>
      </w:tr>
      <w:tr w14:paraId="62BDF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B95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F11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1B1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43893">
            <w:pPr>
              <w:jc w:val="center"/>
            </w:pPr>
            <w:r>
              <w:rPr>
                <w:rFonts w:ascii="宋体" w:hAnsi="宋体" w:eastAsia="宋体"/>
                <w:sz w:val="16"/>
              </w:rPr>
              <w:t>开展粮食库存检查（批次）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45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18C9">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BF0D">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6B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12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56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CB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1FB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416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7DF68">
            <w:pPr>
              <w:jc w:val="center"/>
            </w:pPr>
          </w:p>
        </w:tc>
      </w:tr>
      <w:tr w14:paraId="550840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E1D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2A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27E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033B">
            <w:pPr>
              <w:jc w:val="center"/>
            </w:pPr>
            <w:r>
              <w:rPr>
                <w:rFonts w:ascii="宋体" w:hAnsi="宋体" w:eastAsia="宋体"/>
                <w:sz w:val="16"/>
              </w:rPr>
              <w:t>开展政策性粮食日常巡查（批次）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F3F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E1FF">
            <w:pPr>
              <w:jc w:val="center"/>
            </w:pPr>
            <w:r>
              <w:rPr>
                <w:rFonts w:ascii="宋体" w:hAnsi="宋体" w:eastAsia="宋体"/>
                <w:sz w:val="16"/>
              </w:rPr>
              <w: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2A552">
            <w:pPr>
              <w:jc w:val="center"/>
            </w:pPr>
            <w:r>
              <w:rPr>
                <w:rFonts w:ascii="宋体" w:hAnsi="宋体" w:eastAsia="宋体"/>
                <w:sz w:val="16"/>
              </w:rPr>
              <w: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EF0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1F3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90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9E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CF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28F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2D04">
            <w:pPr>
              <w:jc w:val="center"/>
            </w:pPr>
          </w:p>
        </w:tc>
      </w:tr>
      <w:tr w14:paraId="33AD5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2F0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D9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1E5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89DC">
            <w:pPr>
              <w:jc w:val="center"/>
            </w:pPr>
            <w:r>
              <w:rPr>
                <w:rFonts w:ascii="宋体" w:hAnsi="宋体" w:eastAsia="宋体"/>
                <w:sz w:val="16"/>
              </w:rPr>
              <w:t>各项执法检查达标率（%）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7E9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6329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3BE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783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88BDD">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13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6C1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EB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73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A7897">
            <w:pPr>
              <w:jc w:val="center"/>
            </w:pPr>
            <w:r>
              <w:rPr>
                <w:rFonts w:ascii="宋体" w:hAnsi="宋体" w:eastAsia="宋体"/>
                <w:sz w:val="16"/>
              </w:rPr>
              <w:t>考虑实际工作中的困难，目标值设置较低，实际超额完成。</w:t>
            </w:r>
          </w:p>
        </w:tc>
      </w:tr>
      <w:tr w14:paraId="4779AD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06F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C304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FB8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95BD1">
            <w:pPr>
              <w:jc w:val="center"/>
            </w:pPr>
            <w:r>
              <w:rPr>
                <w:rFonts w:ascii="宋体" w:hAnsi="宋体" w:eastAsia="宋体"/>
                <w:sz w:val="16"/>
              </w:rPr>
              <w:t>开展市场收购检查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DCA2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0CC9D">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28481">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17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2142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88D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31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AE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C77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46E16">
            <w:pPr>
              <w:jc w:val="center"/>
            </w:pPr>
          </w:p>
        </w:tc>
      </w:tr>
      <w:tr w14:paraId="7F0F89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50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CD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439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39E7">
            <w:pPr>
              <w:jc w:val="center"/>
            </w:pPr>
            <w:r>
              <w:rPr>
                <w:rFonts w:ascii="宋体" w:hAnsi="宋体" w:eastAsia="宋体"/>
                <w:sz w:val="16"/>
              </w:rPr>
              <w:t>开展粮食库存检查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B7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C67E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925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A8A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C4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49C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44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F1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085F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15E8">
            <w:pPr>
              <w:jc w:val="center"/>
            </w:pPr>
          </w:p>
        </w:tc>
      </w:tr>
      <w:tr w14:paraId="56042F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A82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2A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05C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98315">
            <w:pPr>
              <w:jc w:val="center"/>
            </w:pPr>
            <w:r>
              <w:rPr>
                <w:rFonts w:ascii="宋体" w:hAnsi="宋体" w:eastAsia="宋体"/>
                <w:sz w:val="16"/>
              </w:rPr>
              <w:t>开展政策性粮食日常巡查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2A9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EB08">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67B9">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9C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26E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225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8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B6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4CC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26BF5">
            <w:pPr>
              <w:jc w:val="center"/>
            </w:pPr>
          </w:p>
        </w:tc>
      </w:tr>
      <w:tr w14:paraId="278056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EEA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6216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C2B5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C96A6">
            <w:pPr>
              <w:jc w:val="center"/>
            </w:pPr>
            <w:r>
              <w:rPr>
                <w:rFonts w:ascii="宋体" w:hAnsi="宋体" w:eastAsia="宋体"/>
                <w:sz w:val="16"/>
              </w:rPr>
              <w:t>有效提高粮食库存质量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CB8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34BD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CA175">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B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E791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49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02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B6A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0A8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8A33">
            <w:pPr>
              <w:jc w:val="center"/>
            </w:pPr>
          </w:p>
        </w:tc>
      </w:tr>
      <w:tr w14:paraId="62D54B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A809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30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7E8F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9DE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6CA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445B2">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E49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EB4B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ABE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9884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E49998"/>
        </w:tc>
      </w:tr>
    </w:tbl>
    <w:p w14:paraId="3731C972">
      <w:r>
        <w:br w:type="page"/>
      </w:r>
    </w:p>
    <w:p w14:paraId="6881BE5B">
      <w:pPr>
        <w:spacing w:line="640" w:lineRule="exact"/>
        <w:ind w:firstLine="640"/>
        <w:jc w:val="both"/>
        <w:outlineLvl w:val="2"/>
      </w:pPr>
      <w:r>
        <w:rPr>
          <w:rFonts w:ascii="黑体" w:hAnsi="黑体" w:eastAsia="黑体"/>
          <w:sz w:val="32"/>
        </w:rPr>
        <w:t>十二、其他需说明的事项</w:t>
      </w:r>
    </w:p>
    <w:p w14:paraId="4E68CBFD">
      <w:pPr>
        <w:spacing w:line="580" w:lineRule="exact"/>
        <w:ind w:firstLine="640"/>
        <w:jc w:val="both"/>
      </w:pPr>
      <w:r>
        <w:rPr>
          <w:rFonts w:ascii="仿宋_GB2312" w:hAnsi="仿宋_GB2312" w:eastAsia="仿宋_GB2312"/>
          <w:b w:val="0"/>
          <w:sz w:val="32"/>
        </w:rPr>
        <w:t>本单位无其他需说明的事项。</w:t>
      </w:r>
    </w:p>
    <w:p w14:paraId="3A954702">
      <w:r>
        <w:br w:type="page"/>
      </w:r>
    </w:p>
    <w:p w14:paraId="3659B796">
      <w:pPr>
        <w:spacing w:line="240" w:lineRule="auto"/>
        <w:jc w:val="center"/>
        <w:outlineLvl w:val="1"/>
      </w:pPr>
      <w:r>
        <w:rPr>
          <w:rFonts w:ascii="黑体" w:hAnsi="黑体" w:eastAsia="黑体"/>
          <w:sz w:val="32"/>
        </w:rPr>
        <w:t>第三部分 专业名词解释</w:t>
      </w:r>
    </w:p>
    <w:p w14:paraId="20F4927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30AD1B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EE0A6E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ADEECA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9D8600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746514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B6C293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522A4F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25CFB1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E455F4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94B2F5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5BD57D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8E1FED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DD358A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FDF5AA6">
      <w:r>
        <w:br w:type="page"/>
      </w:r>
    </w:p>
    <w:p w14:paraId="07EB808F">
      <w:pPr>
        <w:spacing w:line="240" w:lineRule="auto"/>
        <w:jc w:val="center"/>
        <w:outlineLvl w:val="1"/>
      </w:pPr>
      <w:r>
        <w:rPr>
          <w:rFonts w:ascii="黑体" w:hAnsi="黑体" w:eastAsia="黑体"/>
          <w:sz w:val="32"/>
        </w:rPr>
        <w:t>第四部分 部门决算报表（见附表）</w:t>
      </w:r>
    </w:p>
    <w:p w14:paraId="3247FB3C">
      <w:pPr>
        <w:spacing w:line="240" w:lineRule="auto"/>
        <w:ind w:firstLine="640"/>
        <w:jc w:val="both"/>
      </w:pPr>
      <w:r>
        <w:rPr>
          <w:rFonts w:ascii="仿宋_GB2312" w:hAnsi="仿宋_GB2312" w:eastAsia="仿宋_GB2312"/>
          <w:b w:val="0"/>
          <w:sz w:val="32"/>
        </w:rPr>
        <w:t>一、《收入支出决算总表》</w:t>
      </w:r>
    </w:p>
    <w:p w14:paraId="7AA2DE43">
      <w:pPr>
        <w:spacing w:line="240" w:lineRule="auto"/>
        <w:ind w:firstLine="640"/>
        <w:jc w:val="both"/>
      </w:pPr>
      <w:r>
        <w:rPr>
          <w:rFonts w:ascii="仿宋_GB2312" w:hAnsi="仿宋_GB2312" w:eastAsia="仿宋_GB2312"/>
          <w:b w:val="0"/>
          <w:sz w:val="32"/>
        </w:rPr>
        <w:t>二、《收入决算表》</w:t>
      </w:r>
    </w:p>
    <w:p w14:paraId="2D418D83">
      <w:pPr>
        <w:spacing w:line="240" w:lineRule="auto"/>
        <w:ind w:firstLine="640"/>
        <w:jc w:val="both"/>
      </w:pPr>
      <w:r>
        <w:rPr>
          <w:rFonts w:ascii="仿宋_GB2312" w:hAnsi="仿宋_GB2312" w:eastAsia="仿宋_GB2312"/>
          <w:b w:val="0"/>
          <w:sz w:val="32"/>
        </w:rPr>
        <w:t>三、《支出决算表》</w:t>
      </w:r>
    </w:p>
    <w:p w14:paraId="50CB2839">
      <w:pPr>
        <w:spacing w:line="240" w:lineRule="auto"/>
        <w:ind w:firstLine="640"/>
        <w:jc w:val="both"/>
      </w:pPr>
      <w:r>
        <w:rPr>
          <w:rFonts w:ascii="仿宋_GB2312" w:hAnsi="仿宋_GB2312" w:eastAsia="仿宋_GB2312"/>
          <w:b w:val="0"/>
          <w:sz w:val="32"/>
        </w:rPr>
        <w:t>四、《财政拨款收入支出决算总表》</w:t>
      </w:r>
    </w:p>
    <w:p w14:paraId="31411A4E">
      <w:pPr>
        <w:spacing w:line="240" w:lineRule="auto"/>
        <w:ind w:firstLine="640"/>
        <w:jc w:val="both"/>
      </w:pPr>
      <w:r>
        <w:rPr>
          <w:rFonts w:ascii="仿宋_GB2312" w:hAnsi="仿宋_GB2312" w:eastAsia="仿宋_GB2312"/>
          <w:b w:val="0"/>
          <w:sz w:val="32"/>
        </w:rPr>
        <w:t>五、《一般公共预算财政拨款支出决算表》</w:t>
      </w:r>
    </w:p>
    <w:p w14:paraId="0C4DD36F">
      <w:pPr>
        <w:spacing w:line="240" w:lineRule="auto"/>
        <w:ind w:firstLine="640"/>
        <w:jc w:val="both"/>
      </w:pPr>
      <w:r>
        <w:rPr>
          <w:rFonts w:ascii="仿宋_GB2312" w:hAnsi="仿宋_GB2312" w:eastAsia="仿宋_GB2312"/>
          <w:b w:val="0"/>
          <w:sz w:val="32"/>
        </w:rPr>
        <w:t>六、《一般公共预算财政拨款基本支出决算表》</w:t>
      </w:r>
    </w:p>
    <w:p w14:paraId="41657EE4">
      <w:pPr>
        <w:spacing w:line="240" w:lineRule="auto"/>
        <w:ind w:firstLine="640"/>
        <w:jc w:val="both"/>
      </w:pPr>
      <w:r>
        <w:rPr>
          <w:rFonts w:ascii="仿宋_GB2312" w:hAnsi="仿宋_GB2312" w:eastAsia="仿宋_GB2312"/>
          <w:b w:val="0"/>
          <w:sz w:val="32"/>
        </w:rPr>
        <w:t>七、《政府性基金预算财政拨款收入支出决算表》</w:t>
      </w:r>
    </w:p>
    <w:p w14:paraId="106EE829">
      <w:pPr>
        <w:spacing w:line="240" w:lineRule="auto"/>
        <w:ind w:firstLine="640"/>
        <w:jc w:val="both"/>
      </w:pPr>
      <w:r>
        <w:rPr>
          <w:rFonts w:ascii="仿宋_GB2312" w:hAnsi="仿宋_GB2312" w:eastAsia="仿宋_GB2312"/>
          <w:b w:val="0"/>
          <w:sz w:val="32"/>
        </w:rPr>
        <w:t>八、《国有资本经营预算财政拨款收入支出决算表》</w:t>
      </w:r>
    </w:p>
    <w:p w14:paraId="0142F07D">
      <w:pPr>
        <w:spacing w:line="240" w:lineRule="auto"/>
        <w:ind w:firstLine="640"/>
        <w:jc w:val="both"/>
      </w:pPr>
      <w:r>
        <w:rPr>
          <w:rFonts w:ascii="仿宋_GB2312" w:hAnsi="仿宋_GB2312" w:eastAsia="仿宋_GB2312"/>
          <w:b w:val="0"/>
          <w:sz w:val="32"/>
        </w:rPr>
        <w:t>九、《财政拨款“三公”经费支出决算表》</w:t>
      </w:r>
    </w:p>
    <w:p w14:paraId="7D211C0A">
      <w:pPr>
        <w:spacing w:line="240" w:lineRule="auto"/>
        <w:ind w:firstLine="640"/>
        <w:jc w:val="both"/>
      </w:pPr>
    </w:p>
    <w:p w14:paraId="76AD56FF">
      <w:pPr>
        <w:spacing w:line="240" w:lineRule="auto"/>
        <w:ind w:firstLine="640"/>
        <w:jc w:val="both"/>
      </w:pPr>
    </w:p>
    <w:p w14:paraId="5AB26D53">
      <w:pPr>
        <w:spacing w:line="240" w:lineRule="auto"/>
        <w:ind w:firstLine="640"/>
        <w:jc w:val="both"/>
      </w:pPr>
    </w:p>
    <w:p w14:paraId="052C6597">
      <w:pPr>
        <w:spacing w:line="240" w:lineRule="auto"/>
        <w:ind w:firstLine="640"/>
        <w:jc w:val="both"/>
      </w:pPr>
    </w:p>
    <w:p w14:paraId="5A8BE31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4D4E09"/>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5818</Words>
  <Characters>6567</Characters>
  <Lines>0</Lines>
  <Paragraphs>0</Paragraphs>
  <TotalTime>1</TotalTime>
  <ScaleCrop>false</ScaleCrop>
  <LinksUpToDate>false</LinksUpToDate>
  <CharactersWithSpaces>6575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2025-10-15T04:53:22Z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