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1BB3CD5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昌吉回族自治州老年人老干部活动中心</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12E4777">
      <w:r>
        <w:br w:type="page"/>
      </w:r>
    </w:p>
    <w:p w14:paraId="328709F0">
      <w:pPr>
        <w:spacing w:line="640" w:lineRule="exact"/>
        <w:jc w:val="center"/>
        <w:outlineLvl w:val="1"/>
      </w:pPr>
      <w:r>
        <w:rPr>
          <w:rFonts w:ascii="黑体" w:hAnsi="黑体" w:eastAsia="黑体"/>
          <w:sz w:val="32"/>
        </w:rPr>
        <w:t>第一部分 单位概况</w:t>
      </w:r>
    </w:p>
    <w:p w14:paraId="0B036DFE">
      <w:pPr>
        <w:spacing w:line="640" w:lineRule="exact"/>
        <w:ind w:firstLine="640"/>
        <w:jc w:val="both"/>
        <w:outlineLvl w:val="2"/>
      </w:pPr>
      <w:r>
        <w:rPr>
          <w:rFonts w:ascii="黑体" w:hAnsi="黑体" w:eastAsia="黑体"/>
          <w:sz w:val="32"/>
        </w:rPr>
        <w:t>一、主要职能</w:t>
      </w:r>
    </w:p>
    <w:p w14:paraId="44DD9510">
      <w:pPr>
        <w:spacing w:line="580" w:lineRule="exact"/>
        <w:ind w:firstLine="640"/>
        <w:jc w:val="both"/>
      </w:pPr>
      <w:r>
        <w:rPr>
          <w:rFonts w:ascii="仿宋_GB2312" w:hAnsi="仿宋_GB2312" w:eastAsia="仿宋_GB2312"/>
          <w:sz w:val="32"/>
        </w:rPr>
        <w:t>昌吉回族自治州老年人老干部活动中心负责为昌吉回族自治州</w:t>
      </w:r>
      <w:r>
        <w:rPr>
          <w:rFonts w:hint="eastAsia" w:ascii="仿宋_GB2312" w:hAnsi="仿宋_GB2312" w:eastAsia="仿宋_GB2312"/>
          <w:sz w:val="32"/>
          <w:lang w:eastAsia="zh-CN"/>
        </w:rPr>
        <w:t>、政</w:t>
      </w:r>
      <w:r>
        <w:rPr>
          <w:rFonts w:ascii="仿宋_GB2312" w:hAnsi="仿宋_GB2312" w:eastAsia="仿宋_GB2312"/>
          <w:sz w:val="32"/>
        </w:rPr>
        <w:t>府所在地60岁以上老年人和老干部活动及老年群团组织提供服务管理，负责组织开展各类学习及文化、体育、娱乐、健康活动。承担州直商贸系统离退休干部及遗孀、精简人员生活费的管理、发放、医疗保健、丧葬处理等服务性工作。负责做好州老年大学的具体教学等日常工作。</w:t>
      </w:r>
    </w:p>
    <w:p w14:paraId="5BDF9B11">
      <w:pPr>
        <w:spacing w:line="640" w:lineRule="exact"/>
        <w:ind w:firstLine="640"/>
        <w:jc w:val="both"/>
        <w:outlineLvl w:val="2"/>
      </w:pPr>
      <w:r>
        <w:rPr>
          <w:rFonts w:ascii="黑体" w:hAnsi="黑体" w:eastAsia="黑体"/>
          <w:sz w:val="32"/>
        </w:rPr>
        <w:t>二、机构设置及人员情况</w:t>
      </w:r>
    </w:p>
    <w:p w14:paraId="2A35E0D4">
      <w:pPr>
        <w:spacing w:line="580" w:lineRule="exact"/>
        <w:ind w:firstLine="640"/>
        <w:jc w:val="both"/>
      </w:pPr>
      <w:r>
        <w:rPr>
          <w:rFonts w:ascii="仿宋_GB2312" w:hAnsi="仿宋_GB2312" w:eastAsia="仿宋_GB2312"/>
          <w:sz w:val="32"/>
        </w:rPr>
        <w:t>昌吉回族自治州老年人老干部活动中心2024年度，实有人数24人，其中：在职人员13人，增加0人；离休人员0人，增加0人；退休人员11人,增加0人。</w:t>
      </w:r>
    </w:p>
    <w:p w14:paraId="235B5015">
      <w:pPr>
        <w:spacing w:line="580" w:lineRule="exact"/>
        <w:ind w:firstLine="640"/>
        <w:jc w:val="both"/>
      </w:pPr>
      <w:r>
        <w:rPr>
          <w:rFonts w:ascii="仿宋_GB2312" w:hAnsi="仿宋_GB2312" w:eastAsia="仿宋_GB2312"/>
          <w:sz w:val="32"/>
        </w:rPr>
        <w:t>昌吉回族自治州老年人老干部活动中心无下属预算单位，下设4个科室，分别是：维保科、综合科、活动科、老年大学。</w:t>
      </w:r>
    </w:p>
    <w:p w14:paraId="5EA707E9">
      <w:r>
        <w:br w:type="page"/>
      </w:r>
    </w:p>
    <w:p w14:paraId="4D166ECA">
      <w:pPr>
        <w:spacing w:line="240" w:lineRule="auto"/>
        <w:jc w:val="center"/>
        <w:outlineLvl w:val="1"/>
      </w:pPr>
      <w:r>
        <w:rPr>
          <w:rFonts w:ascii="黑体" w:hAnsi="黑体" w:eastAsia="黑体"/>
          <w:sz w:val="32"/>
        </w:rPr>
        <w:t>第二部分 部门决算情况说明</w:t>
      </w:r>
    </w:p>
    <w:p w14:paraId="4B9BBCB5">
      <w:pPr>
        <w:spacing w:line="640" w:lineRule="exact"/>
        <w:ind w:firstLine="640"/>
        <w:jc w:val="both"/>
        <w:outlineLvl w:val="2"/>
      </w:pPr>
      <w:r>
        <w:rPr>
          <w:rFonts w:ascii="黑体" w:hAnsi="黑体" w:eastAsia="黑体"/>
          <w:sz w:val="32"/>
        </w:rPr>
        <w:t>一、收入支出决算总体情况说明</w:t>
      </w:r>
    </w:p>
    <w:p w14:paraId="30100F9A">
      <w:pPr>
        <w:spacing w:line="580" w:lineRule="exact"/>
        <w:ind w:firstLine="640"/>
        <w:jc w:val="both"/>
      </w:pPr>
      <w:r>
        <w:rPr>
          <w:rFonts w:ascii="仿宋_GB2312" w:hAnsi="仿宋_GB2312" w:eastAsia="仿宋_GB2312"/>
          <w:b/>
          <w:sz w:val="32"/>
        </w:rPr>
        <w:t>2024年度收入总计534.36万元，</w:t>
      </w:r>
      <w:r>
        <w:rPr>
          <w:rFonts w:ascii="仿宋_GB2312" w:hAnsi="仿宋_GB2312" w:eastAsia="仿宋_GB2312"/>
          <w:b w:val="0"/>
          <w:sz w:val="32"/>
        </w:rPr>
        <w:t>其中：本年收入合计524.08万元，使用非财政拨款结余（含专用结余）0.00万元，年初结转和结余10.27万元。</w:t>
      </w:r>
    </w:p>
    <w:p w14:paraId="7EE1C8B5">
      <w:pPr>
        <w:spacing w:line="580" w:lineRule="exact"/>
        <w:ind w:firstLine="640"/>
        <w:jc w:val="both"/>
      </w:pPr>
      <w:r>
        <w:rPr>
          <w:rFonts w:ascii="仿宋_GB2312" w:hAnsi="仿宋_GB2312" w:eastAsia="仿宋_GB2312"/>
          <w:b/>
          <w:sz w:val="32"/>
        </w:rPr>
        <w:t>2024年度支出总计534.36万元，</w:t>
      </w:r>
      <w:r>
        <w:rPr>
          <w:rFonts w:ascii="仿宋_GB2312" w:hAnsi="仿宋_GB2312" w:eastAsia="仿宋_GB2312"/>
          <w:b w:val="0"/>
          <w:sz w:val="32"/>
        </w:rPr>
        <w:t>其中：本年支出合计524.53万元，结余分配0.00万元，年末结转和结余9.83万元。</w:t>
      </w:r>
    </w:p>
    <w:p w14:paraId="7B229429">
      <w:pPr>
        <w:spacing w:line="580" w:lineRule="exact"/>
        <w:ind w:firstLine="640"/>
        <w:jc w:val="both"/>
      </w:pPr>
      <w:r>
        <w:rPr>
          <w:rFonts w:ascii="仿宋_GB2312" w:hAnsi="仿宋_GB2312" w:eastAsia="仿宋_GB2312"/>
          <w:b w:val="0"/>
          <w:sz w:val="32"/>
        </w:rPr>
        <w:t>收入支出总体与上年相比，增加45.15万元，增长9.23%，主要原因是：本年增加昌吉州老年人老干部活动中心综合大楼维修项目资金。</w:t>
      </w:r>
    </w:p>
    <w:p w14:paraId="4F7C36DA">
      <w:pPr>
        <w:spacing w:line="640" w:lineRule="exact"/>
        <w:ind w:firstLine="640"/>
        <w:jc w:val="both"/>
        <w:outlineLvl w:val="2"/>
      </w:pPr>
      <w:r>
        <w:rPr>
          <w:rFonts w:ascii="黑体" w:hAnsi="黑体" w:eastAsia="黑体"/>
          <w:sz w:val="32"/>
        </w:rPr>
        <w:t>二、收入决算情况说明</w:t>
      </w:r>
    </w:p>
    <w:p w14:paraId="625A0E5C">
      <w:pPr>
        <w:spacing w:line="580" w:lineRule="exact"/>
        <w:ind w:firstLine="640"/>
        <w:jc w:val="both"/>
      </w:pPr>
      <w:r>
        <w:rPr>
          <w:rFonts w:ascii="仿宋_GB2312" w:hAnsi="仿宋_GB2312" w:eastAsia="仿宋_GB2312"/>
          <w:b/>
          <w:sz w:val="32"/>
        </w:rPr>
        <w:t>本年收入524.08万元，</w:t>
      </w:r>
      <w:r>
        <w:rPr>
          <w:rFonts w:ascii="仿宋_GB2312" w:hAnsi="仿宋_GB2312" w:eastAsia="仿宋_GB2312"/>
          <w:b w:val="0"/>
          <w:sz w:val="32"/>
        </w:rPr>
        <w:t>其中：财政拨款收入515.17万元，占98.30%；上级补助收入0.00万元，占0.00%；事业收入0.00万元，占0.00%；经营收入0.00万元，占0.00%；附属单位上缴收入0.00万元，占0.00%；其他收入8.92万元，占1.70%。</w:t>
      </w:r>
    </w:p>
    <w:p w14:paraId="792B770F">
      <w:pPr>
        <w:spacing w:line="640" w:lineRule="exact"/>
        <w:ind w:firstLine="640"/>
        <w:jc w:val="both"/>
        <w:outlineLvl w:val="2"/>
      </w:pPr>
      <w:r>
        <w:rPr>
          <w:rFonts w:ascii="黑体" w:hAnsi="黑体" w:eastAsia="黑体"/>
          <w:sz w:val="32"/>
        </w:rPr>
        <w:t>三、支出决算情况说明</w:t>
      </w:r>
    </w:p>
    <w:p w14:paraId="77B7827A">
      <w:pPr>
        <w:spacing w:line="580" w:lineRule="exact"/>
        <w:ind w:firstLine="640"/>
        <w:jc w:val="both"/>
      </w:pPr>
      <w:r>
        <w:rPr>
          <w:rFonts w:ascii="仿宋_GB2312" w:hAnsi="仿宋_GB2312" w:eastAsia="仿宋_GB2312"/>
          <w:b/>
          <w:sz w:val="32"/>
        </w:rPr>
        <w:t>本年支出524.53万元，</w:t>
      </w:r>
      <w:r>
        <w:rPr>
          <w:rFonts w:ascii="仿宋_GB2312" w:hAnsi="仿宋_GB2312" w:eastAsia="仿宋_GB2312"/>
          <w:b w:val="0"/>
          <w:sz w:val="32"/>
        </w:rPr>
        <w:t>其中：基本支出311.66万元，占59.42%；项目支出212.87万元，占40.58%；上缴上级支出0.00万元，占0.00%；经营支出0.00万元，占0.00%；对附属单位补助支出0.00万元，占0.00%。</w:t>
      </w:r>
    </w:p>
    <w:p w14:paraId="0122011E">
      <w:pPr>
        <w:spacing w:line="640" w:lineRule="exact"/>
        <w:ind w:firstLine="640"/>
        <w:jc w:val="both"/>
        <w:outlineLvl w:val="2"/>
      </w:pPr>
      <w:r>
        <w:rPr>
          <w:rFonts w:ascii="黑体" w:hAnsi="黑体" w:eastAsia="黑体"/>
          <w:sz w:val="32"/>
        </w:rPr>
        <w:t>四、财政拨款收入支出决算总体情况说明</w:t>
      </w:r>
    </w:p>
    <w:p w14:paraId="64035F8A">
      <w:pPr>
        <w:spacing w:line="580" w:lineRule="exact"/>
        <w:ind w:firstLine="640"/>
        <w:jc w:val="both"/>
      </w:pPr>
      <w:r>
        <w:rPr>
          <w:rFonts w:ascii="仿宋_GB2312" w:hAnsi="仿宋_GB2312" w:eastAsia="仿宋_GB2312"/>
          <w:b/>
          <w:sz w:val="32"/>
        </w:rPr>
        <w:t>2024年度财政拨款收入总计515.17万元，</w:t>
      </w:r>
      <w:r>
        <w:rPr>
          <w:rFonts w:ascii="仿宋_GB2312" w:hAnsi="仿宋_GB2312" w:eastAsia="仿宋_GB2312"/>
          <w:b w:val="0"/>
          <w:sz w:val="32"/>
        </w:rPr>
        <w:t>其中：年初财政拨款结转和结余0.00万元，本年财政拨款收入515.17万元。</w:t>
      </w:r>
      <w:r>
        <w:rPr>
          <w:rFonts w:ascii="仿宋_GB2312" w:hAnsi="仿宋_GB2312" w:eastAsia="仿宋_GB2312"/>
          <w:b/>
          <w:sz w:val="32"/>
        </w:rPr>
        <w:t>财政拨款支出总计515.17万元，</w:t>
      </w:r>
      <w:r>
        <w:rPr>
          <w:rFonts w:ascii="仿宋_GB2312" w:hAnsi="仿宋_GB2312" w:eastAsia="仿宋_GB2312"/>
          <w:b w:val="0"/>
          <w:sz w:val="32"/>
        </w:rPr>
        <w:t>其中：年末财政拨款结转和结余0.00万元，本年财政拨款支出515.17万元。</w:t>
      </w:r>
    </w:p>
    <w:p w14:paraId="572299DB">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增加53.77万元，增长11.65%，主要原因是：本年增加昌吉州老年人老干部活动中心综合大楼维修项目资金。</w:t>
      </w:r>
      <w:r>
        <w:rPr>
          <w:rFonts w:ascii="仿宋_GB2312" w:hAnsi="仿宋_GB2312" w:eastAsia="仿宋_GB2312"/>
          <w:b/>
          <w:sz w:val="32"/>
        </w:rPr>
        <w:t>与年初预算相比，</w:t>
      </w:r>
      <w:r>
        <w:rPr>
          <w:rFonts w:ascii="仿宋_GB2312" w:hAnsi="仿宋_GB2312" w:eastAsia="仿宋_GB2312"/>
          <w:b w:val="0"/>
          <w:sz w:val="32"/>
        </w:rPr>
        <w:t>年初预算数450.65万元，决算数515.17万元，预决算差异率14.32%，主要原因是：年中追加绩效奖金及昌吉州老年人老干部活动中心综合大楼维修项目，导致预决算存在差异。</w:t>
      </w:r>
    </w:p>
    <w:p w14:paraId="35C19E13">
      <w:pPr>
        <w:spacing w:line="640" w:lineRule="exact"/>
        <w:ind w:firstLine="640"/>
        <w:jc w:val="both"/>
        <w:outlineLvl w:val="2"/>
      </w:pPr>
      <w:r>
        <w:rPr>
          <w:rFonts w:ascii="黑体" w:hAnsi="黑体" w:eastAsia="黑体"/>
          <w:sz w:val="32"/>
        </w:rPr>
        <w:t>五、一般公共预算财政拨款支出决算情况说明</w:t>
      </w:r>
    </w:p>
    <w:p w14:paraId="1B29B87D">
      <w:pPr>
        <w:spacing w:line="640" w:lineRule="exact"/>
        <w:ind w:firstLine="640"/>
        <w:jc w:val="both"/>
        <w:outlineLvl w:val="3"/>
      </w:pPr>
      <w:r>
        <w:rPr>
          <w:rFonts w:ascii="楷体_GB2312" w:hAnsi="楷体_GB2312" w:eastAsia="楷体_GB2312"/>
          <w:b/>
          <w:sz w:val="32"/>
        </w:rPr>
        <w:t>（一）一般公共预算财政拨款支出决算总体情况</w:t>
      </w:r>
    </w:p>
    <w:p w14:paraId="30F2F715">
      <w:pPr>
        <w:spacing w:line="580" w:lineRule="exact"/>
        <w:ind w:firstLine="640"/>
        <w:jc w:val="both"/>
      </w:pPr>
      <w:r>
        <w:rPr>
          <w:rFonts w:ascii="仿宋_GB2312" w:hAnsi="仿宋_GB2312" w:eastAsia="仿宋_GB2312"/>
          <w:b/>
          <w:sz w:val="32"/>
        </w:rPr>
        <w:t>2024年度一般公共预算财政拨款支出515.17万元，</w:t>
      </w:r>
      <w:r>
        <w:rPr>
          <w:rFonts w:ascii="仿宋_GB2312" w:hAnsi="仿宋_GB2312" w:eastAsia="仿宋_GB2312"/>
          <w:b w:val="0"/>
          <w:sz w:val="32"/>
        </w:rPr>
        <w:t>占本年支出合计的98.22%。</w:t>
      </w:r>
      <w:r>
        <w:rPr>
          <w:rFonts w:ascii="仿宋_GB2312" w:hAnsi="仿宋_GB2312" w:eastAsia="仿宋_GB2312"/>
          <w:b/>
          <w:sz w:val="32"/>
        </w:rPr>
        <w:t>与上年相比，</w:t>
      </w:r>
      <w:r>
        <w:rPr>
          <w:rFonts w:ascii="仿宋_GB2312" w:hAnsi="仿宋_GB2312" w:eastAsia="仿宋_GB2312"/>
          <w:b w:val="0"/>
          <w:sz w:val="32"/>
        </w:rPr>
        <w:t>增加53.77万元，增长11.65%，主要原因是：本年增加昌吉州老年人老干部活动中心综合大楼维修项目。</w:t>
      </w:r>
      <w:r>
        <w:rPr>
          <w:rFonts w:ascii="仿宋_GB2312" w:hAnsi="仿宋_GB2312" w:eastAsia="仿宋_GB2312"/>
          <w:b/>
          <w:sz w:val="32"/>
        </w:rPr>
        <w:t>与年初预算相比,</w:t>
      </w:r>
      <w:r>
        <w:rPr>
          <w:rFonts w:ascii="仿宋_GB2312" w:hAnsi="仿宋_GB2312" w:eastAsia="仿宋_GB2312"/>
          <w:b w:val="0"/>
          <w:sz w:val="32"/>
        </w:rPr>
        <w:t>年初预算数450.65万元，决算数515.17万元，预决算差异率14.32%，主要原因是：年中追加绩效奖金及昌吉州老年人老干部活动中心综合大楼维修项目，导致预决算存在差异。</w:t>
      </w:r>
    </w:p>
    <w:p w14:paraId="09E1DA38">
      <w:pPr>
        <w:spacing w:line="640" w:lineRule="exact"/>
        <w:ind w:firstLine="640"/>
        <w:jc w:val="both"/>
        <w:outlineLvl w:val="3"/>
      </w:pPr>
      <w:r>
        <w:rPr>
          <w:rFonts w:ascii="楷体_GB2312" w:hAnsi="楷体_GB2312" w:eastAsia="楷体_GB2312"/>
          <w:b/>
          <w:sz w:val="32"/>
        </w:rPr>
        <w:t>（二）一般公共预算财政拨款支出决算结构情况</w:t>
      </w:r>
    </w:p>
    <w:p w14:paraId="18D53A75">
      <w:pPr>
        <w:spacing w:line="580" w:lineRule="exact"/>
        <w:ind w:firstLine="640"/>
        <w:jc w:val="both"/>
      </w:pPr>
      <w:r>
        <w:rPr>
          <w:rFonts w:ascii="仿宋_GB2312" w:hAnsi="仿宋_GB2312" w:eastAsia="仿宋_GB2312"/>
          <w:b w:val="0"/>
          <w:sz w:val="32"/>
        </w:rPr>
        <w:t>1.社会保障和就业支出(类)485.39万元,占94.22%。</w:t>
      </w:r>
    </w:p>
    <w:p w14:paraId="6ACAE9E2">
      <w:pPr>
        <w:spacing w:line="580" w:lineRule="exact"/>
        <w:ind w:firstLine="640"/>
        <w:jc w:val="both"/>
      </w:pPr>
      <w:r>
        <w:rPr>
          <w:rFonts w:ascii="仿宋_GB2312" w:hAnsi="仿宋_GB2312" w:eastAsia="仿宋_GB2312"/>
          <w:b w:val="0"/>
          <w:sz w:val="32"/>
        </w:rPr>
        <w:t>2.卫生健康支出(类)12.38万元,占2.40%。</w:t>
      </w:r>
    </w:p>
    <w:p w14:paraId="70AA2BA7">
      <w:pPr>
        <w:spacing w:line="580" w:lineRule="exact"/>
        <w:ind w:firstLine="640"/>
        <w:jc w:val="both"/>
      </w:pPr>
      <w:r>
        <w:rPr>
          <w:rFonts w:ascii="仿宋_GB2312" w:hAnsi="仿宋_GB2312" w:eastAsia="仿宋_GB2312"/>
          <w:b w:val="0"/>
          <w:sz w:val="32"/>
        </w:rPr>
        <w:t>3.住房保障支出(类)17.40万元,占3.38%。</w:t>
      </w:r>
    </w:p>
    <w:p w14:paraId="62FAD541">
      <w:pPr>
        <w:spacing w:line="640" w:lineRule="exact"/>
        <w:ind w:firstLine="640"/>
        <w:jc w:val="both"/>
        <w:outlineLvl w:val="3"/>
      </w:pPr>
      <w:r>
        <w:rPr>
          <w:rFonts w:ascii="楷体_GB2312" w:hAnsi="楷体_GB2312" w:eastAsia="楷体_GB2312"/>
          <w:b/>
          <w:sz w:val="32"/>
        </w:rPr>
        <w:t>（三）一般公共预算财政拨款支出决算具体情况</w:t>
      </w:r>
    </w:p>
    <w:p w14:paraId="0CBA9BE7">
      <w:pPr>
        <w:spacing w:line="580" w:lineRule="exact"/>
        <w:ind w:firstLine="640"/>
        <w:jc w:val="both"/>
      </w:pPr>
      <w:r>
        <w:rPr>
          <w:rFonts w:ascii="仿宋_GB2312" w:hAnsi="仿宋_GB2312" w:eastAsia="仿宋_GB2312"/>
          <w:b w:val="0"/>
          <w:sz w:val="32"/>
        </w:rPr>
        <w:t>1.社会保障和就业支出(类)行政事业单位养老支出(款)行政单位离退休(项):支出决算数为6.81万元，比上年决算增加2.31万元，增长51.33%,主要原因是：本年增加退休人员基础绩效奖，退休费支出增加。</w:t>
      </w:r>
    </w:p>
    <w:p w14:paraId="4764CE96">
      <w:pPr>
        <w:spacing w:line="580" w:lineRule="exact"/>
        <w:ind w:firstLine="640"/>
        <w:jc w:val="both"/>
      </w:pPr>
      <w:r>
        <w:rPr>
          <w:rFonts w:ascii="仿宋_GB2312" w:hAnsi="仿宋_GB2312" w:eastAsia="仿宋_GB2312"/>
          <w:b w:val="0"/>
          <w:sz w:val="32"/>
        </w:rPr>
        <w:t>2.社会保障和就业支出(类)行政事业单位养老支出(款)离退休人员管理机构(项):支出决算数为439.98万元，比上年决算增加43.78万元，增长11.05%,主要原因是：本年增加昌吉州老年人老干部活动中心综合大楼维修项目。</w:t>
      </w:r>
    </w:p>
    <w:p w14:paraId="26EDFB24">
      <w:pPr>
        <w:spacing w:line="580" w:lineRule="exact"/>
        <w:ind w:firstLine="640"/>
        <w:jc w:val="both"/>
      </w:pPr>
      <w:r>
        <w:rPr>
          <w:rFonts w:ascii="仿宋_GB2312" w:hAnsi="仿宋_GB2312" w:eastAsia="仿宋_GB2312"/>
          <w:b w:val="0"/>
          <w:sz w:val="32"/>
        </w:rPr>
        <w:t>3.社会保障和就业支出(类)行政事业单位养老支出(款)机关事业单位基本养老保险缴费支出(项):支出决算数为24.05万元，比上年决算增加2.57万元，增长11.96%,主要原因是：本年在职人员工资基数调增，养老缴费基数上涨，相应支出增加。</w:t>
      </w:r>
    </w:p>
    <w:p w14:paraId="68909ACA">
      <w:pPr>
        <w:spacing w:line="580" w:lineRule="exact"/>
        <w:ind w:firstLine="640"/>
        <w:jc w:val="both"/>
      </w:pPr>
      <w:r>
        <w:rPr>
          <w:rFonts w:ascii="仿宋_GB2312" w:hAnsi="仿宋_GB2312" w:eastAsia="仿宋_GB2312"/>
          <w:b w:val="0"/>
          <w:sz w:val="32"/>
        </w:rPr>
        <w:t>4.社会保障和就业支出(类)行政事业单位养老支出(款)机关事业单位职业年金缴费支出(项):支出决算数为14.54万元，比上年决算增加2.99万元，增长25.89%,主要原因是：本年在职人员工资基数调增，职业年金缴费基数上涨，相应支出增加。</w:t>
      </w:r>
    </w:p>
    <w:p w14:paraId="53EB836D">
      <w:pPr>
        <w:spacing w:line="580" w:lineRule="exact"/>
        <w:ind w:firstLine="640"/>
        <w:jc w:val="both"/>
      </w:pPr>
      <w:r>
        <w:rPr>
          <w:rFonts w:ascii="仿宋_GB2312" w:hAnsi="仿宋_GB2312" w:eastAsia="仿宋_GB2312"/>
          <w:b w:val="0"/>
          <w:sz w:val="32"/>
        </w:rPr>
        <w:t>5.卫生健康支出(类)行政事业单位医疗(款)行政单位医疗(项):支出决算数为2.33万元，比上年决算增加0.57万元，增长32.39%,主要原因是：本年在职人员工资基数调增，行政单位医疗缴费基数上涨，相应支出增加。</w:t>
      </w:r>
    </w:p>
    <w:p w14:paraId="1C3477D0">
      <w:pPr>
        <w:spacing w:line="580" w:lineRule="exact"/>
        <w:ind w:firstLine="640"/>
        <w:jc w:val="both"/>
      </w:pPr>
      <w:r>
        <w:rPr>
          <w:rFonts w:ascii="仿宋_GB2312" w:hAnsi="仿宋_GB2312" w:eastAsia="仿宋_GB2312"/>
          <w:b w:val="0"/>
          <w:sz w:val="32"/>
        </w:rPr>
        <w:t>6.卫生健康支出(类)行政事业单位医疗(款)事业单位医疗(项):支出决算数为9.19万元，比上年决算增加2.44万元，增长36.15%,主要原因是：本年在职人员工资基数调增，事业单位医疗缴费基数上涨，相应支出增加。</w:t>
      </w:r>
    </w:p>
    <w:p w14:paraId="5DED69B9">
      <w:pPr>
        <w:spacing w:line="580" w:lineRule="exact"/>
        <w:ind w:firstLine="640"/>
        <w:jc w:val="both"/>
      </w:pPr>
      <w:r>
        <w:rPr>
          <w:rFonts w:ascii="仿宋_GB2312" w:hAnsi="仿宋_GB2312" w:eastAsia="仿宋_GB2312"/>
          <w:b w:val="0"/>
          <w:sz w:val="32"/>
        </w:rPr>
        <w:t>7.卫生健康支出(类)行政事业单位医疗(款)公务员医疗补助(项):支出决算数为0.72万元，比上年决算增加0.52万元，增长260.00%,主要原因是：本年在职人员工资基数调增，公务员医疗补助缴费基数上涨，相应支出增加。</w:t>
      </w:r>
    </w:p>
    <w:p w14:paraId="62724ECF">
      <w:pPr>
        <w:spacing w:line="580" w:lineRule="exact"/>
        <w:ind w:firstLine="640"/>
        <w:jc w:val="both"/>
      </w:pPr>
      <w:r>
        <w:rPr>
          <w:rFonts w:ascii="仿宋_GB2312" w:hAnsi="仿宋_GB2312" w:eastAsia="仿宋_GB2312"/>
          <w:b w:val="0"/>
          <w:sz w:val="32"/>
        </w:rPr>
        <w:t>8.卫生健康支出(类)行政事业单位医疗(款)其他行政事业单位医疗支出(项):支出决算数为0.14万元，比上年决算增加0.02万元，增长16.67%,主要原因是：本年在职人员工资基数调增，其他行政事业单位医疗缴费基数上涨，相应支出增加。</w:t>
      </w:r>
    </w:p>
    <w:p w14:paraId="14B4D253">
      <w:pPr>
        <w:spacing w:line="580" w:lineRule="exact"/>
        <w:ind w:firstLine="640"/>
        <w:jc w:val="both"/>
      </w:pPr>
      <w:r>
        <w:rPr>
          <w:rFonts w:ascii="仿宋_GB2312" w:hAnsi="仿宋_GB2312" w:eastAsia="仿宋_GB2312"/>
          <w:b w:val="0"/>
          <w:sz w:val="32"/>
        </w:rPr>
        <w:t>9.住房保障支出(类)住房改革支出(款)住房公积金(项):支出决算数为17.40万元，比上年决算减少1.45万元，下降7.69%,主要原因是：本年在职人员调入调出，人员职级不同，缴费基数不同，导致住房公积金较上年减少。</w:t>
      </w:r>
    </w:p>
    <w:p w14:paraId="6FF41630">
      <w:pPr>
        <w:spacing w:line="640" w:lineRule="exact"/>
        <w:ind w:firstLine="640"/>
        <w:jc w:val="both"/>
        <w:outlineLvl w:val="2"/>
      </w:pPr>
      <w:r>
        <w:rPr>
          <w:rFonts w:ascii="黑体" w:hAnsi="黑体" w:eastAsia="黑体"/>
          <w:sz w:val="32"/>
        </w:rPr>
        <w:t>六、一般公共预算财政拨款基本支出决算情况说明</w:t>
      </w:r>
    </w:p>
    <w:p w14:paraId="14EBC87A">
      <w:pPr>
        <w:spacing w:line="580" w:lineRule="exact"/>
        <w:ind w:firstLine="640"/>
        <w:jc w:val="both"/>
      </w:pPr>
      <w:r>
        <w:rPr>
          <w:rFonts w:ascii="仿宋_GB2312" w:hAnsi="仿宋_GB2312" w:eastAsia="仿宋_GB2312"/>
          <w:b w:val="0"/>
          <w:sz w:val="32"/>
        </w:rPr>
        <w:t>2024年度一般公共预算财政拨款基本支出311.66万元，其中：</w:t>
      </w:r>
      <w:r>
        <w:rPr>
          <w:rFonts w:ascii="仿宋_GB2312" w:hAnsi="仿宋_GB2312" w:eastAsia="仿宋_GB2312"/>
          <w:b/>
          <w:sz w:val="32"/>
        </w:rPr>
        <w:t>人员经费263.74万元，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其他工资福利支出、退休费、奖励金。</w:t>
      </w:r>
    </w:p>
    <w:p w14:paraId="328D2BE7">
      <w:pPr>
        <w:spacing w:line="580" w:lineRule="exact"/>
        <w:ind w:firstLine="640"/>
        <w:jc w:val="both"/>
      </w:pPr>
      <w:r>
        <w:rPr>
          <w:rFonts w:ascii="仿宋_GB2312" w:hAnsi="仿宋_GB2312" w:eastAsia="仿宋_GB2312"/>
          <w:b/>
          <w:sz w:val="32"/>
        </w:rPr>
        <w:t>公用经费47.92万元，</w:t>
      </w:r>
      <w:r>
        <w:rPr>
          <w:rFonts w:ascii="仿宋_GB2312" w:hAnsi="仿宋_GB2312" w:eastAsia="仿宋_GB2312"/>
          <w:b w:val="0"/>
          <w:sz w:val="32"/>
        </w:rPr>
        <w:t>包括：办公费、印刷费、邮电费、取暖费、差旅费、委托业务费、工会经费、福利费、公务用车运行维护费、其他商品和服务支出。</w:t>
      </w:r>
    </w:p>
    <w:p w14:paraId="7FE094D4">
      <w:pPr>
        <w:spacing w:line="640" w:lineRule="exact"/>
        <w:ind w:firstLine="640"/>
        <w:jc w:val="both"/>
        <w:outlineLvl w:val="2"/>
      </w:pPr>
      <w:r>
        <w:rPr>
          <w:rFonts w:ascii="黑体" w:hAnsi="黑体" w:eastAsia="黑体"/>
          <w:sz w:val="32"/>
        </w:rPr>
        <w:t>七、政府性基金预算财政拨款收入支出决算情况说明</w:t>
      </w:r>
    </w:p>
    <w:p w14:paraId="5534AF45">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1E37FE62">
      <w:pPr>
        <w:spacing w:line="640" w:lineRule="exact"/>
        <w:ind w:firstLine="640"/>
        <w:jc w:val="both"/>
        <w:outlineLvl w:val="2"/>
      </w:pPr>
      <w:r>
        <w:rPr>
          <w:rFonts w:ascii="黑体" w:hAnsi="黑体" w:eastAsia="黑体"/>
          <w:sz w:val="32"/>
        </w:rPr>
        <w:t>八、国有资本经营预算财政拨款收入支出决算情况说明</w:t>
      </w:r>
    </w:p>
    <w:p w14:paraId="4311589E">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3CC72218">
      <w:pPr>
        <w:spacing w:line="640" w:lineRule="exact"/>
        <w:ind w:firstLine="640"/>
        <w:jc w:val="both"/>
        <w:outlineLvl w:val="2"/>
      </w:pPr>
      <w:r>
        <w:rPr>
          <w:rFonts w:ascii="黑体" w:hAnsi="黑体" w:eastAsia="黑体"/>
          <w:sz w:val="32"/>
        </w:rPr>
        <w:t>九、财政拨款“三公”经费支出决算情况说明</w:t>
      </w:r>
    </w:p>
    <w:p w14:paraId="71FA04B7">
      <w:pPr>
        <w:spacing w:line="580" w:lineRule="exact"/>
        <w:ind w:firstLine="640"/>
        <w:jc w:val="both"/>
      </w:pPr>
      <w:r>
        <w:rPr>
          <w:rFonts w:ascii="仿宋_GB2312" w:hAnsi="仿宋_GB2312" w:eastAsia="仿宋_GB2312"/>
          <w:b/>
          <w:sz w:val="32"/>
        </w:rPr>
        <w:t>2024年度财政拨款“三公”经费支出1.86万元，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hint="eastAsia" w:ascii="仿宋_GB2312" w:hAnsi="仿宋_GB2312" w:eastAsia="仿宋_GB2312"/>
          <w:b w:val="0"/>
          <w:sz w:val="32"/>
          <w:lang w:val="en-US" w:eastAsia="zh-CN"/>
        </w:rPr>
        <w:t>财政拨款</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1.86万元，占100.00%，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公务用车运行维护费与上年一致无变化。公务接待费支出0.00万元，占0.00%，比上年增加0.00万元，增长0.00%，主要原因是：2023年与2024年均未安排公务接待费支出。</w:t>
      </w:r>
    </w:p>
    <w:p w14:paraId="29E19FDC">
      <w:pPr>
        <w:spacing w:line="580" w:lineRule="exact"/>
        <w:ind w:firstLine="640"/>
        <w:jc w:val="both"/>
      </w:pPr>
      <w:r>
        <w:rPr>
          <w:rFonts w:ascii="仿宋_GB2312" w:hAnsi="仿宋_GB2312" w:eastAsia="仿宋_GB2312"/>
          <w:b/>
          <w:sz w:val="32"/>
        </w:rPr>
        <w:t>具体情况如下：</w:t>
      </w:r>
    </w:p>
    <w:p w14:paraId="662AF349">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59EFA51C">
      <w:pPr>
        <w:spacing w:line="580" w:lineRule="exact"/>
        <w:ind w:firstLine="640"/>
        <w:jc w:val="both"/>
      </w:pPr>
      <w:r>
        <w:rPr>
          <w:rFonts w:ascii="仿宋_GB2312" w:hAnsi="仿宋_GB2312" w:eastAsia="仿宋_GB2312"/>
          <w:b w:val="0"/>
          <w:sz w:val="32"/>
        </w:rPr>
        <w:t>公务用车购置及运行维护费1.86万元，其中：公务用车购置费0.00万元，公务用车运行维护费1.86万元。公务用车运行维护费开支内容包括车辆加油费、维修费、保险费、审车费、过路费。公务用车购置数0辆，公务用车保有量1辆。国有资产占用情况中固定资产车辆1辆，与公务用车保有量差异原因是：本单位固定资产车辆与公务用车保有量一致无差异。</w:t>
      </w:r>
    </w:p>
    <w:p w14:paraId="26ED27D9">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7963161C">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1.86万元，决算数1.86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1.86万元，决算数1.86万元，预决算差异率0.00%，主要原因是：严格按照预算执行，预决算无差异。公务接待费全年预算数0.00万元，决算数0.00万元，预决算差异率0.00%，主要原因是：本单位无公务接待费。</w:t>
      </w:r>
    </w:p>
    <w:p w14:paraId="13E14FE7">
      <w:pPr>
        <w:spacing w:line="640" w:lineRule="exact"/>
        <w:ind w:firstLine="640"/>
        <w:jc w:val="both"/>
        <w:outlineLvl w:val="2"/>
      </w:pPr>
      <w:r>
        <w:rPr>
          <w:rFonts w:ascii="黑体" w:hAnsi="黑体" w:eastAsia="黑体"/>
          <w:sz w:val="32"/>
        </w:rPr>
        <w:t>十、其他重要事项的情况说明</w:t>
      </w:r>
    </w:p>
    <w:p w14:paraId="46653B03">
      <w:pPr>
        <w:spacing w:line="640" w:lineRule="exact"/>
        <w:ind w:firstLine="640"/>
        <w:jc w:val="both"/>
        <w:outlineLvl w:val="3"/>
      </w:pPr>
      <w:r>
        <w:rPr>
          <w:rFonts w:ascii="楷体_GB2312" w:hAnsi="楷体_GB2312" w:eastAsia="楷体_GB2312"/>
          <w:b/>
          <w:sz w:val="32"/>
        </w:rPr>
        <w:t>（一）机关运行经费及公用经费支出情况</w:t>
      </w:r>
    </w:p>
    <w:p w14:paraId="53F1055B">
      <w:pPr>
        <w:spacing w:line="580" w:lineRule="exact"/>
        <w:ind w:firstLine="640"/>
        <w:jc w:val="both"/>
      </w:pPr>
      <w:r>
        <w:rPr>
          <w:rFonts w:ascii="仿宋_GB2312" w:hAnsi="仿宋_GB2312" w:eastAsia="仿宋_GB2312"/>
          <w:b w:val="0"/>
          <w:sz w:val="32"/>
        </w:rPr>
        <w:t>2024年度昌吉回族自治州老年人老干部活动中心（事业单位）公用经费支出47.92万元，比上年增加0.44万元，增长0.93%，主要原因是：本年更新、维护补充办公用品，导致公用经费较上年增加。</w:t>
      </w:r>
    </w:p>
    <w:p w14:paraId="4979139F">
      <w:pPr>
        <w:spacing w:line="640" w:lineRule="exact"/>
        <w:ind w:firstLine="640"/>
        <w:jc w:val="both"/>
        <w:outlineLvl w:val="3"/>
      </w:pPr>
      <w:r>
        <w:rPr>
          <w:rFonts w:ascii="楷体_GB2312" w:hAnsi="楷体_GB2312" w:eastAsia="楷体_GB2312"/>
          <w:b/>
          <w:sz w:val="32"/>
        </w:rPr>
        <w:t>（二）政府采购情况</w:t>
      </w:r>
    </w:p>
    <w:p w14:paraId="39A61D69">
      <w:pPr>
        <w:spacing w:line="580" w:lineRule="exact"/>
        <w:ind w:firstLine="640"/>
        <w:jc w:val="both"/>
      </w:pPr>
      <w:r>
        <w:rPr>
          <w:rFonts w:ascii="仿宋_GB2312" w:hAnsi="仿宋_GB2312" w:eastAsia="仿宋_GB2312"/>
          <w:b w:val="0"/>
          <w:sz w:val="32"/>
        </w:rPr>
        <w:t>2024年度政府采购支出总额161.00万元，其中：政府采购货物支出5.71万元、政府采购工程支出31.25万元、政府采购服务支出124.04万元。</w:t>
      </w:r>
    </w:p>
    <w:p w14:paraId="1797AAC1">
      <w:pPr>
        <w:spacing w:line="580" w:lineRule="exact"/>
        <w:ind w:firstLine="640"/>
        <w:jc w:val="both"/>
      </w:pPr>
      <w:r>
        <w:rPr>
          <w:rFonts w:ascii="仿宋_GB2312" w:hAnsi="仿宋_GB2312" w:eastAsia="仿宋_GB2312"/>
          <w:b w:val="0"/>
          <w:sz w:val="32"/>
        </w:rPr>
        <w:t>授予中小企业合同金额159.72万元，占政府采购支出总额的99.20%，其中：授予小微企业合同金额158.98万元，占政府采购支出总额的98.75%。</w:t>
      </w:r>
    </w:p>
    <w:p w14:paraId="48B2CF11">
      <w:pPr>
        <w:spacing w:line="640" w:lineRule="exact"/>
        <w:ind w:firstLine="640"/>
        <w:jc w:val="both"/>
        <w:outlineLvl w:val="3"/>
      </w:pPr>
      <w:r>
        <w:rPr>
          <w:rFonts w:ascii="楷体_GB2312" w:hAnsi="楷体_GB2312" w:eastAsia="楷体_GB2312"/>
          <w:b/>
          <w:sz w:val="32"/>
        </w:rPr>
        <w:t>（三）国有资产占用情况说明</w:t>
      </w:r>
    </w:p>
    <w:p w14:paraId="242A930B">
      <w:pPr>
        <w:spacing w:line="580" w:lineRule="exact"/>
        <w:ind w:firstLine="640"/>
        <w:jc w:val="both"/>
      </w:pPr>
      <w:r>
        <w:rPr>
          <w:rFonts w:ascii="仿宋_GB2312" w:hAnsi="仿宋_GB2312" w:eastAsia="仿宋_GB2312"/>
          <w:b w:val="0"/>
          <w:sz w:val="32"/>
        </w:rPr>
        <w:t>截至2024年1</w:t>
      </w:r>
      <w:bookmarkStart w:id="0" w:name="_GoBack"/>
      <w:r>
        <w:rPr>
          <w:rFonts w:ascii="仿宋_GB2312" w:hAnsi="仿宋_GB2312" w:eastAsia="仿宋_GB2312"/>
          <w:b w:val="0"/>
          <w:sz w:val="32"/>
        </w:rPr>
        <w:t>2月31日</w:t>
      </w:r>
      <w:bookmarkEnd w:id="0"/>
      <w:r>
        <w:rPr>
          <w:rFonts w:ascii="仿宋_GB2312" w:hAnsi="仿宋_GB2312" w:eastAsia="仿宋_GB2312"/>
          <w:b w:val="0"/>
          <w:sz w:val="32"/>
        </w:rPr>
        <w:t>，房屋0.00平方米，价值0.00万元。车辆1辆，价值14.53万元，其中：副部（省）级及以上领导用车0辆、主要负责人用车0辆、机要通信用车0辆、应急保障用车0辆、执法执勤用车0辆、特种专业技术用车0辆、离退休干部服务用车1辆、其他用车0辆，其他用车主要是：本单位无其他用车。单价100万元（含）以上设备（不含车辆）0台（套）。</w:t>
      </w:r>
    </w:p>
    <w:p w14:paraId="25FC75A0">
      <w:pPr>
        <w:spacing w:line="640" w:lineRule="exact"/>
        <w:ind w:firstLine="640"/>
        <w:jc w:val="both"/>
        <w:outlineLvl w:val="2"/>
      </w:pPr>
      <w:r>
        <w:rPr>
          <w:rFonts w:ascii="黑体" w:hAnsi="黑体" w:eastAsia="黑体"/>
          <w:sz w:val="32"/>
        </w:rPr>
        <w:t>十一、预算绩效的情况说明</w:t>
      </w:r>
    </w:p>
    <w:p w14:paraId="2CC65649">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534.36万元，实际执行总额524.53万元；预算绩效评价项目4个，全年预算数214.92万元，全年执行数211.38万元。预算绩效管理取得的成效：一是本单位以绩效目标实现为导向，加强制度建设，提升预算执行质量，预算绩效管理取得一定成效。预算绩效管理</w:t>
      </w:r>
      <w:r>
        <w:rPr>
          <w:rFonts w:hint="eastAsia" w:ascii="仿宋_GB2312" w:hAnsi="仿宋_GB2312" w:eastAsia="仿宋_GB2312"/>
          <w:b w:val="0"/>
          <w:sz w:val="32"/>
          <w:lang w:eastAsia="zh-CN"/>
        </w:rPr>
        <w:t>取得</w:t>
      </w:r>
      <w:r>
        <w:rPr>
          <w:rFonts w:ascii="仿宋_GB2312" w:hAnsi="仿宋_GB2312" w:eastAsia="仿宋_GB2312"/>
          <w:b w:val="0"/>
          <w:sz w:val="32"/>
        </w:rPr>
        <w:t>成效，科学制定目标，促进绩效目标顺利实现。二是自落实预算绩效管理工作以来，本单位在项目资金的使用</w:t>
      </w:r>
      <w:r>
        <w:rPr>
          <w:rFonts w:hint="eastAsia" w:ascii="仿宋_GB2312" w:hAnsi="仿宋_GB2312" w:eastAsia="仿宋_GB2312"/>
          <w:b w:val="0"/>
          <w:sz w:val="32"/>
          <w:lang w:eastAsia="zh-CN"/>
        </w:rPr>
        <w:t>上</w:t>
      </w:r>
      <w:r>
        <w:rPr>
          <w:rFonts w:ascii="仿宋_GB2312" w:hAnsi="仿宋_GB2312" w:eastAsia="仿宋_GB2312"/>
          <w:b w:val="0"/>
          <w:sz w:val="32"/>
        </w:rPr>
        <w:t>有了</w:t>
      </w:r>
      <w:r>
        <w:rPr>
          <w:rFonts w:hint="eastAsia" w:ascii="仿宋_GB2312" w:hAnsi="仿宋_GB2312" w:eastAsia="仿宋_GB2312"/>
          <w:b w:val="0"/>
          <w:sz w:val="32"/>
          <w:lang w:eastAsia="zh-CN"/>
        </w:rPr>
        <w:t>更加</w:t>
      </w:r>
      <w:r>
        <w:rPr>
          <w:rFonts w:ascii="仿宋_GB2312" w:hAnsi="仿宋_GB2312" w:eastAsia="仿宋_GB2312"/>
          <w:b w:val="0"/>
          <w:sz w:val="32"/>
        </w:rPr>
        <w:t>明确、</w:t>
      </w:r>
      <w:r>
        <w:rPr>
          <w:rFonts w:hint="eastAsia" w:ascii="仿宋_GB2312" w:hAnsi="仿宋_GB2312" w:eastAsia="仿宋_GB2312"/>
          <w:b w:val="0"/>
          <w:sz w:val="32"/>
          <w:lang w:eastAsia="zh-CN"/>
        </w:rPr>
        <w:t>更加</w:t>
      </w:r>
      <w:r>
        <w:rPr>
          <w:rFonts w:ascii="仿宋_GB2312" w:hAnsi="仿宋_GB2312" w:eastAsia="仿宋_GB2312"/>
          <w:b w:val="0"/>
          <w:sz w:val="32"/>
        </w:rPr>
        <w:t>清晰</w:t>
      </w:r>
      <w:r>
        <w:rPr>
          <w:rFonts w:hint="eastAsia" w:ascii="仿宋_GB2312" w:hAnsi="仿宋_GB2312" w:eastAsia="仿宋_GB2312"/>
          <w:b w:val="0"/>
          <w:sz w:val="32"/>
          <w:lang w:eastAsia="zh-CN"/>
        </w:rPr>
        <w:t>地</w:t>
      </w:r>
      <w:r>
        <w:rPr>
          <w:rFonts w:ascii="仿宋_GB2312" w:hAnsi="仿宋_GB2312" w:eastAsia="仿宋_GB2312"/>
          <w:b w:val="0"/>
          <w:sz w:val="32"/>
        </w:rPr>
        <w:t>理解和认识。通过实施预算绩效管理，树立了绩效优先的管理理念，也很好</w:t>
      </w:r>
      <w:r>
        <w:rPr>
          <w:rFonts w:hint="eastAsia" w:ascii="仿宋_GB2312" w:hAnsi="仿宋_GB2312" w:eastAsia="仿宋_GB2312"/>
          <w:b w:val="0"/>
          <w:sz w:val="32"/>
          <w:lang w:eastAsia="zh-CN"/>
        </w:rPr>
        <w:t>地</w:t>
      </w:r>
      <w:r>
        <w:rPr>
          <w:rFonts w:ascii="仿宋_GB2312" w:hAnsi="仿宋_GB2312" w:eastAsia="仿宋_GB2312"/>
          <w:b w:val="0"/>
          <w:sz w:val="32"/>
        </w:rPr>
        <w:t>避免了在经费使用上出现违规行为的</w:t>
      </w:r>
      <w:r>
        <w:rPr>
          <w:rFonts w:hint="eastAsia" w:ascii="仿宋_GB2312" w:hAnsi="仿宋_GB2312" w:eastAsia="仿宋_GB2312"/>
          <w:b w:val="0"/>
          <w:sz w:val="32"/>
          <w:lang w:eastAsia="zh-CN"/>
        </w:rPr>
        <w:t>概率</w:t>
      </w:r>
      <w:r>
        <w:rPr>
          <w:rFonts w:ascii="仿宋_GB2312" w:hAnsi="仿宋_GB2312" w:eastAsia="仿宋_GB2312"/>
          <w:b w:val="0"/>
          <w:sz w:val="32"/>
        </w:rPr>
        <w:t>，提升了部门管理水平和资金使用效益，为全面实施绩效管理打下了坚实的基础。发现的问题及原因：一是存在的主要问题单位各部门对项目资金的绩效意识还有待加强，对项目资金的分配及使用要加大执行力度，以期实现最大效益化。二是原因分析绩效自评包含项目自评等内容，许多项目经办人员未能参与到绩效工作业务培训中来，对预算绩效工作重视度不够。下一步改进措施：一是加强绩效评价管理制度和流程的建设，进一步深化、完善绩效管理体系，建立全过程的预算绩效管理机制，促进绩效管理工作向广度和深度延伸。二是规范绩效评价管理资料的收集整理，确保相关信息完整、可靠，客观公正地反映项目资金实际使用和产生的绩效状况，为今后该项目实施方向及管理方式的改进提供指导。具体附整体支出绩效自评表，项目支出绩效自评表和评价报告。</w:t>
      </w:r>
    </w:p>
    <w:p w14:paraId="3C0C029D">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35F1C8A6">
        <w:tblPrEx>
          <w:tblCellMar>
            <w:top w:w="0" w:type="dxa"/>
            <w:left w:w="108" w:type="dxa"/>
            <w:bottom w:w="0" w:type="dxa"/>
            <w:right w:w="108" w:type="dxa"/>
          </w:tblCellMar>
        </w:tblPrEx>
        <w:tc>
          <w:tcPr>
            <w:tcW w:w="8847" w:type="dxa"/>
            <w:gridSpan w:val="9"/>
            <w:vAlign w:val="center"/>
          </w:tcPr>
          <w:p w14:paraId="2843E116">
            <w:pPr>
              <w:jc w:val="center"/>
            </w:pPr>
            <w:r>
              <w:rPr>
                <w:rFonts w:ascii="宋体" w:hAnsi="宋体" w:eastAsia="宋体"/>
                <w:sz w:val="24"/>
              </w:rPr>
              <w:t>单位整体支出绩效自评表</w:t>
            </w:r>
          </w:p>
        </w:tc>
      </w:tr>
      <w:tr w14:paraId="689B0CE3">
        <w:tblPrEx>
          <w:tblCellMar>
            <w:top w:w="0" w:type="dxa"/>
            <w:left w:w="108" w:type="dxa"/>
            <w:bottom w:w="0" w:type="dxa"/>
            <w:right w:w="108" w:type="dxa"/>
          </w:tblCellMar>
        </w:tblPrEx>
        <w:tc>
          <w:tcPr>
            <w:tcW w:w="8847" w:type="dxa"/>
            <w:gridSpan w:val="9"/>
            <w:vAlign w:val="center"/>
          </w:tcPr>
          <w:p w14:paraId="1FF6DA44">
            <w:pPr>
              <w:jc w:val="center"/>
            </w:pPr>
            <w:r>
              <w:rPr>
                <w:rFonts w:ascii="宋体" w:hAnsi="宋体" w:eastAsia="宋体"/>
                <w:sz w:val="24"/>
              </w:rPr>
              <w:t>（2024年度）</w:t>
            </w:r>
          </w:p>
        </w:tc>
      </w:tr>
      <w:tr w14:paraId="6FA9527D">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4AFA96">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76C4DA06">
            <w:pPr>
              <w:jc w:val="center"/>
            </w:pPr>
            <w:r>
              <w:rPr>
                <w:rFonts w:ascii="宋体" w:hAnsi="宋体" w:eastAsia="宋体"/>
                <w:sz w:val="16"/>
              </w:rPr>
              <w:t>昌吉回族自治州老年人老干部活动中心</w:t>
            </w:r>
          </w:p>
        </w:tc>
      </w:tr>
      <w:tr w14:paraId="5ECF317B">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E1E2551">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80A486">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2B0028">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271940">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7D53B">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5D34F1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F2DABA">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6843DD">
            <w:pPr>
              <w:jc w:val="center"/>
            </w:pPr>
            <w:r>
              <w:rPr>
                <w:rFonts w:ascii="宋体" w:hAnsi="宋体" w:eastAsia="宋体"/>
                <w:sz w:val="16"/>
              </w:rPr>
              <w:t>得分</w:t>
            </w:r>
          </w:p>
        </w:tc>
      </w:tr>
      <w:tr w14:paraId="792A79B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94EDC6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33BD8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0DB25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E3EECE">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5DE26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D0617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7E075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33895C">
            <w:pPr>
              <w:jc w:val="center"/>
            </w:pPr>
            <w:r>
              <w:rPr>
                <w:rFonts w:ascii="宋体" w:hAnsi="宋体" w:eastAsia="宋体"/>
                <w:sz w:val="16"/>
              </w:rPr>
              <w:t>-</w:t>
            </w:r>
          </w:p>
        </w:tc>
      </w:tr>
      <w:tr w14:paraId="2080A90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8517ED"/>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E0FF3F">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C772BD">
            <w:pPr>
              <w:jc w:val="center"/>
            </w:pPr>
            <w:r>
              <w:rPr>
                <w:rFonts w:ascii="宋体" w:hAnsi="宋体" w:eastAsia="宋体"/>
                <w:sz w:val="16"/>
              </w:rPr>
              <w:t>450.65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0764C47">
            <w:pPr>
              <w:jc w:val="center"/>
            </w:pPr>
            <w:r>
              <w:rPr>
                <w:rFonts w:ascii="宋体" w:hAnsi="宋体" w:eastAsia="宋体"/>
                <w:sz w:val="16"/>
              </w:rPr>
              <w:t>515.17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C3E436">
            <w:pPr>
              <w:jc w:val="center"/>
            </w:pPr>
            <w:r>
              <w:rPr>
                <w:rFonts w:ascii="宋体" w:hAnsi="宋体" w:eastAsia="宋体"/>
                <w:sz w:val="16"/>
              </w:rPr>
              <w:t>515.17</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61FC0C">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54F21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59BE0B">
            <w:pPr>
              <w:jc w:val="center"/>
            </w:pPr>
            <w:r>
              <w:rPr>
                <w:rFonts w:ascii="宋体" w:hAnsi="宋体" w:eastAsia="宋体"/>
                <w:sz w:val="16"/>
              </w:rPr>
              <w:t>-</w:t>
            </w:r>
          </w:p>
        </w:tc>
      </w:tr>
      <w:tr w14:paraId="0CA799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0B03D55"/>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4CE59">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4DF068">
            <w:pPr>
              <w:jc w:val="center"/>
            </w:pPr>
            <w:r>
              <w:rPr>
                <w:rFonts w:ascii="宋体" w:hAnsi="宋体" w:eastAsia="宋体"/>
                <w:sz w:val="16"/>
              </w:rPr>
              <w:t>15.00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058F9C">
            <w:pPr>
              <w:jc w:val="center"/>
            </w:pPr>
            <w:r>
              <w:rPr>
                <w:rFonts w:ascii="宋体" w:hAnsi="宋体" w:eastAsia="宋体"/>
                <w:sz w:val="16"/>
              </w:rPr>
              <w:t>19.19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DB55C81">
            <w:pPr>
              <w:jc w:val="center"/>
            </w:pPr>
            <w:r>
              <w:rPr>
                <w:rFonts w:ascii="宋体" w:hAnsi="宋体" w:eastAsia="宋体"/>
                <w:sz w:val="16"/>
              </w:rPr>
              <w:t>9.36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167AC0">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1AAC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DE6E906">
            <w:pPr>
              <w:jc w:val="center"/>
            </w:pPr>
            <w:r>
              <w:rPr>
                <w:rFonts w:ascii="宋体" w:hAnsi="宋体" w:eastAsia="宋体"/>
                <w:sz w:val="16"/>
              </w:rPr>
              <w:t>-</w:t>
            </w:r>
          </w:p>
        </w:tc>
      </w:tr>
      <w:tr w14:paraId="274CF6A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9537E1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2148D">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A453F3">
            <w:pPr>
              <w:jc w:val="center"/>
            </w:pPr>
            <w:r>
              <w:rPr>
                <w:rFonts w:ascii="宋体" w:hAnsi="宋体" w:eastAsia="宋体"/>
                <w:sz w:val="16"/>
              </w:rPr>
              <w:t>465.65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2D47EC0">
            <w:pPr>
              <w:jc w:val="center"/>
            </w:pPr>
            <w:r>
              <w:rPr>
                <w:rFonts w:ascii="宋体" w:hAnsi="宋体" w:eastAsia="宋体"/>
                <w:sz w:val="16"/>
              </w:rPr>
              <w:t>534.36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658228">
            <w:pPr>
              <w:jc w:val="center"/>
            </w:pPr>
            <w:r>
              <w:rPr>
                <w:rFonts w:ascii="宋体" w:hAnsi="宋体" w:eastAsia="宋体"/>
                <w:sz w:val="16"/>
              </w:rPr>
              <w:t>524.53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F7046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72E72B7">
            <w:pPr>
              <w:jc w:val="center"/>
            </w:pPr>
            <w:r>
              <w:rPr>
                <w:rFonts w:ascii="宋体" w:hAnsi="宋体" w:eastAsia="宋体"/>
                <w:sz w:val="16"/>
              </w:rPr>
              <w:t>98.16%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E4A8E">
            <w:pPr>
              <w:jc w:val="center"/>
            </w:pPr>
            <w:r>
              <w:rPr>
                <w:rFonts w:ascii="宋体" w:hAnsi="宋体" w:eastAsia="宋体"/>
                <w:sz w:val="16"/>
              </w:rPr>
              <w:t>9.82</w:t>
            </w:r>
          </w:p>
        </w:tc>
      </w:tr>
      <w:tr w14:paraId="03AB130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D9A91D">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22694A36">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2B5989F">
            <w:pPr>
              <w:jc w:val="center"/>
            </w:pPr>
            <w:r>
              <w:rPr>
                <w:rFonts w:ascii="宋体" w:hAnsi="宋体" w:eastAsia="宋体"/>
                <w:sz w:val="16"/>
              </w:rPr>
              <w:t>实际完成情况</w:t>
            </w:r>
          </w:p>
        </w:tc>
      </w:tr>
      <w:tr w14:paraId="1B3BDC1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634116F"/>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9AA5CD3">
            <w:pPr>
              <w:jc w:val="both"/>
            </w:pPr>
            <w:r>
              <w:rPr>
                <w:rFonts w:ascii="宋体" w:hAnsi="宋体" w:eastAsia="宋体"/>
                <w:sz w:val="16"/>
              </w:rPr>
              <w:t>昌吉州老年人老干部活动中心将坚持以习近平新时代中国特色社会主义思想为指导，深入学习贯彻党的二十大精神，扎实开展学习贯彻习近平新时代中国特色社会主义思想主题教育，以习近平总书记关于老干部工作的重要指示、批示精神为根本指引，以深化“五个好”党支部创建和创建模范机关为抓手，主动担当、积极作为，抓创新促成效，统筹抓好老年（老干部）大学（协会）思想引领、作用发挥和部门自身建设，不断推动老干部工作高质量发展。</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D83866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全年预算数为534.36万元，全年执行数为524.53万元，总预算执行率为98.16%.2024 年</w:t>
            </w:r>
            <w:r>
              <w:rPr>
                <w:rFonts w:hint="eastAsia" w:ascii="宋体" w:hAnsi="宋体"/>
                <w:sz w:val="16"/>
                <w:lang w:eastAsia="zh-CN"/>
              </w:rPr>
              <w:t>本单位</w:t>
            </w:r>
            <w:r>
              <w:rPr>
                <w:rFonts w:ascii="宋体" w:hAnsi="宋体" w:eastAsia="宋体"/>
                <w:sz w:val="16"/>
              </w:rPr>
              <w:t>完成以下工作内容：1.保障老干部工作人员数15人,2.保障活动场所正常运转5个,3.保障活动阵地设施使用率达100%,4.保障活动阵地资源整合率达100%,5.用心用情精准服务提高老干部满意度达100%。通过以上工作的实施，为老同志展现风采搭建平台，着力凝心铸魂，提高离退休干部政治建设</w:t>
            </w:r>
            <w:r>
              <w:rPr>
                <w:rFonts w:hint="eastAsia" w:ascii="宋体" w:hAnsi="宋体"/>
                <w:sz w:val="16"/>
                <w:lang w:eastAsia="zh-CN"/>
              </w:rPr>
              <w:t>；</w:t>
            </w:r>
            <w:r>
              <w:rPr>
                <w:rFonts w:ascii="宋体" w:hAnsi="宋体" w:eastAsia="宋体"/>
                <w:sz w:val="16"/>
              </w:rPr>
              <w:t>持续增强了老同志幸福感，丰富了老年人的精神文化生活。</w:t>
            </w:r>
          </w:p>
        </w:tc>
      </w:tr>
      <w:tr w14:paraId="311DEC31">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BB24C1">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6065BED">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D5FF67">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10AEC8">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8B0AA44">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44EECD6">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7E61F0A">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154A67">
            <w:pPr>
              <w:jc w:val="center"/>
            </w:pPr>
            <w:r>
              <w:rPr>
                <w:rFonts w:ascii="宋体" w:hAnsi="宋体" w:eastAsia="宋体"/>
                <w:sz w:val="16"/>
              </w:rPr>
              <w:t>得分</w:t>
            </w:r>
          </w:p>
        </w:tc>
      </w:tr>
      <w:tr w14:paraId="606AC3C3">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D871457">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C9896C">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E60F53">
            <w:pPr>
              <w:jc w:val="center"/>
            </w:pPr>
            <w:r>
              <w:rPr>
                <w:rFonts w:ascii="宋体" w:hAnsi="宋体" w:eastAsia="宋体"/>
                <w:sz w:val="16"/>
              </w:rPr>
              <w:t>保障老干部工作人员数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63C00B">
            <w:pPr>
              <w:jc w:val="center"/>
            </w:pPr>
            <w:r>
              <w:rPr>
                <w:rFonts w:ascii="宋体" w:hAnsi="宋体" w:eastAsia="宋体"/>
                <w:sz w:val="16"/>
              </w:rPr>
              <w:t>&gt;=10人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BE883">
            <w:pPr>
              <w:jc w:val="center"/>
            </w:pPr>
            <w:r>
              <w:rPr>
                <w:rFonts w:ascii="宋体" w:hAnsi="宋体" w:eastAsia="宋体"/>
                <w:sz w:val="16"/>
              </w:rPr>
              <w:t>昌吉州老年人老干部活动中心2024年工作计划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BCFC7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14CD024">
            <w:pPr>
              <w:jc w:val="center"/>
            </w:pPr>
            <w:r>
              <w:rPr>
                <w:rFonts w:ascii="宋体" w:hAnsi="宋体" w:eastAsia="宋体"/>
                <w:sz w:val="16"/>
              </w:rPr>
              <w:t>15人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179E1CF">
            <w:pPr>
              <w:jc w:val="center"/>
            </w:pPr>
            <w:r>
              <w:rPr>
                <w:rFonts w:ascii="宋体" w:hAnsi="宋体" w:eastAsia="宋体"/>
                <w:sz w:val="16"/>
              </w:rPr>
              <w:t>20</w:t>
            </w:r>
          </w:p>
        </w:tc>
      </w:tr>
      <w:tr w14:paraId="6E40697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569F780"/>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B86ABDC"/>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AF45F7">
            <w:pPr>
              <w:jc w:val="center"/>
            </w:pPr>
            <w:r>
              <w:rPr>
                <w:rFonts w:ascii="宋体" w:hAnsi="宋体" w:eastAsia="宋体"/>
                <w:sz w:val="16"/>
              </w:rPr>
              <w:t>保障活动场所正常运转个数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2C587">
            <w:pPr>
              <w:jc w:val="center"/>
            </w:pPr>
            <w:r>
              <w:rPr>
                <w:rFonts w:ascii="宋体" w:hAnsi="宋体" w:eastAsia="宋体"/>
                <w:sz w:val="16"/>
              </w:rPr>
              <w:t>&gt;=5个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75E50DE">
            <w:pPr>
              <w:jc w:val="center"/>
            </w:pPr>
            <w:r>
              <w:rPr>
                <w:rFonts w:ascii="宋体" w:hAnsi="宋体" w:eastAsia="宋体"/>
                <w:sz w:val="16"/>
              </w:rPr>
              <w:t>昌吉州老年人老干部活动中心2024年工作计划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9E6C19">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23334A">
            <w:pPr>
              <w:jc w:val="center"/>
            </w:pPr>
            <w:r>
              <w:rPr>
                <w:rFonts w:ascii="宋体" w:hAnsi="宋体" w:eastAsia="宋体"/>
                <w:sz w:val="16"/>
              </w:rPr>
              <w:t>5个</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BFB955">
            <w:pPr>
              <w:jc w:val="center"/>
            </w:pPr>
            <w:r>
              <w:rPr>
                <w:rFonts w:ascii="宋体" w:hAnsi="宋体" w:eastAsia="宋体"/>
                <w:sz w:val="16"/>
              </w:rPr>
              <w:t>20</w:t>
            </w:r>
          </w:p>
        </w:tc>
      </w:tr>
      <w:tr w14:paraId="436CE2E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D846C4B"/>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38B509A">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78FACB">
            <w:pPr>
              <w:jc w:val="center"/>
            </w:pPr>
            <w:r>
              <w:rPr>
                <w:rFonts w:ascii="宋体" w:hAnsi="宋体" w:eastAsia="宋体"/>
                <w:sz w:val="16"/>
              </w:rPr>
              <w:t>保障活动阵地设施使用率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FCDC3F">
            <w:pPr>
              <w:jc w:val="center"/>
            </w:pPr>
            <w:r>
              <w:rPr>
                <w:rFonts w:ascii="宋体" w:hAnsi="宋体" w:eastAsia="宋体"/>
                <w:sz w:val="16"/>
              </w:rPr>
              <w:t>&gt;=80%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89A7F39">
            <w:pPr>
              <w:jc w:val="center"/>
            </w:pPr>
            <w:r>
              <w:rPr>
                <w:rFonts w:ascii="宋体" w:hAnsi="宋体" w:eastAsia="宋体"/>
                <w:sz w:val="16"/>
              </w:rPr>
              <w:t>昌吉州老年人老干部活动中心2024年工作计划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E381C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E3F41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FAD8583">
            <w:pPr>
              <w:jc w:val="center"/>
            </w:pPr>
            <w:r>
              <w:rPr>
                <w:rFonts w:ascii="宋体" w:hAnsi="宋体" w:eastAsia="宋体"/>
                <w:sz w:val="16"/>
              </w:rPr>
              <w:t>15</w:t>
            </w:r>
          </w:p>
        </w:tc>
      </w:tr>
      <w:tr w14:paraId="5D8A6EC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EAD4931"/>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4A38670"/>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71435F">
            <w:pPr>
              <w:jc w:val="center"/>
            </w:pPr>
            <w:r>
              <w:rPr>
                <w:rFonts w:ascii="宋体" w:hAnsi="宋体" w:eastAsia="宋体"/>
                <w:sz w:val="16"/>
              </w:rPr>
              <w:t>保障活动阵地资源整合率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DBA637">
            <w:pPr>
              <w:jc w:val="center"/>
            </w:pPr>
            <w:r>
              <w:rPr>
                <w:rFonts w:ascii="宋体" w:hAnsi="宋体" w:eastAsia="宋体"/>
                <w:sz w:val="16"/>
              </w:rPr>
              <w:t>&gt;=90%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F331300">
            <w:pPr>
              <w:jc w:val="center"/>
            </w:pPr>
            <w:r>
              <w:rPr>
                <w:rFonts w:ascii="宋体" w:hAnsi="宋体" w:eastAsia="宋体"/>
                <w:sz w:val="16"/>
              </w:rPr>
              <w:t>昌吉州老年人老干部活动中心2024年工作计划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E017D4">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04898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1A293E">
            <w:pPr>
              <w:jc w:val="center"/>
            </w:pPr>
            <w:r>
              <w:rPr>
                <w:rFonts w:ascii="宋体" w:hAnsi="宋体" w:eastAsia="宋体"/>
                <w:sz w:val="16"/>
              </w:rPr>
              <w:t>15</w:t>
            </w:r>
          </w:p>
        </w:tc>
      </w:tr>
      <w:tr w14:paraId="6C8B783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466860">
            <w:pPr>
              <w:jc w:val="center"/>
            </w:pPr>
            <w:r>
              <w:rPr>
                <w:rFonts w:ascii="宋体" w:hAnsi="宋体" w:eastAsia="宋体"/>
                <w:sz w:val="16"/>
              </w:rPr>
              <w:t>服务对象满意度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01F550">
            <w:pPr>
              <w:jc w:val="center"/>
            </w:pPr>
            <w:r>
              <w:rPr>
                <w:rFonts w:ascii="宋体" w:hAnsi="宋体" w:eastAsia="宋体"/>
                <w:sz w:val="16"/>
              </w:rPr>
              <w:t>满意度指标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F9E7B1">
            <w:pPr>
              <w:jc w:val="center"/>
            </w:pPr>
            <w:r>
              <w:rPr>
                <w:rFonts w:ascii="宋体" w:hAnsi="宋体" w:eastAsia="宋体"/>
                <w:sz w:val="16"/>
              </w:rPr>
              <w:t>用心用情精准服务提高老干部满意度</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ED18A4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F26699">
            <w:pPr>
              <w:jc w:val="center"/>
            </w:pPr>
            <w:r>
              <w:rPr>
                <w:rFonts w:ascii="宋体" w:hAnsi="宋体" w:eastAsia="宋体"/>
                <w:sz w:val="16"/>
              </w:rPr>
              <w:t>昌吉州老年人老干部活动中心2024年工作计划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1CCFB2">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0829246">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9004F8">
            <w:pPr>
              <w:jc w:val="center"/>
            </w:pPr>
            <w:r>
              <w:rPr>
                <w:rFonts w:ascii="宋体" w:hAnsi="宋体" w:eastAsia="宋体"/>
                <w:sz w:val="16"/>
              </w:rPr>
              <w:t>20</w:t>
            </w:r>
          </w:p>
        </w:tc>
      </w:tr>
    </w:tbl>
    <w:p w14:paraId="1FA50030">
      <w:r>
        <w:br w:type="page"/>
      </w:r>
    </w:p>
    <w:tbl>
      <w:tblPr>
        <w:tblStyle w:val="9"/>
        <w:tblW w:w="0" w:type="auto"/>
        <w:tblInd w:w="0" w:type="dxa"/>
        <w:tblLayout w:type="autofit"/>
        <w:tblCellMar>
          <w:top w:w="0" w:type="dxa"/>
          <w:left w:w="108" w:type="dxa"/>
          <w:bottom w:w="0" w:type="dxa"/>
          <w:right w:w="108" w:type="dxa"/>
        </w:tblCellMar>
      </w:tblPr>
      <w:tblGrid>
        <w:gridCol w:w="612"/>
        <w:gridCol w:w="583"/>
        <w:gridCol w:w="583"/>
        <w:gridCol w:w="696"/>
        <w:gridCol w:w="598"/>
        <w:gridCol w:w="776"/>
        <w:gridCol w:w="776"/>
        <w:gridCol w:w="776"/>
        <w:gridCol w:w="696"/>
        <w:gridCol w:w="583"/>
        <w:gridCol w:w="583"/>
        <w:gridCol w:w="585"/>
        <w:gridCol w:w="584"/>
        <w:gridCol w:w="629"/>
      </w:tblGrid>
      <w:tr w14:paraId="69348454">
        <w:tblPrEx>
          <w:tblCellMar>
            <w:top w:w="0" w:type="dxa"/>
            <w:left w:w="108" w:type="dxa"/>
            <w:bottom w:w="0" w:type="dxa"/>
            <w:right w:w="108" w:type="dxa"/>
          </w:tblCellMar>
        </w:tblPrEx>
        <w:tc>
          <w:tcPr>
            <w:tcW w:w="8848" w:type="dxa"/>
            <w:gridSpan w:val="14"/>
            <w:vAlign w:val="center"/>
          </w:tcPr>
          <w:p w14:paraId="5D92E3C3">
            <w:pPr>
              <w:jc w:val="center"/>
            </w:pPr>
            <w:r>
              <w:rPr>
                <w:rFonts w:ascii="宋体" w:hAnsi="宋体" w:eastAsia="宋体"/>
                <w:sz w:val="24"/>
              </w:rPr>
              <w:t>项目支出绩效自评表</w:t>
            </w:r>
          </w:p>
        </w:tc>
      </w:tr>
      <w:tr w14:paraId="6AA15B83">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ACB2726">
            <w:pPr>
              <w:jc w:val="center"/>
            </w:pPr>
            <w:r>
              <w:rPr>
                <w:rFonts w:ascii="宋体" w:hAnsi="宋体" w:eastAsia="宋体"/>
                <w:sz w:val="24"/>
              </w:rPr>
              <w:t>(2024年度)</w:t>
            </w:r>
          </w:p>
        </w:tc>
      </w:tr>
      <w:tr w14:paraId="6CF9D0B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A3DB9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81D6036">
            <w:pPr>
              <w:jc w:val="center"/>
            </w:pPr>
            <w:r>
              <w:rPr>
                <w:rFonts w:ascii="宋体" w:hAnsi="宋体" w:eastAsia="宋体"/>
                <w:sz w:val="16"/>
              </w:rPr>
              <w:t>昌吉州老年人老干部活动中心综合大楼维修</w:t>
            </w:r>
          </w:p>
        </w:tc>
      </w:tr>
      <w:tr w14:paraId="40B5E08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423AC0">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BA5DBE9">
            <w:pPr>
              <w:jc w:val="center"/>
            </w:pPr>
            <w:r>
              <w:rPr>
                <w:rFonts w:ascii="宋体" w:hAnsi="宋体" w:eastAsia="宋体"/>
                <w:sz w:val="16"/>
              </w:rPr>
              <w:t>昌吉回族自治州老年人老干部活动中心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715177">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DB4E05B">
            <w:pPr>
              <w:jc w:val="center"/>
            </w:pPr>
            <w:r>
              <w:rPr>
                <w:rFonts w:ascii="宋体" w:hAnsi="宋体" w:eastAsia="宋体"/>
                <w:sz w:val="16"/>
              </w:rPr>
              <w:t>昌吉回族自治州老年人老干部活动中心</w:t>
            </w:r>
          </w:p>
        </w:tc>
      </w:tr>
      <w:tr w14:paraId="68A22254">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3521B7">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37AADA">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D039B2">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D3C286">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997C7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8F54A1">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61B5A5">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42F484">
            <w:pPr>
              <w:jc w:val="center"/>
            </w:pPr>
            <w:r>
              <w:rPr>
                <w:rFonts w:ascii="宋体" w:hAnsi="宋体" w:eastAsia="宋体"/>
                <w:sz w:val="16"/>
              </w:rPr>
              <w:t>得分</w:t>
            </w:r>
          </w:p>
        </w:tc>
      </w:tr>
      <w:tr w14:paraId="6722AB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C57208"/>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0617E8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6DDC44B">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C380C4">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99B511">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AB3ED7">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44F39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DF519">
            <w:pPr>
              <w:jc w:val="center"/>
            </w:pPr>
            <w:r>
              <w:rPr>
                <w:rFonts w:ascii="宋体" w:hAnsi="宋体" w:eastAsia="宋体"/>
                <w:sz w:val="16"/>
              </w:rPr>
              <w:t>10.00</w:t>
            </w:r>
          </w:p>
        </w:tc>
      </w:tr>
      <w:tr w14:paraId="732F9C5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59E255"/>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75DEDE">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22807E">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B828CD">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F243ACE">
            <w:pPr>
              <w:jc w:val="center"/>
            </w:pPr>
            <w:r>
              <w:rPr>
                <w:rFonts w:ascii="宋体" w:hAnsi="宋体" w:eastAsia="宋体"/>
                <w:sz w:val="16"/>
              </w:rPr>
              <w:t>31.72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65889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CA48D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D88996">
            <w:pPr>
              <w:jc w:val="center"/>
            </w:pPr>
            <w:r>
              <w:rPr>
                <w:rFonts w:ascii="宋体" w:hAnsi="宋体" w:eastAsia="宋体"/>
                <w:sz w:val="16"/>
              </w:rPr>
              <w:t>—</w:t>
            </w:r>
          </w:p>
        </w:tc>
      </w:tr>
      <w:tr w14:paraId="5AEF2C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F414E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E49D418">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BAC5A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ECB601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CF1F2A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3C096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E603E81">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24E4C4">
            <w:pPr>
              <w:jc w:val="center"/>
            </w:pPr>
            <w:r>
              <w:rPr>
                <w:rFonts w:ascii="宋体" w:hAnsi="宋体" w:eastAsia="宋体"/>
                <w:sz w:val="16"/>
              </w:rPr>
              <w:t>—</w:t>
            </w:r>
          </w:p>
        </w:tc>
      </w:tr>
      <w:tr w14:paraId="61BEA9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79AC1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9D0EA5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C6E760">
            <w:pPr>
              <w:jc w:val="center"/>
            </w:pPr>
            <w:r>
              <w:rPr>
                <w:rFonts w:ascii="宋体" w:hAnsi="宋体" w:eastAsia="宋体"/>
                <w:sz w:val="16"/>
              </w:rPr>
              <w:t>实际完成情况</w:t>
            </w:r>
          </w:p>
        </w:tc>
      </w:tr>
      <w:tr w14:paraId="52192D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294B31"/>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E903AB0">
            <w:pPr>
              <w:jc w:val="both"/>
            </w:pPr>
            <w:r>
              <w:rPr>
                <w:rFonts w:ascii="宋体" w:hAnsi="宋体" w:eastAsia="宋体"/>
                <w:sz w:val="16"/>
              </w:rPr>
              <w:t>项目完成昌吉州老年人老干部活动中心综合大楼维修工作1次，保障老年人日常活动安全，提升老年人老干部精神文化生活；促进老同志身心健康，增强幸福感。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B5E6A3B">
            <w:pPr>
              <w:jc w:val="both"/>
            </w:pPr>
            <w:r>
              <w:rPr>
                <w:rFonts w:hint="eastAsia" w:ascii="宋体" w:hAnsi="宋体"/>
                <w:sz w:val="16"/>
                <w:lang w:eastAsia="zh-CN"/>
              </w:rPr>
              <w:t>截至</w:t>
            </w:r>
            <w:r>
              <w:rPr>
                <w:rFonts w:ascii="宋体" w:hAnsi="宋体" w:eastAsia="宋体"/>
                <w:sz w:val="16"/>
              </w:rPr>
              <w:t>2024年12月31日，该项目实际完成：房屋修缮1次，维修验收合格率100%，项目完成时间2024年9月23日，维修经费支付31.72万元，老年人满意度达100%；通过该项目的实施，提升老年人老干部精神文化生活；促进老同志身心健康，增强幸福感。</w:t>
            </w:r>
          </w:p>
        </w:tc>
      </w:tr>
      <w:tr w14:paraId="22ECA98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7C8A4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A266FD">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5B208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37933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51D85D">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2CEEF6">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F89651">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68D4E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368AE">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492A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CF9F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10370">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048A1">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6CBF70">
            <w:pPr>
              <w:jc w:val="center"/>
            </w:pPr>
            <w:r>
              <w:rPr>
                <w:rFonts w:ascii="宋体" w:hAnsi="宋体" w:eastAsia="宋体"/>
                <w:sz w:val="16"/>
              </w:rPr>
              <w:t>偏差原因分析及改进措施</w:t>
            </w:r>
          </w:p>
        </w:tc>
      </w:tr>
      <w:tr w14:paraId="72CB7D2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29164E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3C8672A">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C9E6F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6846D">
            <w:pPr>
              <w:jc w:val="center"/>
            </w:pPr>
            <w:r>
              <w:rPr>
                <w:rFonts w:ascii="宋体" w:hAnsi="宋体" w:eastAsia="宋体"/>
                <w:sz w:val="16"/>
              </w:rPr>
              <w:t>房屋修缮次数（次）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3331FB">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963F27">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BEB01">
            <w:pPr>
              <w:jc w:val="center"/>
            </w:pPr>
            <w:r>
              <w:rPr>
                <w:rFonts w:ascii="宋体" w:hAnsi="宋体" w:eastAsia="宋体"/>
                <w:sz w:val="16"/>
              </w:rPr>
              <w:t>=1次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E307E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7531C1">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4171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73E0F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F435A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53B5">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BBBA6">
            <w:pPr>
              <w:jc w:val="center"/>
            </w:pPr>
          </w:p>
        </w:tc>
      </w:tr>
      <w:tr w14:paraId="242BD7D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27D1D7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01F329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EFBF10">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85D1AE">
            <w:pPr>
              <w:jc w:val="center"/>
            </w:pPr>
            <w:r>
              <w:rPr>
                <w:rFonts w:ascii="宋体" w:hAnsi="宋体" w:eastAsia="宋体"/>
                <w:sz w:val="16"/>
              </w:rPr>
              <w:t>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8CD5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CC6EE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A840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9F57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220F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56CE2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3FA8C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44F4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6D36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CEFB4D">
            <w:pPr>
              <w:jc w:val="center"/>
            </w:pPr>
          </w:p>
        </w:tc>
      </w:tr>
      <w:tr w14:paraId="03FE081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58037D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AEA44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6EFDAD">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1F0C8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7CC3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9269DC">
            <w:pPr>
              <w:jc w:val="center"/>
            </w:pPr>
            <w:r>
              <w:rPr>
                <w:rFonts w:ascii="宋体" w:hAnsi="宋体" w:eastAsia="宋体"/>
                <w:sz w:val="16"/>
              </w:rPr>
              <w:t>2024年12月1日前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0F4F5">
            <w:pPr>
              <w:jc w:val="center"/>
            </w:pPr>
            <w:r>
              <w:rPr>
                <w:rFonts w:ascii="宋体" w:hAnsi="宋体" w:eastAsia="宋体"/>
                <w:sz w:val="16"/>
              </w:rPr>
              <w:t>2024年9月23日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4E48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0AAD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C5EEF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C6EDB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3E9B7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F0021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014E6">
            <w:pPr>
              <w:jc w:val="center"/>
            </w:pPr>
          </w:p>
        </w:tc>
      </w:tr>
      <w:tr w14:paraId="691AC30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2B0C3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248CF9E">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CAFD2C">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0F644D">
            <w:pPr>
              <w:jc w:val="center"/>
            </w:pPr>
            <w:r>
              <w:rPr>
                <w:rFonts w:ascii="宋体" w:hAnsi="宋体" w:eastAsia="宋体"/>
                <w:sz w:val="16"/>
              </w:rPr>
              <w:t>维修经费（万元）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317B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2935AB">
            <w:pPr>
              <w:jc w:val="center"/>
            </w:pPr>
            <w:r>
              <w:rPr>
                <w:rFonts w:ascii="宋体" w:hAnsi="宋体" w:eastAsia="宋体"/>
                <w:sz w:val="16"/>
              </w:rPr>
              <w:t>&lt;=30.62万元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BD9849">
            <w:pPr>
              <w:jc w:val="center"/>
            </w:pPr>
            <w:r>
              <w:rPr>
                <w:rFonts w:ascii="宋体" w:hAnsi="宋体" w:eastAsia="宋体"/>
                <w:sz w:val="16"/>
              </w:rPr>
              <w:t>&lt;=30.62万元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B427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CCD0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4978CF">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D334B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2C12B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99D9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B5188E">
            <w:pPr>
              <w:jc w:val="center"/>
            </w:pPr>
          </w:p>
        </w:tc>
      </w:tr>
      <w:tr w14:paraId="052639E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CF45DE7"/>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5D65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E1D349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3CF8D4">
            <w:pPr>
              <w:jc w:val="center"/>
            </w:pPr>
            <w:r>
              <w:rPr>
                <w:rFonts w:ascii="宋体" w:hAnsi="宋体" w:eastAsia="宋体"/>
                <w:sz w:val="16"/>
              </w:rPr>
              <w:t>工程监理费（万元）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6CA98">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1511E">
            <w:pPr>
              <w:jc w:val="center"/>
            </w:pPr>
            <w:r>
              <w:rPr>
                <w:rFonts w:ascii="宋体" w:hAnsi="宋体" w:eastAsia="宋体"/>
                <w:sz w:val="16"/>
              </w:rPr>
              <w:t>&lt;=0.8万元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45004">
            <w:pPr>
              <w:jc w:val="center"/>
            </w:pPr>
            <w:r>
              <w:rPr>
                <w:rFonts w:ascii="宋体" w:hAnsi="宋体" w:eastAsia="宋体"/>
                <w:sz w:val="16"/>
              </w:rPr>
              <w:t>&lt;=0.8万元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827ED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F50F0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D0874">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5D8D1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76DC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2311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2EC895">
            <w:pPr>
              <w:jc w:val="center"/>
            </w:pPr>
          </w:p>
        </w:tc>
      </w:tr>
      <w:tr w14:paraId="738A337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0B23F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8727D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5019F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0E30F8">
            <w:pPr>
              <w:jc w:val="center"/>
            </w:pPr>
            <w:r>
              <w:rPr>
                <w:rFonts w:ascii="宋体" w:hAnsi="宋体" w:eastAsia="宋体"/>
                <w:sz w:val="16"/>
              </w:rPr>
              <w:t>造价咨询费（万元）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250D5">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5114C5">
            <w:pPr>
              <w:jc w:val="center"/>
            </w:pPr>
            <w:r>
              <w:rPr>
                <w:rFonts w:ascii="宋体" w:hAnsi="宋体" w:eastAsia="宋体"/>
                <w:sz w:val="16"/>
              </w:rPr>
              <w:t>&lt;=0.3万元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CD432D">
            <w:pPr>
              <w:jc w:val="center"/>
            </w:pPr>
            <w:r>
              <w:rPr>
                <w:rFonts w:ascii="宋体" w:hAnsi="宋体" w:eastAsia="宋体"/>
                <w:sz w:val="16"/>
              </w:rPr>
              <w:t>&lt;=0.3万元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39D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5D9D4">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7211B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1C12D">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F3F31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EF81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F7A2FB">
            <w:pPr>
              <w:jc w:val="center"/>
            </w:pPr>
          </w:p>
        </w:tc>
      </w:tr>
      <w:tr w14:paraId="1A2E81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0303F3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6A8B1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B15FB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614F6">
            <w:pPr>
              <w:jc w:val="center"/>
            </w:pPr>
            <w:r>
              <w:rPr>
                <w:rFonts w:ascii="宋体" w:hAnsi="宋体" w:eastAsia="宋体"/>
                <w:sz w:val="16"/>
              </w:rPr>
              <w:t>提升老干部精神文化生活环境条件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27DF46">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06DF4">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F868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3A2FA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90D40">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A195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59764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CA2DE4">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222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EB1BED">
            <w:pPr>
              <w:jc w:val="center"/>
            </w:pPr>
          </w:p>
        </w:tc>
      </w:tr>
      <w:tr w14:paraId="17B9EDA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2A17EF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D09C7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2C4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044FD6">
            <w:pPr>
              <w:jc w:val="center"/>
            </w:pPr>
            <w:r>
              <w:rPr>
                <w:rFonts w:ascii="宋体" w:hAnsi="宋体" w:eastAsia="宋体"/>
                <w:sz w:val="16"/>
              </w:rPr>
              <w:t>老年人满意度（%）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F3C94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B927C8">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EE4FB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40EB4F">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C0876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16C24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20AD5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AF2A3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C7DB2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4795A">
            <w:pPr>
              <w:jc w:val="center"/>
            </w:pPr>
            <w:r>
              <w:rPr>
                <w:rFonts w:ascii="宋体" w:hAnsi="宋体" w:eastAsia="宋体"/>
                <w:sz w:val="16"/>
              </w:rPr>
              <w:t>项目实施情况较好，老年人对项目实施比较满意。</w:t>
            </w:r>
          </w:p>
        </w:tc>
      </w:tr>
      <w:tr w14:paraId="760757A3">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3755166F">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03DC8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C15F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95F836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80F75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C8FBEE">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FE60A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6B1024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2666C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9D3522"/>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E65A7C6"/>
        </w:tc>
      </w:tr>
    </w:tbl>
    <w:p w14:paraId="16AA452D">
      <w:r>
        <w:br w:type="page"/>
      </w:r>
    </w:p>
    <w:tbl>
      <w:tblPr>
        <w:tblStyle w:val="9"/>
        <w:tblW w:w="0" w:type="auto"/>
        <w:tblInd w:w="0" w:type="dxa"/>
        <w:tblLayout w:type="autofit"/>
        <w:tblCellMar>
          <w:top w:w="0" w:type="dxa"/>
          <w:left w:w="108" w:type="dxa"/>
          <w:bottom w:w="0" w:type="dxa"/>
          <w:right w:w="108" w:type="dxa"/>
        </w:tblCellMar>
      </w:tblPr>
      <w:tblGrid>
        <w:gridCol w:w="619"/>
        <w:gridCol w:w="598"/>
        <w:gridCol w:w="599"/>
        <w:gridCol w:w="630"/>
        <w:gridCol w:w="609"/>
        <w:gridCol w:w="630"/>
        <w:gridCol w:w="696"/>
        <w:gridCol w:w="776"/>
        <w:gridCol w:w="630"/>
        <w:gridCol w:w="599"/>
        <w:gridCol w:w="620"/>
        <w:gridCol w:w="599"/>
        <w:gridCol w:w="599"/>
        <w:gridCol w:w="856"/>
      </w:tblGrid>
      <w:tr w14:paraId="0B12F616">
        <w:tblPrEx>
          <w:tblCellMar>
            <w:top w:w="0" w:type="dxa"/>
            <w:left w:w="108" w:type="dxa"/>
            <w:bottom w:w="0" w:type="dxa"/>
            <w:right w:w="108" w:type="dxa"/>
          </w:tblCellMar>
        </w:tblPrEx>
        <w:tc>
          <w:tcPr>
            <w:tcW w:w="8848" w:type="dxa"/>
            <w:gridSpan w:val="14"/>
            <w:vAlign w:val="center"/>
          </w:tcPr>
          <w:p w14:paraId="34DC6294">
            <w:pPr>
              <w:jc w:val="center"/>
            </w:pPr>
            <w:r>
              <w:rPr>
                <w:rFonts w:ascii="宋体" w:hAnsi="宋体" w:eastAsia="宋体"/>
                <w:sz w:val="24"/>
              </w:rPr>
              <w:t>项目支出绩效自评表</w:t>
            </w:r>
          </w:p>
        </w:tc>
      </w:tr>
      <w:tr w14:paraId="58BE204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A518A6">
            <w:pPr>
              <w:jc w:val="center"/>
            </w:pPr>
            <w:r>
              <w:rPr>
                <w:rFonts w:ascii="宋体" w:hAnsi="宋体" w:eastAsia="宋体"/>
                <w:sz w:val="24"/>
              </w:rPr>
              <w:t>(2024年度)</w:t>
            </w:r>
          </w:p>
        </w:tc>
      </w:tr>
      <w:tr w14:paraId="7238E66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F47EA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06A491FF">
            <w:pPr>
              <w:jc w:val="center"/>
            </w:pPr>
            <w:r>
              <w:rPr>
                <w:rFonts w:ascii="宋体" w:hAnsi="宋体" w:eastAsia="宋体"/>
                <w:sz w:val="16"/>
              </w:rPr>
              <w:t>机关运行补助</w:t>
            </w:r>
          </w:p>
        </w:tc>
      </w:tr>
      <w:tr w14:paraId="5746EA26">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B1FE2D">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07F2E100">
            <w:pPr>
              <w:jc w:val="center"/>
            </w:pPr>
            <w:r>
              <w:rPr>
                <w:rFonts w:ascii="宋体" w:hAnsi="宋体" w:eastAsia="宋体"/>
                <w:sz w:val="16"/>
              </w:rPr>
              <w:t>昌吉回族自治州老年人老干部活动中心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1000C5">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B61CE5">
            <w:pPr>
              <w:jc w:val="center"/>
            </w:pPr>
            <w:r>
              <w:rPr>
                <w:rFonts w:ascii="宋体" w:hAnsi="宋体" w:eastAsia="宋体"/>
                <w:sz w:val="16"/>
              </w:rPr>
              <w:t>昌吉回族自治州老年人老干部活动中心</w:t>
            </w:r>
          </w:p>
        </w:tc>
      </w:tr>
      <w:tr w14:paraId="75A55EC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A2D018F">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E2DC64">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B96044">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A9685F">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C68311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4C844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D35D2">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AACCAB">
            <w:pPr>
              <w:jc w:val="center"/>
            </w:pPr>
            <w:r>
              <w:rPr>
                <w:rFonts w:ascii="宋体" w:hAnsi="宋体" w:eastAsia="宋体"/>
                <w:sz w:val="16"/>
              </w:rPr>
              <w:t>得分</w:t>
            </w:r>
          </w:p>
        </w:tc>
      </w:tr>
      <w:tr w14:paraId="2FA6F96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58043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79E87E">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597546">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8891E">
            <w:pPr>
              <w:jc w:val="center"/>
            </w:pPr>
            <w:r>
              <w:rPr>
                <w:rFonts w:ascii="宋体" w:hAnsi="宋体" w:eastAsia="宋体"/>
                <w:sz w:val="16"/>
              </w:rPr>
              <w:t>12.90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7FB9294">
            <w:pPr>
              <w:jc w:val="center"/>
            </w:pPr>
            <w:r>
              <w:rPr>
                <w:rFonts w:ascii="宋体" w:hAnsi="宋体" w:eastAsia="宋体"/>
                <w:sz w:val="16"/>
              </w:rPr>
              <w:t>9.36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8CFE9C2">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1C2DFD9">
            <w:pPr>
              <w:jc w:val="center"/>
            </w:pPr>
            <w:r>
              <w:rPr>
                <w:rFonts w:ascii="宋体" w:hAnsi="宋体" w:eastAsia="宋体"/>
                <w:sz w:val="16"/>
              </w:rPr>
              <w:t>72.56%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B2703B">
            <w:pPr>
              <w:jc w:val="center"/>
            </w:pPr>
            <w:r>
              <w:rPr>
                <w:rFonts w:ascii="宋体" w:hAnsi="宋体" w:eastAsia="宋体"/>
                <w:sz w:val="16"/>
              </w:rPr>
              <w:t>3.14</w:t>
            </w:r>
          </w:p>
        </w:tc>
      </w:tr>
      <w:tr w14:paraId="6863741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1ADD0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A8FD02">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456D33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C7883F">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7F483E">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054B7E">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67B6D0">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7DEA0E">
            <w:pPr>
              <w:jc w:val="center"/>
            </w:pPr>
            <w:r>
              <w:rPr>
                <w:rFonts w:ascii="宋体" w:hAnsi="宋体" w:eastAsia="宋体"/>
                <w:sz w:val="16"/>
              </w:rPr>
              <w:t>—</w:t>
            </w:r>
          </w:p>
        </w:tc>
      </w:tr>
      <w:tr w14:paraId="5DDA2F7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DEC1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96D212E">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678D94">
            <w:pPr>
              <w:jc w:val="center"/>
            </w:pPr>
            <w:r>
              <w:rPr>
                <w:rFonts w:ascii="宋体" w:hAnsi="宋体" w:eastAsia="宋体"/>
                <w:sz w:val="16"/>
              </w:rPr>
              <w:t>15.00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63F23">
            <w:pPr>
              <w:jc w:val="center"/>
            </w:pPr>
            <w:r>
              <w:rPr>
                <w:rFonts w:ascii="宋体" w:hAnsi="宋体" w:eastAsia="宋体"/>
                <w:sz w:val="16"/>
              </w:rPr>
              <w:t>12.90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B0B1BC">
            <w:pPr>
              <w:jc w:val="center"/>
            </w:pPr>
            <w:r>
              <w:rPr>
                <w:rFonts w:ascii="宋体" w:hAnsi="宋体" w:eastAsia="宋体"/>
                <w:sz w:val="16"/>
              </w:rPr>
              <w:t>9.36</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1C2586">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C2D47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584F0F">
            <w:pPr>
              <w:jc w:val="center"/>
            </w:pPr>
            <w:r>
              <w:rPr>
                <w:rFonts w:ascii="宋体" w:hAnsi="宋体" w:eastAsia="宋体"/>
                <w:sz w:val="16"/>
              </w:rPr>
              <w:t>—</w:t>
            </w:r>
          </w:p>
        </w:tc>
      </w:tr>
      <w:tr w14:paraId="453657A2">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2A8CFCA">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B35C7C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1404686">
            <w:pPr>
              <w:jc w:val="center"/>
            </w:pPr>
            <w:r>
              <w:rPr>
                <w:rFonts w:ascii="宋体" w:hAnsi="宋体" w:eastAsia="宋体"/>
                <w:sz w:val="16"/>
              </w:rPr>
              <w:t>实际完成情况</w:t>
            </w:r>
          </w:p>
        </w:tc>
      </w:tr>
      <w:tr w14:paraId="419B29C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C1823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4D84343">
            <w:pPr>
              <w:jc w:val="both"/>
            </w:pPr>
            <w:r>
              <w:rPr>
                <w:rFonts w:ascii="宋体" w:hAnsi="宋体" w:eastAsia="宋体"/>
                <w:sz w:val="16"/>
              </w:rPr>
              <w:t>开展老年大学期数2次/年，慰问人次25次，保障单位正常运转12个月，资金利用率达到90%，公用经费支付及时率达到90%，提高单位结算效率，保障单位正常运转，为部门业务开展提供有效支持。</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D8E953">
            <w:pPr>
              <w:jc w:val="both"/>
            </w:pPr>
            <w:r>
              <w:rPr>
                <w:rFonts w:hint="eastAsia" w:ascii="宋体" w:hAnsi="宋体"/>
                <w:sz w:val="16"/>
                <w:lang w:eastAsia="zh-CN"/>
              </w:rPr>
              <w:t>截至2024</w:t>
            </w:r>
            <w:r>
              <w:rPr>
                <w:rFonts w:ascii="宋体" w:hAnsi="宋体" w:eastAsia="宋体"/>
                <w:sz w:val="16"/>
              </w:rPr>
              <w:t>年12月31日，该项目实际完成：开展老年大学期数2次/年，组织各类节目展演活动3次，教学工作完成率达100%，资金利用率达到72.56%，完成项目支付经费9.36万元，持续增强老同志幸福感，老年人老干部对项目实施满意度达100%。通过该项目的实施，提升老年人的知识素养；促进文化传承和交流。</w:t>
            </w:r>
          </w:p>
        </w:tc>
      </w:tr>
      <w:tr w14:paraId="484B61F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109927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A7317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B7EDB5">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3B0FBB">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9D4A76">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AA95AD">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0F87F0">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C063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05B7874">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2CC267">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3308F">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FF0DED">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70C365">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C517AB">
            <w:pPr>
              <w:jc w:val="center"/>
            </w:pPr>
            <w:r>
              <w:rPr>
                <w:rFonts w:ascii="宋体" w:hAnsi="宋体" w:eastAsia="宋体"/>
                <w:sz w:val="16"/>
              </w:rPr>
              <w:t>偏差原因分析及改进措施</w:t>
            </w:r>
          </w:p>
        </w:tc>
      </w:tr>
      <w:tr w14:paraId="6D1305E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B5B33F">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24F2EFF">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30476B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A37675">
            <w:pPr>
              <w:jc w:val="center"/>
            </w:pPr>
            <w:r>
              <w:rPr>
                <w:rFonts w:ascii="宋体" w:hAnsi="宋体" w:eastAsia="宋体"/>
                <w:sz w:val="16"/>
              </w:rPr>
              <w:t>开展老年大学教学期数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091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564BD1">
            <w:pPr>
              <w:jc w:val="center"/>
            </w:pPr>
            <w:r>
              <w:rPr>
                <w:rFonts w:ascii="宋体" w:hAnsi="宋体" w:eastAsia="宋体"/>
                <w:sz w:val="16"/>
              </w:rPr>
              <w:t>&gt;=2期/年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0B0C14">
            <w:pPr>
              <w:jc w:val="center"/>
            </w:pPr>
            <w:r>
              <w:rPr>
                <w:rFonts w:ascii="宋体" w:hAnsi="宋体" w:eastAsia="宋体"/>
                <w:sz w:val="16"/>
              </w:rPr>
              <w:t>=2期/年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5BE26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C872F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66164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4A11B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76A7D2">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7BAAF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CE819C">
            <w:pPr>
              <w:jc w:val="center"/>
            </w:pPr>
          </w:p>
        </w:tc>
      </w:tr>
      <w:tr w14:paraId="2C4F0C4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161D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80866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76305A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1C5845">
            <w:pPr>
              <w:jc w:val="center"/>
            </w:pPr>
            <w:r>
              <w:rPr>
                <w:rFonts w:ascii="宋体" w:hAnsi="宋体" w:eastAsia="宋体"/>
                <w:sz w:val="16"/>
              </w:rPr>
              <w:t>组织各类节目展演活动次数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D6007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9E3BAB">
            <w:pPr>
              <w:jc w:val="center"/>
            </w:pPr>
            <w:r>
              <w:rPr>
                <w:rFonts w:ascii="宋体" w:hAnsi="宋体" w:eastAsia="宋体"/>
                <w:sz w:val="16"/>
              </w:rPr>
              <w:t>&gt;=3次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949FFA">
            <w:pPr>
              <w:jc w:val="center"/>
            </w:pPr>
            <w:r>
              <w:rPr>
                <w:rFonts w:ascii="宋体" w:hAnsi="宋体" w:eastAsia="宋体"/>
                <w:sz w:val="16"/>
              </w:rPr>
              <w:t>=3次</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E34E7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0D6588">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8E037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55DB8">
            <w:pPr>
              <w:jc w:val="center"/>
            </w:pPr>
            <w:r>
              <w:rPr>
                <w:rFonts w:ascii="宋体" w:hAnsi="宋体" w:eastAsia="宋体"/>
                <w:sz w:val="16"/>
              </w:rPr>
              <w:t>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F095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309D6">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15D433">
            <w:pPr>
              <w:jc w:val="center"/>
            </w:pPr>
          </w:p>
        </w:tc>
      </w:tr>
      <w:tr w14:paraId="63A3D81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BDC3C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F290B8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6E17A6">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73BFB4">
            <w:pPr>
              <w:jc w:val="center"/>
            </w:pPr>
            <w:r>
              <w:rPr>
                <w:rFonts w:ascii="宋体" w:hAnsi="宋体" w:eastAsia="宋体"/>
                <w:sz w:val="16"/>
              </w:rPr>
              <w:t>教学工作完成率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0EF9C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35D688">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E0BD9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DC7F1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76D972">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4B9B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C751B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78CA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6563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19E062">
            <w:pPr>
              <w:jc w:val="center"/>
            </w:pPr>
            <w:r>
              <w:rPr>
                <w:rFonts w:ascii="宋体" w:hAnsi="宋体" w:eastAsia="宋体"/>
                <w:sz w:val="16"/>
              </w:rPr>
              <w:t>教学工作完成较好，教学计划完成率达100%，超预期指标值。</w:t>
            </w:r>
          </w:p>
        </w:tc>
      </w:tr>
      <w:tr w14:paraId="25D3C6A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3B3E26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BC54544">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5532E25">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BCBD4">
            <w:pPr>
              <w:jc w:val="center"/>
            </w:pPr>
            <w:r>
              <w:rPr>
                <w:rFonts w:ascii="宋体" w:hAnsi="宋体" w:eastAsia="宋体"/>
                <w:sz w:val="16"/>
              </w:rPr>
              <w:t>老年大学活动经费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3387E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BB70B4">
            <w:pPr>
              <w:jc w:val="center"/>
            </w:pPr>
            <w:r>
              <w:rPr>
                <w:rFonts w:ascii="宋体" w:hAnsi="宋体" w:eastAsia="宋体"/>
                <w:sz w:val="16"/>
              </w:rPr>
              <w:t>&lt;=6万元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66A508">
            <w:pPr>
              <w:jc w:val="center"/>
            </w:pPr>
            <w:r>
              <w:rPr>
                <w:rFonts w:ascii="宋体" w:hAnsi="宋体" w:eastAsia="宋体"/>
                <w:sz w:val="16"/>
              </w:rPr>
              <w:t>&lt;=5.87万元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86E75">
            <w:pPr>
              <w:jc w:val="center"/>
            </w:pPr>
            <w:r>
              <w:rPr>
                <w:rFonts w:ascii="宋体" w:hAnsi="宋体" w:eastAsia="宋体"/>
                <w:sz w:val="16"/>
              </w:rPr>
              <w:t>97.83%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0B578">
            <w:pPr>
              <w:jc w:val="center"/>
            </w:pPr>
            <w:r>
              <w:rPr>
                <w:rFonts w:ascii="宋体" w:hAnsi="宋体" w:eastAsia="宋体"/>
                <w:sz w:val="16"/>
              </w:rPr>
              <w:t>9.46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56D3A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FBC5FB">
            <w:pPr>
              <w:jc w:val="center"/>
            </w:pPr>
            <w:r>
              <w:rPr>
                <w:rFonts w:ascii="宋体" w:hAnsi="宋体" w:eastAsia="宋体"/>
                <w:sz w:val="16"/>
              </w:rPr>
              <w:t>7.9万元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FA0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C0F7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1953C0">
            <w:pPr>
              <w:jc w:val="center"/>
            </w:pPr>
            <w:r>
              <w:rPr>
                <w:rFonts w:ascii="宋体" w:hAnsi="宋体" w:eastAsia="宋体"/>
                <w:sz w:val="16"/>
              </w:rPr>
              <w:t>老年大学活动经费计划不</w:t>
            </w:r>
            <w:r>
              <w:rPr>
                <w:rFonts w:hint="eastAsia" w:ascii="宋体" w:hAnsi="宋体"/>
                <w:sz w:val="16"/>
                <w:lang w:eastAsia="zh-CN"/>
              </w:rPr>
              <w:t>超过</w:t>
            </w:r>
            <w:r>
              <w:rPr>
                <w:rFonts w:ascii="宋体" w:hAnsi="宋体" w:eastAsia="宋体"/>
                <w:sz w:val="16"/>
              </w:rPr>
              <w:t>6万元，实际支付5.87万元，支付率97.83%，主要原因：厉行节约，加大教学经费使用率。</w:t>
            </w:r>
          </w:p>
        </w:tc>
      </w:tr>
      <w:tr w14:paraId="57D5B3D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F75D4B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810A5C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816551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DE554D">
            <w:pPr>
              <w:jc w:val="center"/>
            </w:pPr>
            <w:r>
              <w:rPr>
                <w:rFonts w:ascii="宋体" w:hAnsi="宋体" w:eastAsia="宋体"/>
                <w:sz w:val="16"/>
              </w:rPr>
              <w:t>活动中心日常运转经费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E29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773B68">
            <w:pPr>
              <w:jc w:val="center"/>
            </w:pPr>
            <w:r>
              <w:rPr>
                <w:rFonts w:ascii="宋体" w:hAnsi="宋体" w:eastAsia="宋体"/>
                <w:sz w:val="16"/>
              </w:rPr>
              <w:t>&lt;=6.9万元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86D8">
            <w:pPr>
              <w:jc w:val="center"/>
            </w:pPr>
            <w:r>
              <w:rPr>
                <w:rFonts w:ascii="宋体" w:hAnsi="宋体" w:eastAsia="宋体"/>
                <w:sz w:val="16"/>
              </w:rPr>
              <w:t>&lt;=3.49万元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988328">
            <w:pPr>
              <w:jc w:val="center"/>
            </w:pPr>
            <w:r>
              <w:rPr>
                <w:rFonts w:ascii="宋体" w:hAnsi="宋体" w:eastAsia="宋体"/>
                <w:sz w:val="16"/>
              </w:rPr>
              <w:t>50.57%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9F1F3">
            <w:pPr>
              <w:jc w:val="center"/>
            </w:pPr>
            <w:r>
              <w:rPr>
                <w:rFonts w:ascii="宋体" w:hAnsi="宋体" w:eastAsia="宋体"/>
                <w:sz w:val="16"/>
              </w:rPr>
              <w:t>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F50E2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DDC70">
            <w:pPr>
              <w:jc w:val="center"/>
            </w:pPr>
            <w:r>
              <w:rPr>
                <w:rFonts w:ascii="宋体" w:hAnsi="宋体" w:eastAsia="宋体"/>
                <w:sz w:val="16"/>
              </w:rPr>
              <w:t>2万元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CA26C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D71B86">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F5568">
            <w:pPr>
              <w:jc w:val="center"/>
            </w:pPr>
            <w:r>
              <w:rPr>
                <w:rFonts w:ascii="宋体" w:hAnsi="宋体" w:eastAsia="宋体"/>
                <w:sz w:val="16"/>
              </w:rPr>
              <w:t>活动中心日常运转经费计划6.9万元，实际支付3.49万元，支付率50.57%，主要原因：严格控制运转经费支出，提高资金使用效率，创建节约型机关。</w:t>
            </w:r>
          </w:p>
        </w:tc>
      </w:tr>
      <w:tr w14:paraId="25D050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D55E9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1CFEEC">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02338">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6E1E0">
            <w:pPr>
              <w:jc w:val="center"/>
            </w:pPr>
            <w:r>
              <w:rPr>
                <w:rFonts w:ascii="宋体" w:hAnsi="宋体" w:eastAsia="宋体"/>
                <w:sz w:val="16"/>
              </w:rPr>
              <w:t>增强老同志幸福感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B1FE0F">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3BB02">
            <w:pPr>
              <w:jc w:val="center"/>
            </w:pPr>
            <w:r>
              <w:rPr>
                <w:rFonts w:ascii="宋体" w:hAnsi="宋体" w:eastAsia="宋体"/>
                <w:sz w:val="16"/>
              </w:rPr>
              <w:t>持续</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B27D39">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756A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F9EE1D">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92CD0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9DD35E">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EFBDCB">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3819C9">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E641DA">
            <w:pPr>
              <w:jc w:val="center"/>
            </w:pPr>
          </w:p>
        </w:tc>
      </w:tr>
      <w:tr w14:paraId="08BF1C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5A3CE7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AEA81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9DFFF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ECCCC6">
            <w:pPr>
              <w:jc w:val="center"/>
            </w:pPr>
            <w:r>
              <w:rPr>
                <w:rFonts w:ascii="宋体" w:hAnsi="宋体" w:eastAsia="宋体"/>
                <w:sz w:val="16"/>
              </w:rPr>
              <w:t>老年大学服务满意度（%）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28F6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A24A15">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70C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861B62E">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5D13C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AC7E2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90702">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11AF">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7B65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8CAA6A">
            <w:pPr>
              <w:jc w:val="center"/>
            </w:pPr>
            <w:r>
              <w:rPr>
                <w:rFonts w:ascii="宋体" w:hAnsi="宋体" w:eastAsia="宋体"/>
                <w:sz w:val="16"/>
              </w:rPr>
              <w:t>项目实施较好，老年大学学员对项目实施较满意，所以超预期指标。</w:t>
            </w:r>
          </w:p>
        </w:tc>
      </w:tr>
      <w:tr w14:paraId="358D6838">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7AC989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BEAC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9D37BE"/>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A6CF7D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DFA970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8505D0">
            <w:pPr>
              <w:jc w:val="center"/>
            </w:pPr>
            <w:r>
              <w:rPr>
                <w:rFonts w:ascii="宋体" w:hAnsi="宋体" w:eastAsia="宋体"/>
                <w:sz w:val="16"/>
              </w:rPr>
              <w:t>82.07分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FB94E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239E5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A3594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0D9EC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08761EF"/>
        </w:tc>
      </w:tr>
    </w:tbl>
    <w:p w14:paraId="1F980070">
      <w:r>
        <w:br w:type="page"/>
      </w:r>
    </w:p>
    <w:tbl>
      <w:tblPr>
        <w:tblStyle w:val="9"/>
        <w:tblW w:w="0" w:type="auto"/>
        <w:tblInd w:w="0" w:type="dxa"/>
        <w:tblLayout w:type="autofit"/>
        <w:tblCellMar>
          <w:top w:w="0" w:type="dxa"/>
          <w:left w:w="108" w:type="dxa"/>
          <w:bottom w:w="0" w:type="dxa"/>
          <w:right w:w="108" w:type="dxa"/>
        </w:tblCellMar>
      </w:tblPr>
      <w:tblGrid>
        <w:gridCol w:w="619"/>
        <w:gridCol w:w="599"/>
        <w:gridCol w:w="599"/>
        <w:gridCol w:w="630"/>
        <w:gridCol w:w="609"/>
        <w:gridCol w:w="776"/>
        <w:gridCol w:w="696"/>
        <w:gridCol w:w="776"/>
        <w:gridCol w:w="630"/>
        <w:gridCol w:w="599"/>
        <w:gridCol w:w="630"/>
        <w:gridCol w:w="601"/>
        <w:gridCol w:w="600"/>
        <w:gridCol w:w="696"/>
      </w:tblGrid>
      <w:tr w14:paraId="7276A95D">
        <w:tblPrEx>
          <w:tblCellMar>
            <w:top w:w="0" w:type="dxa"/>
            <w:left w:w="108" w:type="dxa"/>
            <w:bottom w:w="0" w:type="dxa"/>
            <w:right w:w="108" w:type="dxa"/>
          </w:tblCellMar>
        </w:tblPrEx>
        <w:tc>
          <w:tcPr>
            <w:tcW w:w="8848" w:type="dxa"/>
            <w:gridSpan w:val="14"/>
            <w:vAlign w:val="center"/>
          </w:tcPr>
          <w:p w14:paraId="105E0284">
            <w:pPr>
              <w:jc w:val="center"/>
            </w:pPr>
            <w:r>
              <w:rPr>
                <w:rFonts w:ascii="宋体" w:hAnsi="宋体" w:eastAsia="宋体"/>
                <w:sz w:val="24"/>
              </w:rPr>
              <w:t>项目支出绩效自评表</w:t>
            </w:r>
          </w:p>
        </w:tc>
      </w:tr>
      <w:tr w14:paraId="329FC50F">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1749FC7">
            <w:pPr>
              <w:jc w:val="center"/>
            </w:pPr>
            <w:r>
              <w:rPr>
                <w:rFonts w:ascii="宋体" w:hAnsi="宋体" w:eastAsia="宋体"/>
                <w:sz w:val="24"/>
              </w:rPr>
              <w:t>(2024年度)</w:t>
            </w:r>
          </w:p>
        </w:tc>
      </w:tr>
      <w:tr w14:paraId="385F5F57">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D48DD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724239A8">
            <w:pPr>
              <w:jc w:val="center"/>
            </w:pPr>
            <w:r>
              <w:rPr>
                <w:rFonts w:ascii="宋体" w:hAnsi="宋体" w:eastAsia="宋体"/>
                <w:sz w:val="16"/>
              </w:rPr>
              <w:t>活动中心物业外包项目</w:t>
            </w:r>
          </w:p>
        </w:tc>
      </w:tr>
      <w:tr w14:paraId="0316DF6E">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D1BBC">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D274C95">
            <w:pPr>
              <w:jc w:val="center"/>
            </w:pPr>
            <w:r>
              <w:rPr>
                <w:rFonts w:ascii="宋体" w:hAnsi="宋体" w:eastAsia="宋体"/>
                <w:sz w:val="16"/>
              </w:rPr>
              <w:t>昌吉回族自治州老年人老干部活动中心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FF7BAA">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5183F5F9">
            <w:pPr>
              <w:jc w:val="center"/>
            </w:pPr>
            <w:r>
              <w:rPr>
                <w:rFonts w:ascii="宋体" w:hAnsi="宋体" w:eastAsia="宋体"/>
                <w:sz w:val="16"/>
              </w:rPr>
              <w:t>昌吉回族自治州老年人老干部活动中心</w:t>
            </w:r>
          </w:p>
        </w:tc>
      </w:tr>
      <w:tr w14:paraId="268F928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5E0D6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66C586">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522265">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2CEE8">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62873DF">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1224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5FF04D">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2F9744">
            <w:pPr>
              <w:jc w:val="center"/>
            </w:pPr>
            <w:r>
              <w:rPr>
                <w:rFonts w:ascii="宋体" w:hAnsi="宋体" w:eastAsia="宋体"/>
                <w:sz w:val="16"/>
              </w:rPr>
              <w:t>得分</w:t>
            </w:r>
          </w:p>
        </w:tc>
      </w:tr>
      <w:tr w14:paraId="35AD126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866F66"/>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50EA94">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B7F9D">
            <w:pPr>
              <w:jc w:val="center"/>
            </w:pPr>
            <w:r>
              <w:rPr>
                <w:rFonts w:ascii="宋体" w:hAnsi="宋体" w:eastAsia="宋体"/>
                <w:sz w:val="16"/>
              </w:rPr>
              <w:t>122.00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0EE1CB">
            <w:pPr>
              <w:jc w:val="center"/>
            </w:pPr>
            <w:r>
              <w:rPr>
                <w:rFonts w:ascii="宋体" w:hAnsi="宋体" w:eastAsia="宋体"/>
                <w:sz w:val="16"/>
              </w:rPr>
              <w:t>120.72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C22E6FE">
            <w:pPr>
              <w:jc w:val="center"/>
            </w:pPr>
            <w:r>
              <w:rPr>
                <w:rFonts w:ascii="宋体" w:hAnsi="宋体" w:eastAsia="宋体"/>
                <w:sz w:val="16"/>
              </w:rPr>
              <w:t>120.72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D5FCC16">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396311">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631341">
            <w:pPr>
              <w:jc w:val="center"/>
            </w:pPr>
            <w:r>
              <w:rPr>
                <w:rFonts w:ascii="宋体" w:hAnsi="宋体" w:eastAsia="宋体"/>
                <w:sz w:val="16"/>
              </w:rPr>
              <w:t>10.00</w:t>
            </w:r>
          </w:p>
        </w:tc>
      </w:tr>
      <w:tr w14:paraId="04C59CB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1B27B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3118E4">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FE0AAAC">
            <w:pPr>
              <w:jc w:val="center"/>
            </w:pPr>
            <w:r>
              <w:rPr>
                <w:rFonts w:ascii="宋体" w:hAnsi="宋体" w:eastAsia="宋体"/>
                <w:sz w:val="16"/>
              </w:rPr>
              <w:t>122.00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253C0A">
            <w:pPr>
              <w:jc w:val="center"/>
            </w:pPr>
            <w:r>
              <w:rPr>
                <w:rFonts w:ascii="宋体" w:hAnsi="宋体" w:eastAsia="宋体"/>
                <w:sz w:val="16"/>
              </w:rPr>
              <w:t>120.72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A3E4869">
            <w:pPr>
              <w:jc w:val="center"/>
            </w:pPr>
            <w:r>
              <w:rPr>
                <w:rFonts w:ascii="宋体" w:hAnsi="宋体" w:eastAsia="宋体"/>
                <w:sz w:val="16"/>
              </w:rPr>
              <w:t>120.72</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9F171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25EF9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9FD248">
            <w:pPr>
              <w:jc w:val="center"/>
            </w:pPr>
            <w:r>
              <w:rPr>
                <w:rFonts w:ascii="宋体" w:hAnsi="宋体" w:eastAsia="宋体"/>
                <w:sz w:val="16"/>
              </w:rPr>
              <w:t>—</w:t>
            </w:r>
          </w:p>
        </w:tc>
      </w:tr>
      <w:tr w14:paraId="54B8DFE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89BDEC"/>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7E14AA">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23EE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D3376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860772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F3BB3C">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6A8EE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DD553F">
            <w:pPr>
              <w:jc w:val="center"/>
            </w:pPr>
            <w:r>
              <w:rPr>
                <w:rFonts w:ascii="宋体" w:hAnsi="宋体" w:eastAsia="宋体"/>
                <w:sz w:val="16"/>
              </w:rPr>
              <w:t>—</w:t>
            </w:r>
          </w:p>
        </w:tc>
      </w:tr>
      <w:tr w14:paraId="2298C56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87DD49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44A79DA">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26E2EB7">
            <w:pPr>
              <w:jc w:val="center"/>
            </w:pPr>
            <w:r>
              <w:rPr>
                <w:rFonts w:ascii="宋体" w:hAnsi="宋体" w:eastAsia="宋体"/>
                <w:sz w:val="16"/>
              </w:rPr>
              <w:t>实际完成情况</w:t>
            </w:r>
          </w:p>
        </w:tc>
      </w:tr>
      <w:tr w14:paraId="0885AA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C1169EE"/>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D61906">
            <w:pPr>
              <w:jc w:val="both"/>
            </w:pPr>
            <w:r>
              <w:rPr>
                <w:rFonts w:ascii="宋体" w:hAnsi="宋体" w:eastAsia="宋体"/>
                <w:sz w:val="16"/>
              </w:rPr>
              <w:t>为保证为老服务的品质，活动中心实行物业化运行管理，将保洁、保安、消防、后勤托管等纳入物业管理。</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CF29DD6">
            <w:pPr>
              <w:jc w:val="both"/>
            </w:pPr>
            <w:r>
              <w:rPr>
                <w:rFonts w:hint="eastAsia" w:ascii="宋体" w:hAnsi="宋体"/>
                <w:sz w:val="16"/>
                <w:lang w:eastAsia="zh-CN"/>
              </w:rPr>
              <w:t>截至</w:t>
            </w:r>
            <w:r>
              <w:rPr>
                <w:rFonts w:ascii="宋体" w:hAnsi="宋体" w:eastAsia="宋体"/>
                <w:sz w:val="16"/>
              </w:rPr>
              <w:t xml:space="preserve">2024年12月31日，该项目实际完成：保障服务人员23人，物业服务出勤率达100%，项目完成时间2024年12月25日，物业管理经费120.72万元 提升安全保障能力和环境品质，促进了老年人活动场所功能拓展 。 </w:t>
            </w:r>
          </w:p>
        </w:tc>
      </w:tr>
      <w:tr w14:paraId="46DFF01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4D78A38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CD4629">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37218">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A28140">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4DB3E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EF27DA">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F18783">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D62FA">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00E102">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20B91">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705887">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2AEA4E">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6DDA30">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C75B4E">
            <w:pPr>
              <w:jc w:val="center"/>
            </w:pPr>
            <w:r>
              <w:rPr>
                <w:rFonts w:ascii="宋体" w:hAnsi="宋体" w:eastAsia="宋体"/>
                <w:sz w:val="16"/>
              </w:rPr>
              <w:t>偏差原因分析及改进措施</w:t>
            </w:r>
          </w:p>
        </w:tc>
      </w:tr>
      <w:tr w14:paraId="365DC7FC">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ABCD5AD">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BA1ED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17DC8">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AA6AC4">
            <w:pPr>
              <w:jc w:val="center"/>
            </w:pPr>
            <w:r>
              <w:rPr>
                <w:rFonts w:ascii="宋体" w:hAnsi="宋体" w:eastAsia="宋体"/>
                <w:sz w:val="16"/>
              </w:rPr>
              <w:t>保障服务人员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03AD0A">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AAB4A4">
            <w:pPr>
              <w:jc w:val="center"/>
            </w:pPr>
            <w:r>
              <w:rPr>
                <w:rFonts w:ascii="宋体" w:hAnsi="宋体" w:eastAsia="宋体"/>
                <w:sz w:val="16"/>
              </w:rPr>
              <w:t>=25人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2C5B44">
            <w:pPr>
              <w:jc w:val="center"/>
            </w:pPr>
            <w:r>
              <w:rPr>
                <w:rFonts w:ascii="宋体" w:hAnsi="宋体" w:eastAsia="宋体"/>
                <w:sz w:val="16"/>
              </w:rPr>
              <w:t>=23人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6D92A2">
            <w:pPr>
              <w:jc w:val="center"/>
            </w:pPr>
            <w:r>
              <w:rPr>
                <w:rFonts w:ascii="宋体" w:hAnsi="宋体" w:eastAsia="宋体"/>
                <w:sz w:val="16"/>
              </w:rPr>
              <w:t>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EF503E">
            <w:pPr>
              <w:jc w:val="center"/>
            </w:pPr>
            <w:r>
              <w:rPr>
                <w:rFonts w:ascii="宋体" w:hAnsi="宋体" w:eastAsia="宋体"/>
                <w:sz w:val="16"/>
              </w:rPr>
              <w:t>10.4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A665A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E4C031">
            <w:pPr>
              <w:jc w:val="center"/>
            </w:pPr>
            <w:r>
              <w:rPr>
                <w:rFonts w:ascii="宋体" w:hAnsi="宋体" w:eastAsia="宋体"/>
                <w:sz w:val="16"/>
              </w:rPr>
              <w:t>=24人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3E366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EB34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EAABB4">
            <w:pPr>
              <w:jc w:val="center"/>
            </w:pPr>
            <w:r>
              <w:rPr>
                <w:rFonts w:ascii="宋体" w:hAnsi="宋体" w:eastAsia="宋体"/>
                <w:sz w:val="16"/>
              </w:rPr>
              <w:t>保障服务人员目标值25人，实际业绩值23人，主要原因：物业公司在保障物业服务达标的前提下，优化了人员配置。</w:t>
            </w:r>
          </w:p>
        </w:tc>
      </w:tr>
      <w:tr w14:paraId="5BFEA48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5112FE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FF71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4C0F35">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5F2D05">
            <w:pPr>
              <w:jc w:val="center"/>
            </w:pPr>
            <w:r>
              <w:rPr>
                <w:rFonts w:ascii="宋体" w:hAnsi="宋体" w:eastAsia="宋体"/>
                <w:sz w:val="16"/>
              </w:rPr>
              <w:t>物业服务出勤率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F84369">
            <w:pPr>
              <w:jc w:val="center"/>
            </w:pPr>
            <w:r>
              <w:rPr>
                <w:rFonts w:ascii="宋体" w:hAnsi="宋体" w:eastAsia="宋体"/>
                <w:sz w:val="16"/>
              </w:rPr>
              <w:t>13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532918">
            <w:pPr>
              <w:jc w:val="center"/>
            </w:pPr>
            <w:r>
              <w:rPr>
                <w:rFonts w:ascii="宋体" w:hAnsi="宋体" w:eastAsia="宋体"/>
                <w:sz w:val="16"/>
              </w:rPr>
              <w:t>&gt;=98%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9AC19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35557F4">
            <w:pPr>
              <w:jc w:val="center"/>
            </w:pPr>
            <w:r>
              <w:rPr>
                <w:rFonts w:ascii="宋体" w:hAnsi="宋体" w:eastAsia="宋体"/>
                <w:sz w:val="16"/>
              </w:rPr>
              <w:t>102.04%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9249B4">
            <w:pPr>
              <w:jc w:val="center"/>
            </w:pPr>
            <w:r>
              <w:rPr>
                <w:rFonts w:ascii="宋体" w:hAnsi="宋体" w:eastAsia="宋体"/>
                <w:sz w:val="16"/>
              </w:rPr>
              <w:t>12.73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1F92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6FA05">
            <w:pPr>
              <w:jc w:val="center"/>
            </w:pPr>
            <w:r>
              <w:rPr>
                <w:rFonts w:ascii="宋体" w:hAnsi="宋体" w:eastAsia="宋体"/>
                <w:sz w:val="16"/>
              </w:rPr>
              <w:t>99%</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21346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43DCD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88699B">
            <w:pPr>
              <w:jc w:val="center"/>
            </w:pPr>
            <w:r>
              <w:rPr>
                <w:rFonts w:ascii="宋体" w:hAnsi="宋体" w:eastAsia="宋体"/>
                <w:sz w:val="16"/>
              </w:rPr>
              <w:t>物业服务工作人员工作积极性较高，物业服务出勤率达100%。</w:t>
            </w:r>
          </w:p>
        </w:tc>
      </w:tr>
      <w:tr w14:paraId="1DCC7BA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AEC8CB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3BD94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E1C2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EFC43F">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35FD2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178B8">
            <w:pPr>
              <w:jc w:val="center"/>
            </w:pPr>
            <w:r>
              <w:rPr>
                <w:rFonts w:ascii="宋体" w:hAnsi="宋体" w:eastAsia="宋体"/>
                <w:sz w:val="16"/>
              </w:rPr>
              <w:t>12月25日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5669FE">
            <w:pPr>
              <w:jc w:val="center"/>
            </w:pPr>
            <w:r>
              <w:rPr>
                <w:rFonts w:ascii="宋体" w:hAnsi="宋体" w:eastAsia="宋体"/>
                <w:sz w:val="16"/>
              </w:rPr>
              <w:t>=12月10日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8113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58BA74">
            <w:pPr>
              <w:jc w:val="center"/>
            </w:pPr>
            <w:r>
              <w:rPr>
                <w:rFonts w:ascii="宋体" w:hAnsi="宋体" w:eastAsia="宋体"/>
                <w:sz w:val="16"/>
              </w:rPr>
              <w:t>14</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53E43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E4ADE">
            <w:pPr>
              <w:jc w:val="center"/>
            </w:pPr>
            <w:r>
              <w:rPr>
                <w:rFonts w:ascii="宋体" w:hAnsi="宋体" w:eastAsia="宋体"/>
                <w:sz w:val="16"/>
              </w:rPr>
              <w:t>12月31日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2EFAD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C6A2B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F2ACAE">
            <w:pPr>
              <w:jc w:val="center"/>
            </w:pPr>
          </w:p>
        </w:tc>
      </w:tr>
      <w:tr w14:paraId="3034D68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76B31C5"/>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CA79D7F">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B4FC1C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DB5311">
            <w:pPr>
              <w:jc w:val="center"/>
            </w:pPr>
            <w:r>
              <w:rPr>
                <w:rFonts w:ascii="宋体" w:hAnsi="宋体" w:eastAsia="宋体"/>
                <w:sz w:val="16"/>
              </w:rPr>
              <w:t>2024年1</w:t>
            </w:r>
            <w:r>
              <w:rPr>
                <w:rFonts w:hint="eastAsia" w:ascii="宋体" w:hAnsi="宋体"/>
                <w:sz w:val="16"/>
                <w:lang w:eastAsia="zh-CN"/>
              </w:rPr>
              <w:t>—</w:t>
            </w:r>
            <w:r>
              <w:rPr>
                <w:rFonts w:ascii="宋体" w:hAnsi="宋体" w:eastAsia="宋体"/>
                <w:sz w:val="16"/>
              </w:rPr>
              <w:t>6月物业管理经费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C3AC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784393">
            <w:pPr>
              <w:jc w:val="center"/>
            </w:pPr>
            <w:r>
              <w:rPr>
                <w:rFonts w:ascii="宋体" w:hAnsi="宋体" w:eastAsia="宋体"/>
                <w:sz w:val="16"/>
              </w:rPr>
              <w:t>&lt;=60.36万元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B1689">
            <w:pPr>
              <w:jc w:val="center"/>
            </w:pPr>
            <w:r>
              <w:rPr>
                <w:rFonts w:ascii="宋体" w:hAnsi="宋体" w:eastAsia="宋体"/>
                <w:sz w:val="16"/>
              </w:rPr>
              <w:t>=60.36万元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B50B3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6139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F6F9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6DA6D1">
            <w:pPr>
              <w:jc w:val="center"/>
            </w:pPr>
            <w:r>
              <w:rPr>
                <w:rFonts w:ascii="宋体" w:hAnsi="宋体" w:eastAsia="宋体"/>
                <w:sz w:val="16"/>
              </w:rPr>
              <w:t>&lt;=61万元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E78B9E">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FCC28">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6B18A3">
            <w:pPr>
              <w:jc w:val="center"/>
            </w:pPr>
          </w:p>
        </w:tc>
      </w:tr>
      <w:tr w14:paraId="5E68216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4440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E1E6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44D46D"/>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522634">
            <w:pPr>
              <w:jc w:val="center"/>
            </w:pPr>
            <w:r>
              <w:rPr>
                <w:rFonts w:ascii="宋体" w:hAnsi="宋体" w:eastAsia="宋体"/>
                <w:sz w:val="16"/>
              </w:rPr>
              <w:t>2024年7</w:t>
            </w:r>
            <w:r>
              <w:rPr>
                <w:rFonts w:hint="eastAsia" w:ascii="宋体" w:hAnsi="宋体"/>
                <w:sz w:val="16"/>
                <w:lang w:eastAsia="zh-CN"/>
              </w:rPr>
              <w:t>—</w:t>
            </w:r>
            <w:r>
              <w:rPr>
                <w:rFonts w:ascii="宋体" w:hAnsi="宋体" w:eastAsia="宋体"/>
                <w:sz w:val="16"/>
              </w:rPr>
              <w:t>12月物业管理经费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C4DB6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8B7328">
            <w:pPr>
              <w:jc w:val="center"/>
            </w:pPr>
            <w:r>
              <w:rPr>
                <w:rFonts w:ascii="宋体" w:hAnsi="宋体" w:eastAsia="宋体"/>
                <w:sz w:val="16"/>
              </w:rPr>
              <w:t>&lt;=60.36万元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32C4FB">
            <w:pPr>
              <w:jc w:val="center"/>
            </w:pPr>
            <w:r>
              <w:rPr>
                <w:rFonts w:ascii="宋体" w:hAnsi="宋体" w:eastAsia="宋体"/>
                <w:sz w:val="16"/>
              </w:rPr>
              <w:t>=60.36万元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03141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48E2A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97FB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F88CA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FA0F8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979F12">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65B319">
            <w:pPr>
              <w:jc w:val="center"/>
            </w:pPr>
          </w:p>
        </w:tc>
      </w:tr>
      <w:tr w14:paraId="01DA948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DF3E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59491F">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85C1B3D">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7CC66C">
            <w:pPr>
              <w:jc w:val="center"/>
            </w:pPr>
            <w:r>
              <w:rPr>
                <w:rFonts w:ascii="宋体" w:hAnsi="宋体" w:eastAsia="宋体"/>
                <w:sz w:val="16"/>
              </w:rPr>
              <w:t>改善活动中心环境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4A4EB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E8F9CC">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EA04EA">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157C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F7C7BC">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F6CA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8A8CE4">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0B588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7FFF5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EC5FB8">
            <w:pPr>
              <w:jc w:val="center"/>
            </w:pPr>
          </w:p>
        </w:tc>
      </w:tr>
      <w:tr w14:paraId="35E69D39">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A69B2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20FEB8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A0CA09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0E9E50">
            <w:pPr>
              <w:jc w:val="center"/>
            </w:pPr>
            <w:r>
              <w:rPr>
                <w:rFonts w:ascii="宋体" w:hAnsi="宋体" w:eastAsia="宋体"/>
                <w:sz w:val="16"/>
              </w:rPr>
              <w:t>为中心服务提供保障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D826F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584106">
            <w:pPr>
              <w:jc w:val="center"/>
            </w:pPr>
            <w:r>
              <w:rPr>
                <w:rFonts w:ascii="宋体" w:hAnsi="宋体" w:eastAsia="宋体"/>
                <w:sz w:val="16"/>
              </w:rPr>
              <w:t>有效保障</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9CA1E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13CF8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75497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22BE7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43C08B">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D1FF5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67FF3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28150D">
            <w:pPr>
              <w:jc w:val="center"/>
            </w:pPr>
          </w:p>
        </w:tc>
      </w:tr>
      <w:tr w14:paraId="012E601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AAF0FA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BD3D5F">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72E9A">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DEF6C">
            <w:pPr>
              <w:jc w:val="center"/>
            </w:pPr>
            <w:r>
              <w:rPr>
                <w:rFonts w:ascii="宋体" w:hAnsi="宋体" w:eastAsia="宋体"/>
                <w:sz w:val="16"/>
              </w:rPr>
              <w:t>老年人满意度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8F2A9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8C84B">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E63E1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8B839C">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0CFE6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35FD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2A3E0A">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8C207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A681A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CE6976">
            <w:pPr>
              <w:jc w:val="center"/>
            </w:pPr>
            <w:r>
              <w:rPr>
                <w:rFonts w:ascii="宋体" w:hAnsi="宋体" w:eastAsia="宋体"/>
                <w:sz w:val="16"/>
              </w:rPr>
              <w:t>项目实施较好，老年人对该项目实施比较满意。</w:t>
            </w:r>
          </w:p>
        </w:tc>
      </w:tr>
      <w:tr w14:paraId="2C25212B">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B5EFCC6">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5843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AD67C1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5398C5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FC33B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B20364">
            <w:pPr>
              <w:jc w:val="center"/>
            </w:pPr>
            <w:r>
              <w:rPr>
                <w:rFonts w:ascii="宋体" w:hAnsi="宋体" w:eastAsia="宋体"/>
                <w:sz w:val="16"/>
              </w:rPr>
              <w:t>97.13分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807FF2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4704C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B705C8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2A33EF1"/>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DE629C8"/>
        </w:tc>
      </w:tr>
    </w:tbl>
    <w:p w14:paraId="067434AE">
      <w:r>
        <w:br w:type="page"/>
      </w:r>
    </w:p>
    <w:tbl>
      <w:tblPr>
        <w:tblStyle w:val="9"/>
        <w:tblW w:w="0" w:type="auto"/>
        <w:tblInd w:w="0" w:type="dxa"/>
        <w:tblLayout w:type="autofit"/>
        <w:tblCellMar>
          <w:top w:w="0" w:type="dxa"/>
          <w:left w:w="108" w:type="dxa"/>
          <w:bottom w:w="0" w:type="dxa"/>
          <w:right w:w="108" w:type="dxa"/>
        </w:tblCellMar>
      </w:tblPr>
      <w:tblGrid>
        <w:gridCol w:w="625"/>
        <w:gridCol w:w="613"/>
        <w:gridCol w:w="613"/>
        <w:gridCol w:w="613"/>
        <w:gridCol w:w="619"/>
        <w:gridCol w:w="776"/>
        <w:gridCol w:w="696"/>
        <w:gridCol w:w="776"/>
        <w:gridCol w:w="631"/>
        <w:gridCol w:w="613"/>
        <w:gridCol w:w="625"/>
        <w:gridCol w:w="614"/>
        <w:gridCol w:w="614"/>
        <w:gridCol w:w="632"/>
      </w:tblGrid>
      <w:tr w14:paraId="4F08738D">
        <w:tc>
          <w:tcPr>
            <w:tcW w:w="8848" w:type="dxa"/>
            <w:gridSpan w:val="14"/>
            <w:vAlign w:val="center"/>
          </w:tcPr>
          <w:p w14:paraId="712147CC">
            <w:pPr>
              <w:jc w:val="center"/>
            </w:pPr>
            <w:r>
              <w:rPr>
                <w:rFonts w:ascii="宋体" w:hAnsi="宋体" w:eastAsia="宋体"/>
                <w:sz w:val="24"/>
              </w:rPr>
              <w:t>项目支出绩效自评表</w:t>
            </w:r>
          </w:p>
        </w:tc>
      </w:tr>
      <w:tr w14:paraId="4FA77FD9">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5AD8831">
            <w:pPr>
              <w:jc w:val="center"/>
            </w:pPr>
            <w:r>
              <w:rPr>
                <w:rFonts w:ascii="宋体" w:hAnsi="宋体" w:eastAsia="宋体"/>
                <w:sz w:val="24"/>
              </w:rPr>
              <w:t>(2024年度)</w:t>
            </w:r>
          </w:p>
        </w:tc>
      </w:tr>
      <w:tr w14:paraId="082F0E4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4CE195">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F6ED53D">
            <w:pPr>
              <w:jc w:val="center"/>
            </w:pPr>
            <w:r>
              <w:rPr>
                <w:rFonts w:ascii="宋体" w:hAnsi="宋体" w:eastAsia="宋体"/>
                <w:sz w:val="16"/>
              </w:rPr>
              <w:t>老龄专项业务经费</w:t>
            </w:r>
          </w:p>
        </w:tc>
      </w:tr>
      <w:tr w14:paraId="5D745F4D">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47DD6F">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E4BD1CF">
            <w:pPr>
              <w:jc w:val="center"/>
            </w:pPr>
            <w:r>
              <w:rPr>
                <w:rFonts w:ascii="宋体" w:hAnsi="宋体" w:eastAsia="宋体"/>
                <w:sz w:val="16"/>
              </w:rPr>
              <w:t>昌吉回族自治州老年人老干部活动中心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74286B">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1AF8D63D">
            <w:pPr>
              <w:jc w:val="center"/>
            </w:pPr>
            <w:r>
              <w:rPr>
                <w:rFonts w:ascii="宋体" w:hAnsi="宋体" w:eastAsia="宋体"/>
                <w:sz w:val="16"/>
              </w:rPr>
              <w:t>昌吉回族自治州老年人老干部活动中心</w:t>
            </w:r>
          </w:p>
        </w:tc>
      </w:tr>
      <w:tr w14:paraId="2A1BFD2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403736A">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FE981DF">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86BBAA">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D52E711">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E2542A">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146AB96">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59EB9D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50E188">
            <w:pPr>
              <w:jc w:val="center"/>
            </w:pPr>
            <w:r>
              <w:rPr>
                <w:rFonts w:ascii="宋体" w:hAnsi="宋体" w:eastAsia="宋体"/>
                <w:sz w:val="16"/>
              </w:rPr>
              <w:t>得分</w:t>
            </w:r>
          </w:p>
        </w:tc>
      </w:tr>
      <w:tr w14:paraId="3EA0D75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B7B62E"/>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9300CB7">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7B7E817">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BF5E151">
            <w:pPr>
              <w:jc w:val="center"/>
            </w:pPr>
            <w:r>
              <w:rPr>
                <w:rFonts w:ascii="宋体" w:hAnsi="宋体" w:eastAsia="宋体"/>
                <w:sz w:val="16"/>
              </w:rPr>
              <w:t>49.58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EFC5DE">
            <w:pPr>
              <w:jc w:val="center"/>
            </w:pPr>
            <w:r>
              <w:rPr>
                <w:rFonts w:ascii="宋体" w:hAnsi="宋体" w:eastAsia="宋体"/>
                <w:sz w:val="16"/>
              </w:rPr>
              <w:t>49.58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317B73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24E9D9">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A3AF3D">
            <w:pPr>
              <w:jc w:val="center"/>
            </w:pPr>
            <w:r>
              <w:rPr>
                <w:rFonts w:ascii="宋体" w:hAnsi="宋体" w:eastAsia="宋体"/>
                <w:sz w:val="16"/>
              </w:rPr>
              <w:t>10.00</w:t>
            </w:r>
          </w:p>
        </w:tc>
      </w:tr>
      <w:tr w14:paraId="4949464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1E40252"/>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82EDE01">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850B9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C5BDC4">
            <w:pPr>
              <w:jc w:val="center"/>
            </w:pPr>
            <w:r>
              <w:rPr>
                <w:rFonts w:ascii="宋体" w:hAnsi="宋体" w:eastAsia="宋体"/>
                <w:sz w:val="16"/>
              </w:rPr>
              <w:t>49.58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AD57EE6">
            <w:pPr>
              <w:jc w:val="center"/>
            </w:pPr>
            <w:r>
              <w:rPr>
                <w:rFonts w:ascii="宋体" w:hAnsi="宋体" w:eastAsia="宋体"/>
                <w:sz w:val="16"/>
              </w:rPr>
              <w:t>49.58</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25E57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C74A8F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5D0FC">
            <w:pPr>
              <w:jc w:val="center"/>
            </w:pPr>
            <w:r>
              <w:rPr>
                <w:rFonts w:ascii="宋体" w:hAnsi="宋体" w:eastAsia="宋体"/>
                <w:sz w:val="16"/>
              </w:rPr>
              <w:t>—</w:t>
            </w:r>
          </w:p>
        </w:tc>
      </w:tr>
      <w:tr w14:paraId="75CA43B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82B33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AD820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2553E9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D572B6">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F9D8BC">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2F280">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AF453">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307DA8">
            <w:pPr>
              <w:jc w:val="center"/>
            </w:pPr>
            <w:r>
              <w:rPr>
                <w:rFonts w:ascii="宋体" w:hAnsi="宋体" w:eastAsia="宋体"/>
                <w:sz w:val="16"/>
              </w:rPr>
              <w:t>—</w:t>
            </w:r>
          </w:p>
        </w:tc>
      </w:tr>
      <w:tr w14:paraId="15711A56">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9619C3">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61557DD">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38E4468D">
            <w:pPr>
              <w:jc w:val="center"/>
            </w:pPr>
            <w:r>
              <w:rPr>
                <w:rFonts w:ascii="宋体" w:hAnsi="宋体" w:eastAsia="宋体"/>
                <w:sz w:val="16"/>
              </w:rPr>
              <w:t>实际完成情况</w:t>
            </w:r>
          </w:p>
        </w:tc>
      </w:tr>
      <w:tr w14:paraId="32D71AC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F7BB41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CC72601">
            <w:pPr>
              <w:jc w:val="both"/>
            </w:pPr>
            <w:r>
              <w:rPr>
                <w:rFonts w:ascii="宋体" w:hAnsi="宋体" w:eastAsia="宋体"/>
                <w:sz w:val="16"/>
              </w:rPr>
              <w:t>为加强活动中心各项建设，确保各项活动能够正常开展，缴纳各活动室水电网费、维修维护各活动室、电梯和消防设施维修维护、进行活动中心绿化、安检设备、监控设备购置，以及消杀用品购置、确保各活动室正常运转。目标1.保障活动室正常运转个数5个；每周保障活动室正常开放时间5天；活动中心各设备安全正常运转率95%；活动室维护验收合格率100%；资金拨付及时率100%。目标2.提升老年人老干部精神文化生活；促进老同志身心健康，增强幸福感。</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9425630">
            <w:pPr>
              <w:jc w:val="both"/>
            </w:pPr>
            <w:r>
              <w:rPr>
                <w:rFonts w:ascii="宋体" w:hAnsi="宋体" w:eastAsia="宋体"/>
                <w:sz w:val="16"/>
              </w:rPr>
              <w:br w:type="textWrapping"/>
            </w:r>
            <w:r>
              <w:rPr>
                <w:rFonts w:hint="eastAsia" w:ascii="宋体" w:hAnsi="宋体"/>
                <w:sz w:val="16"/>
                <w:lang w:eastAsia="zh-CN"/>
              </w:rPr>
              <w:t>截至</w:t>
            </w:r>
            <w:r>
              <w:rPr>
                <w:rFonts w:ascii="宋体" w:hAnsi="宋体" w:eastAsia="宋体"/>
                <w:sz w:val="16"/>
              </w:rPr>
              <w:t>2024年12月31日，该项目实际完成：保障活动室正常运转5个，每周保障活动室正常开放时间5天，保障设施维护活动室数量5个，活动中心各设备安全正常运转率达100%，老龄专项业务经费支付49.58万元，老年人老干部满意度达100%；通过该项目的实施，提升老年人老干部精神文化生活；促进老同志身心健康，增强幸福感。</w:t>
            </w:r>
          </w:p>
        </w:tc>
      </w:tr>
      <w:tr w14:paraId="14444F3B">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CDF02F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B70496">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62CC">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A2622E">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2E44A">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1F63FF">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F87E">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CD6D8">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300B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0CCB25">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07B750">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6B0E2">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2805B7">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C0106B">
            <w:pPr>
              <w:jc w:val="center"/>
            </w:pPr>
            <w:r>
              <w:rPr>
                <w:rFonts w:ascii="宋体" w:hAnsi="宋体" w:eastAsia="宋体"/>
                <w:sz w:val="16"/>
              </w:rPr>
              <w:t>偏差原因分析及改进措施</w:t>
            </w:r>
          </w:p>
        </w:tc>
      </w:tr>
      <w:tr w14:paraId="04D75A7E">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29F4D89">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4F14AE">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6EC10C9">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7E171">
            <w:pPr>
              <w:jc w:val="center"/>
            </w:pPr>
            <w:r>
              <w:rPr>
                <w:rFonts w:ascii="宋体" w:hAnsi="宋体" w:eastAsia="宋体"/>
                <w:sz w:val="16"/>
              </w:rPr>
              <w:t>保障活动室正常运转个数</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43E64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1B408">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02218">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20493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5712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34D8A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5129EE">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B5B17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9D385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B6D5CF">
            <w:pPr>
              <w:jc w:val="center"/>
            </w:pPr>
          </w:p>
        </w:tc>
      </w:tr>
      <w:tr w14:paraId="786030A7">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F4DEB5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DDC6B7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DCFAA52"/>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CDEB6C">
            <w:pPr>
              <w:jc w:val="center"/>
            </w:pPr>
            <w:r>
              <w:rPr>
                <w:rFonts w:ascii="宋体" w:hAnsi="宋体" w:eastAsia="宋体"/>
                <w:sz w:val="16"/>
              </w:rPr>
              <w:t>每周保障活动室正常开放时间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F91E2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A2BFE3">
            <w:pPr>
              <w:jc w:val="center"/>
            </w:pPr>
            <w:r>
              <w:rPr>
                <w:rFonts w:ascii="宋体" w:hAnsi="宋体" w:eastAsia="宋体"/>
                <w:sz w:val="16"/>
              </w:rPr>
              <w:t>&gt;=5天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3687A4">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BC99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FBEE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6BE7C7">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676918">
            <w:pPr>
              <w:jc w:val="center"/>
            </w:pPr>
            <w:r>
              <w:rPr>
                <w:rFonts w:ascii="宋体" w:hAnsi="宋体" w:eastAsia="宋体"/>
                <w:sz w:val="16"/>
              </w:rPr>
              <w:t>5天</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A2BF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B9DDC">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A16194">
            <w:pPr>
              <w:jc w:val="center"/>
            </w:pPr>
          </w:p>
        </w:tc>
      </w:tr>
      <w:tr w14:paraId="1AA1DF9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A44DB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419CD2"/>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5C27A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834E8">
            <w:pPr>
              <w:jc w:val="center"/>
            </w:pPr>
            <w:r>
              <w:rPr>
                <w:rFonts w:ascii="宋体" w:hAnsi="宋体" w:eastAsia="宋体"/>
                <w:sz w:val="16"/>
              </w:rPr>
              <w:t>保障设施维护活动室数量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D9430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3451E8">
            <w:pPr>
              <w:jc w:val="center"/>
            </w:pPr>
            <w:r>
              <w:rPr>
                <w:rFonts w:ascii="宋体" w:hAnsi="宋体" w:eastAsia="宋体"/>
                <w:sz w:val="16"/>
              </w:rPr>
              <w:t>&gt;=5个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9BE260">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E11B1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46F1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1EBE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D20432">
            <w:pPr>
              <w:jc w:val="center"/>
            </w:pPr>
            <w:r>
              <w:rPr>
                <w:rFonts w:ascii="宋体" w:hAnsi="宋体" w:eastAsia="宋体"/>
                <w:sz w:val="16"/>
              </w:rPr>
              <w:t>5个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FDC39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8481A5">
            <w:pPr>
              <w:jc w:val="center"/>
            </w:pPr>
            <w:r>
              <w:rPr>
                <w:rFonts w:ascii="宋体" w:hAnsi="宋体" w:eastAsia="宋体"/>
                <w:sz w:val="16"/>
              </w:rPr>
              <w:t>正式材料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AFD29E">
            <w:pPr>
              <w:jc w:val="center"/>
            </w:pPr>
          </w:p>
        </w:tc>
      </w:tr>
      <w:tr w14:paraId="6098CCB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4D2DB6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372813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DEBA9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CF24C">
            <w:pPr>
              <w:jc w:val="center"/>
            </w:pPr>
            <w:r>
              <w:rPr>
                <w:rFonts w:ascii="宋体" w:hAnsi="宋体" w:eastAsia="宋体"/>
                <w:sz w:val="16"/>
              </w:rPr>
              <w:t>活动中心各设备安全正常运转率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FD16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1016D">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7E705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FC061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AD3D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D74D0">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52DC68">
            <w:pPr>
              <w:jc w:val="center"/>
            </w:pPr>
            <w:r>
              <w:rPr>
                <w:rFonts w:ascii="宋体" w:hAnsi="宋体" w:eastAsia="宋体"/>
                <w:sz w:val="16"/>
              </w:rPr>
              <w: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A4B2D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DA1702">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CD1C86">
            <w:pPr>
              <w:jc w:val="center"/>
            </w:pPr>
            <w:r>
              <w:rPr>
                <w:rFonts w:ascii="宋体" w:hAnsi="宋体" w:eastAsia="宋体"/>
                <w:sz w:val="16"/>
              </w:rPr>
              <w:t>项目实施情况较好，活动中心各设备安全运转率超预期指标值</w:t>
            </w:r>
          </w:p>
        </w:tc>
      </w:tr>
      <w:tr w14:paraId="0FCA7F7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063DFAC"/>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DC4DA7">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0FFEAC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858E27">
            <w:pPr>
              <w:jc w:val="center"/>
            </w:pPr>
            <w:r>
              <w:rPr>
                <w:rFonts w:ascii="宋体" w:hAnsi="宋体" w:eastAsia="宋体"/>
                <w:sz w:val="16"/>
              </w:rPr>
              <w:t>活动室维修费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0D02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22324">
            <w:pPr>
              <w:jc w:val="center"/>
            </w:pPr>
            <w:r>
              <w:rPr>
                <w:rFonts w:ascii="宋体" w:hAnsi="宋体" w:eastAsia="宋体"/>
                <w:sz w:val="16"/>
              </w:rPr>
              <w:t>&lt;=14.8万元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73A6B0">
            <w:pPr>
              <w:jc w:val="center"/>
            </w:pPr>
            <w:r>
              <w:rPr>
                <w:rFonts w:ascii="宋体" w:hAnsi="宋体" w:eastAsia="宋体"/>
                <w:sz w:val="16"/>
              </w:rPr>
              <w:t>=14.8万元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FFD20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EA48D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48BA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D1138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5840BD">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1C6533">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75C793">
            <w:pPr>
              <w:jc w:val="center"/>
            </w:pPr>
          </w:p>
        </w:tc>
      </w:tr>
      <w:tr w14:paraId="5573C11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57193B"/>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7D03C4C"/>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633CB88"/>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DB30B">
            <w:pPr>
              <w:jc w:val="center"/>
            </w:pPr>
            <w:r>
              <w:rPr>
                <w:rFonts w:ascii="宋体" w:hAnsi="宋体" w:eastAsia="宋体"/>
                <w:sz w:val="16"/>
              </w:rPr>
              <w:t>老龄专项业务经费预算支出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5724F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BA2F58">
            <w:pPr>
              <w:jc w:val="center"/>
            </w:pPr>
            <w:r>
              <w:rPr>
                <w:rFonts w:ascii="宋体" w:hAnsi="宋体" w:eastAsia="宋体"/>
                <w:sz w:val="16"/>
              </w:rPr>
              <w:t>&lt;=34.78万元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BC2B4E">
            <w:pPr>
              <w:jc w:val="center"/>
            </w:pPr>
            <w:r>
              <w:rPr>
                <w:rFonts w:ascii="宋体" w:hAnsi="宋体" w:eastAsia="宋体"/>
                <w:sz w:val="16"/>
              </w:rPr>
              <w:t>=34.78万元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751D8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9C3BB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33C5A8">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42E38F">
            <w:pPr>
              <w:jc w:val="center"/>
            </w:pPr>
            <w:r>
              <w:rPr>
                <w:rFonts w:ascii="宋体" w:hAnsi="宋体" w:eastAsia="宋体"/>
                <w:sz w:val="16"/>
              </w:rPr>
              <w:t>50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39DA8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A79AB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3D734">
            <w:pPr>
              <w:jc w:val="center"/>
            </w:pPr>
          </w:p>
        </w:tc>
      </w:tr>
      <w:tr w14:paraId="5516B45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193E2D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56E2234">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3BD5A05">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709A06">
            <w:pPr>
              <w:jc w:val="center"/>
            </w:pPr>
            <w:r>
              <w:rPr>
                <w:rFonts w:ascii="宋体" w:hAnsi="宋体" w:eastAsia="宋体"/>
                <w:sz w:val="16"/>
              </w:rPr>
              <w:t>持续增强老同志幸福感</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843A4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F13DE1">
            <w:pPr>
              <w:jc w:val="center"/>
            </w:pPr>
            <w:r>
              <w:rPr>
                <w:rFonts w:ascii="宋体" w:hAnsi="宋体" w:eastAsia="宋体"/>
                <w:sz w:val="16"/>
              </w:rPr>
              <w:t>持续增强</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3235B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0440F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047E8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DF5E5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6700A5">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1C09F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3AAA2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83DB94">
            <w:pPr>
              <w:jc w:val="center"/>
            </w:pPr>
          </w:p>
        </w:tc>
      </w:tr>
      <w:tr w14:paraId="61F96AE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6DF2A3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71472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B59C3C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CFC20E">
            <w:pPr>
              <w:jc w:val="center"/>
            </w:pPr>
            <w:r>
              <w:rPr>
                <w:rFonts w:ascii="宋体" w:hAnsi="宋体" w:eastAsia="宋体"/>
                <w:sz w:val="16"/>
              </w:rPr>
              <w:t>持续提升老年人老干部精神文化生活</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81F3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49D09E">
            <w:pPr>
              <w:jc w:val="center"/>
            </w:pPr>
            <w:r>
              <w:rPr>
                <w:rFonts w:ascii="宋体" w:hAnsi="宋体" w:eastAsia="宋体"/>
                <w:sz w:val="16"/>
              </w:rPr>
              <w:t>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CF46F0">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F50C6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C0C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3F397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98DC8F">
            <w:pPr>
              <w:jc w:val="center"/>
            </w:pPr>
            <w:r>
              <w:rPr>
                <w:rFonts w:ascii="宋体" w:hAnsi="宋体" w:eastAsia="宋体"/>
                <w:sz w:val="16"/>
              </w:rPr>
              <w: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FBA8B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A0F40C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CC2D9">
            <w:pPr>
              <w:jc w:val="center"/>
            </w:pPr>
          </w:p>
        </w:tc>
      </w:tr>
      <w:tr w14:paraId="0F8F21A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C001F5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FFA684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FB7063">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880EE">
            <w:pPr>
              <w:jc w:val="center"/>
            </w:pPr>
            <w:r>
              <w:rPr>
                <w:rFonts w:ascii="宋体" w:hAnsi="宋体" w:eastAsia="宋体"/>
                <w:sz w:val="16"/>
              </w:rPr>
              <w:t>老年人老干部满意度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E0AA4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6ABD3A">
            <w:pPr>
              <w:jc w:val="center"/>
            </w:pPr>
            <w:r>
              <w:rPr>
                <w:rFonts w:ascii="宋体" w:hAnsi="宋体" w:eastAsia="宋体"/>
                <w:sz w:val="16"/>
              </w:rPr>
              <w:t>&gt;=90%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FD99A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F06C14">
            <w:pPr>
              <w:jc w:val="center"/>
            </w:pPr>
            <w:r>
              <w:rPr>
                <w:rFonts w:ascii="宋体" w:hAnsi="宋体" w:eastAsia="宋体"/>
                <w:sz w:val="16"/>
              </w:rPr>
              <w:t>111.11%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39F99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DE74BB">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57BE40">
            <w:pPr>
              <w:jc w:val="center"/>
            </w:pPr>
            <w:r>
              <w:rPr>
                <w:rFonts w:ascii="宋体" w:hAnsi="宋体" w:eastAsia="宋体"/>
                <w:sz w:val="16"/>
              </w:rPr>
              <w:t>98%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45D8B8">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CBB1E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2E920">
            <w:pPr>
              <w:jc w:val="center"/>
            </w:pPr>
            <w:r>
              <w:rPr>
                <w:rFonts w:ascii="宋体" w:hAnsi="宋体" w:eastAsia="宋体"/>
                <w:sz w:val="16"/>
              </w:rPr>
              <w:t>项目实施情况较好，老年人老干部对项目实施比较满意</w:t>
            </w:r>
          </w:p>
        </w:tc>
      </w:tr>
      <w:tr w14:paraId="1A27EA8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732B57FA">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34AEC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83B49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164442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15D244E"/>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C0D092">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909116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5E8617E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1D4032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467C6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465D7C8"/>
        </w:tc>
      </w:tr>
    </w:tbl>
    <w:p w14:paraId="32DD53B6">
      <w:r>
        <w:br w:type="page"/>
      </w:r>
    </w:p>
    <w:p w14:paraId="059627BA">
      <w:pPr>
        <w:spacing w:line="640" w:lineRule="exact"/>
        <w:ind w:firstLine="640"/>
        <w:jc w:val="both"/>
        <w:outlineLvl w:val="2"/>
      </w:pPr>
      <w:r>
        <w:rPr>
          <w:rFonts w:ascii="黑体" w:hAnsi="黑体" w:eastAsia="黑体"/>
          <w:sz w:val="32"/>
        </w:rPr>
        <w:t>十二、其他需说明的事项</w:t>
      </w:r>
    </w:p>
    <w:p w14:paraId="1374D1D1">
      <w:pPr>
        <w:spacing w:line="580" w:lineRule="exact"/>
        <w:ind w:firstLine="640"/>
        <w:jc w:val="both"/>
      </w:pPr>
      <w:r>
        <w:rPr>
          <w:rFonts w:ascii="仿宋_GB2312" w:hAnsi="仿宋_GB2312" w:eastAsia="仿宋_GB2312"/>
          <w:b w:val="0"/>
          <w:sz w:val="32"/>
        </w:rPr>
        <w:t>本单位无其他需说明的事项。</w:t>
      </w:r>
    </w:p>
    <w:p w14:paraId="6A8C833E">
      <w:r>
        <w:br w:type="page"/>
      </w:r>
    </w:p>
    <w:p w14:paraId="167B39C1">
      <w:pPr>
        <w:spacing w:line="240" w:lineRule="auto"/>
        <w:jc w:val="center"/>
        <w:outlineLvl w:val="1"/>
      </w:pPr>
      <w:r>
        <w:rPr>
          <w:rFonts w:ascii="黑体" w:hAnsi="黑体" w:eastAsia="黑体"/>
          <w:sz w:val="32"/>
        </w:rPr>
        <w:t>第三部分 专业名词解释</w:t>
      </w:r>
    </w:p>
    <w:p w14:paraId="045C2460">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4F31507F">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70F83EB4">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4408146D">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6F805B83">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67C8C75">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A1F8D9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65132597">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3DC3F80">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602C1D8">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785A6A9F">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56BD2189">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5824E43B">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0F9D7D2">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25B2A63F">
      <w:r>
        <w:br w:type="page"/>
      </w:r>
    </w:p>
    <w:p w14:paraId="5612F005">
      <w:pPr>
        <w:spacing w:line="240" w:lineRule="auto"/>
        <w:jc w:val="center"/>
        <w:outlineLvl w:val="1"/>
      </w:pPr>
      <w:r>
        <w:rPr>
          <w:rFonts w:ascii="黑体" w:hAnsi="黑体" w:eastAsia="黑体"/>
          <w:sz w:val="32"/>
        </w:rPr>
        <w:t>第四部分 部门决算报表（见附表）</w:t>
      </w:r>
    </w:p>
    <w:p w14:paraId="0707AF5A">
      <w:pPr>
        <w:spacing w:line="240" w:lineRule="auto"/>
        <w:ind w:firstLine="640"/>
        <w:jc w:val="both"/>
      </w:pPr>
      <w:r>
        <w:rPr>
          <w:rFonts w:ascii="仿宋_GB2312" w:hAnsi="仿宋_GB2312" w:eastAsia="仿宋_GB2312"/>
          <w:b w:val="0"/>
          <w:sz w:val="32"/>
        </w:rPr>
        <w:t>一、《收入支出决算总表》</w:t>
      </w:r>
    </w:p>
    <w:p w14:paraId="7C4373EB">
      <w:pPr>
        <w:spacing w:line="240" w:lineRule="auto"/>
        <w:ind w:firstLine="640"/>
        <w:jc w:val="both"/>
      </w:pPr>
      <w:r>
        <w:rPr>
          <w:rFonts w:ascii="仿宋_GB2312" w:hAnsi="仿宋_GB2312" w:eastAsia="仿宋_GB2312"/>
          <w:b w:val="0"/>
          <w:sz w:val="32"/>
        </w:rPr>
        <w:t>二、《收入决算表》</w:t>
      </w:r>
    </w:p>
    <w:p w14:paraId="6B97EDBA">
      <w:pPr>
        <w:spacing w:line="240" w:lineRule="auto"/>
        <w:ind w:firstLine="640"/>
        <w:jc w:val="both"/>
      </w:pPr>
      <w:r>
        <w:rPr>
          <w:rFonts w:ascii="仿宋_GB2312" w:hAnsi="仿宋_GB2312" w:eastAsia="仿宋_GB2312"/>
          <w:b w:val="0"/>
          <w:sz w:val="32"/>
        </w:rPr>
        <w:t>三、《支出决算表》</w:t>
      </w:r>
    </w:p>
    <w:p w14:paraId="4857B974">
      <w:pPr>
        <w:spacing w:line="240" w:lineRule="auto"/>
        <w:ind w:firstLine="640"/>
        <w:jc w:val="both"/>
      </w:pPr>
      <w:r>
        <w:rPr>
          <w:rFonts w:ascii="仿宋_GB2312" w:hAnsi="仿宋_GB2312" w:eastAsia="仿宋_GB2312"/>
          <w:b w:val="0"/>
          <w:sz w:val="32"/>
        </w:rPr>
        <w:t>四、《财政拨款收入支出决算总表》</w:t>
      </w:r>
    </w:p>
    <w:p w14:paraId="178FEEE1">
      <w:pPr>
        <w:spacing w:line="240" w:lineRule="auto"/>
        <w:ind w:firstLine="640"/>
        <w:jc w:val="both"/>
      </w:pPr>
      <w:r>
        <w:rPr>
          <w:rFonts w:ascii="仿宋_GB2312" w:hAnsi="仿宋_GB2312" w:eastAsia="仿宋_GB2312"/>
          <w:b w:val="0"/>
          <w:sz w:val="32"/>
        </w:rPr>
        <w:t>五、《一般公共预算财政拨款支出决算表》</w:t>
      </w:r>
    </w:p>
    <w:p w14:paraId="0EE65BEC">
      <w:pPr>
        <w:spacing w:line="240" w:lineRule="auto"/>
        <w:ind w:firstLine="640"/>
        <w:jc w:val="both"/>
      </w:pPr>
      <w:r>
        <w:rPr>
          <w:rFonts w:ascii="仿宋_GB2312" w:hAnsi="仿宋_GB2312" w:eastAsia="仿宋_GB2312"/>
          <w:b w:val="0"/>
          <w:sz w:val="32"/>
        </w:rPr>
        <w:t>六、《一般公共预算财政拨款基本支出决算表》</w:t>
      </w:r>
    </w:p>
    <w:p w14:paraId="09B80C55">
      <w:pPr>
        <w:spacing w:line="240" w:lineRule="auto"/>
        <w:ind w:firstLine="640"/>
        <w:jc w:val="both"/>
      </w:pPr>
      <w:r>
        <w:rPr>
          <w:rFonts w:ascii="仿宋_GB2312" w:hAnsi="仿宋_GB2312" w:eastAsia="仿宋_GB2312"/>
          <w:b w:val="0"/>
          <w:sz w:val="32"/>
        </w:rPr>
        <w:t>七、《政府性基金预算财政拨款收入支出决算表》</w:t>
      </w:r>
    </w:p>
    <w:p w14:paraId="4C783466">
      <w:pPr>
        <w:spacing w:line="240" w:lineRule="auto"/>
        <w:ind w:firstLine="640"/>
        <w:jc w:val="both"/>
      </w:pPr>
      <w:r>
        <w:rPr>
          <w:rFonts w:ascii="仿宋_GB2312" w:hAnsi="仿宋_GB2312" w:eastAsia="仿宋_GB2312"/>
          <w:b w:val="0"/>
          <w:sz w:val="32"/>
        </w:rPr>
        <w:t>八、《国有资本经营预算财政拨款收入支出决算表》</w:t>
      </w:r>
    </w:p>
    <w:p w14:paraId="63241076">
      <w:pPr>
        <w:spacing w:line="240" w:lineRule="auto"/>
        <w:ind w:firstLine="640"/>
        <w:jc w:val="both"/>
      </w:pPr>
      <w:r>
        <w:rPr>
          <w:rFonts w:ascii="仿宋_GB2312" w:hAnsi="仿宋_GB2312" w:eastAsia="仿宋_GB2312"/>
          <w:b w:val="0"/>
          <w:sz w:val="32"/>
        </w:rPr>
        <w:t>九、《财政拨款“三公”经费支出决算表》</w:t>
      </w:r>
    </w:p>
    <w:p w14:paraId="25BBAC3F">
      <w:pPr>
        <w:spacing w:line="240" w:lineRule="auto"/>
        <w:ind w:firstLine="640"/>
        <w:jc w:val="both"/>
      </w:pPr>
    </w:p>
    <w:p w14:paraId="6BD2E267">
      <w:pPr>
        <w:spacing w:line="240" w:lineRule="auto"/>
        <w:ind w:firstLine="640"/>
        <w:jc w:val="both"/>
      </w:pPr>
    </w:p>
    <w:p w14:paraId="4405328F">
      <w:pPr>
        <w:spacing w:line="240" w:lineRule="auto"/>
        <w:ind w:firstLine="640"/>
        <w:jc w:val="both"/>
      </w:pPr>
    </w:p>
    <w:p w14:paraId="5A7B5474">
      <w:pPr>
        <w:spacing w:line="240" w:lineRule="auto"/>
        <w:ind w:firstLine="640"/>
        <w:jc w:val="both"/>
      </w:pPr>
    </w:p>
    <w:p w14:paraId="17A435A2">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2A82868-7325-4323-805C-E392A35087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A5BDA25D-FDF6-416D-BF74-DA7D4FDDFE62}"/>
  </w:font>
  <w:font w:name="仿宋_GB2312">
    <w:panose1 w:val="02010609030101010101"/>
    <w:charset w:val="86"/>
    <w:family w:val="modern"/>
    <w:pitch w:val="default"/>
    <w:sig w:usb0="00000001" w:usb1="080E0000" w:usb2="00000000" w:usb3="00000000" w:csb0="00040000" w:csb1="00000000"/>
    <w:embedRegular r:id="rId3" w:fontKey="{28CAD369-5BDA-4937-9EDE-CD0C8935A613}"/>
  </w:font>
  <w:font w:name="楷体_GB2312">
    <w:panose1 w:val="02010609030101010101"/>
    <w:charset w:val="86"/>
    <w:family w:val="auto"/>
    <w:pitch w:val="default"/>
    <w:sig w:usb0="00000001" w:usb1="080E0000" w:usb2="00000000" w:usb3="00000000" w:csb0="00040000" w:csb1="00000000"/>
    <w:embedRegular r:id="rId4" w:fontKey="{ABD3FE0F-FDA0-4807-8A99-A2EBF0A265F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394290F"/>
    <w:rsid w:val="464B7E04"/>
    <w:rsid w:val="464F7E64"/>
    <w:rsid w:val="46901EEE"/>
    <w:rsid w:val="469C74D2"/>
    <w:rsid w:val="47445515"/>
    <w:rsid w:val="4B4C0111"/>
    <w:rsid w:val="4BB23021"/>
    <w:rsid w:val="4F3F074E"/>
    <w:rsid w:val="50DB5F45"/>
    <w:rsid w:val="52767EF1"/>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5540</Words>
  <Characters>6354</Characters>
  <Lines>0</Lines>
  <Paragraphs>0</Paragraphs>
  <TotalTime>3</TotalTime>
  <ScaleCrop>false</ScaleCrop>
  <LinksUpToDate>false</LinksUpToDate>
  <CharactersWithSpaces>6363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eyJoZGlkIjoiZTEwMTFjZmI3NWUwMGRmYWEyNzFiMzQ2OTlkZWE5ODAiLCJ1c2VySWQiOiIzNzI2MDMzNTYifQ==</vt:lpwstr>
  </property>
</Properties>
</file>