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BC6F53"/>
    <w:p w14:paraId="5153BCA0">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4A07DC9D">
      <w:pPr>
        <w:spacing w:line="540" w:lineRule="exact"/>
        <w:jc w:val="center"/>
        <w:rPr>
          <w:rFonts w:ascii="华文中宋" w:hAnsi="华文中宋" w:eastAsia="华文中宋" w:cs="宋体"/>
          <w:b/>
          <w:kern w:val="0"/>
          <w:sz w:val="52"/>
          <w:szCs w:val="52"/>
        </w:rPr>
      </w:pPr>
    </w:p>
    <w:p w14:paraId="4667FA0D">
      <w:pPr>
        <w:spacing w:line="540" w:lineRule="exact"/>
        <w:jc w:val="center"/>
        <w:rPr>
          <w:rFonts w:ascii="华文中宋" w:hAnsi="华文中宋" w:eastAsia="华文中宋" w:cs="宋体"/>
          <w:b/>
          <w:kern w:val="0"/>
          <w:sz w:val="52"/>
          <w:szCs w:val="52"/>
        </w:rPr>
      </w:pPr>
    </w:p>
    <w:p w14:paraId="390D720E">
      <w:pPr>
        <w:spacing w:line="540" w:lineRule="exact"/>
        <w:jc w:val="center"/>
        <w:rPr>
          <w:rFonts w:ascii="华文中宋" w:hAnsi="华文中宋" w:eastAsia="华文中宋" w:cs="宋体"/>
          <w:b/>
          <w:kern w:val="0"/>
          <w:sz w:val="52"/>
          <w:szCs w:val="52"/>
        </w:rPr>
      </w:pPr>
    </w:p>
    <w:p w14:paraId="3E4CB5FA">
      <w:pPr>
        <w:spacing w:line="540" w:lineRule="exact"/>
        <w:jc w:val="center"/>
        <w:rPr>
          <w:rFonts w:ascii="华文中宋" w:hAnsi="华文中宋" w:eastAsia="华文中宋" w:cs="宋体"/>
          <w:b/>
          <w:kern w:val="0"/>
          <w:sz w:val="52"/>
          <w:szCs w:val="52"/>
        </w:rPr>
      </w:pPr>
    </w:p>
    <w:p w14:paraId="758DE8B7">
      <w:pPr>
        <w:spacing w:line="540" w:lineRule="exact"/>
        <w:jc w:val="center"/>
        <w:rPr>
          <w:rFonts w:ascii="华文中宋" w:hAnsi="华文中宋" w:eastAsia="华文中宋" w:cs="宋体"/>
          <w:b/>
          <w:kern w:val="0"/>
          <w:sz w:val="52"/>
          <w:szCs w:val="52"/>
        </w:rPr>
      </w:pPr>
    </w:p>
    <w:p w14:paraId="3092F1F2">
      <w:pPr>
        <w:spacing w:line="540" w:lineRule="exact"/>
        <w:jc w:val="center"/>
        <w:rPr>
          <w:rFonts w:ascii="华文中宋" w:hAnsi="华文中宋" w:eastAsia="华文中宋" w:cs="宋体"/>
          <w:b/>
          <w:kern w:val="0"/>
          <w:sz w:val="52"/>
          <w:szCs w:val="52"/>
        </w:rPr>
      </w:pPr>
    </w:p>
    <w:p w14:paraId="12955974">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3B4C167B">
      <w:pPr>
        <w:spacing w:line="540" w:lineRule="exact"/>
        <w:jc w:val="center"/>
        <w:rPr>
          <w:rFonts w:ascii="华文中宋" w:hAnsi="华文中宋" w:eastAsia="华文中宋" w:cs="宋体"/>
          <w:b/>
          <w:kern w:val="0"/>
          <w:sz w:val="52"/>
          <w:szCs w:val="52"/>
        </w:rPr>
      </w:pPr>
    </w:p>
    <w:p w14:paraId="6F75216D">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32A0703A">
      <w:pPr>
        <w:spacing w:line="540" w:lineRule="exact"/>
        <w:jc w:val="both"/>
        <w:rPr>
          <w:rFonts w:hAnsi="宋体" w:eastAsia="仿宋_GB2312" w:cs="宋体"/>
          <w:kern w:val="0"/>
          <w:sz w:val="30"/>
          <w:szCs w:val="30"/>
        </w:rPr>
      </w:pPr>
      <w:bookmarkStart w:id="0" w:name="_GoBack"/>
      <w:bookmarkEnd w:id="0"/>
    </w:p>
    <w:p w14:paraId="08A4F7F1">
      <w:pPr>
        <w:spacing w:line="540" w:lineRule="exact"/>
        <w:jc w:val="center"/>
        <w:rPr>
          <w:rFonts w:hAnsi="宋体" w:eastAsia="仿宋_GB2312" w:cs="宋体"/>
          <w:kern w:val="0"/>
          <w:sz w:val="30"/>
          <w:szCs w:val="30"/>
        </w:rPr>
      </w:pPr>
    </w:p>
    <w:p w14:paraId="33692930">
      <w:pPr>
        <w:spacing w:line="540" w:lineRule="exact"/>
        <w:jc w:val="center"/>
        <w:rPr>
          <w:rFonts w:hAnsi="宋体" w:eastAsia="仿宋_GB2312" w:cs="宋体"/>
          <w:kern w:val="0"/>
          <w:sz w:val="30"/>
          <w:szCs w:val="30"/>
        </w:rPr>
      </w:pPr>
    </w:p>
    <w:p w14:paraId="30D29250">
      <w:pPr>
        <w:spacing w:line="540" w:lineRule="exact"/>
        <w:jc w:val="center"/>
        <w:rPr>
          <w:rFonts w:hAnsi="宋体" w:eastAsia="仿宋_GB2312" w:cs="宋体"/>
          <w:kern w:val="0"/>
          <w:sz w:val="30"/>
          <w:szCs w:val="30"/>
        </w:rPr>
      </w:pPr>
    </w:p>
    <w:p w14:paraId="600CFDC3">
      <w:pPr>
        <w:spacing w:line="540" w:lineRule="exact"/>
        <w:rPr>
          <w:rFonts w:hAnsi="宋体" w:eastAsia="仿宋_GB2312" w:cs="宋体"/>
          <w:kern w:val="0"/>
          <w:sz w:val="30"/>
          <w:szCs w:val="30"/>
        </w:rPr>
      </w:pPr>
    </w:p>
    <w:p w14:paraId="25DB15C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BDCAFFB">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老龄专项业务经费</w:t>
      </w:r>
    </w:p>
    <w:p w14:paraId="07C62E71">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昌吉回族自治州老年人老干部活动中心</w:t>
      </w:r>
    </w:p>
    <w:p w14:paraId="1BBDB0F5">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昌吉回族自治州老年人老干部活动中心</w:t>
      </w:r>
    </w:p>
    <w:p w14:paraId="27FC032F">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程麟淞</w:t>
      </w:r>
    </w:p>
    <w:p w14:paraId="6D9A7466">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2025年05月14日</w:t>
      </w:r>
    </w:p>
    <w:p w14:paraId="79FE9F5F">
      <w:pPr>
        <w:spacing w:line="700" w:lineRule="exact"/>
        <w:ind w:firstLine="708" w:firstLineChars="236"/>
        <w:jc w:val="left"/>
        <w:rPr>
          <w:rFonts w:hAnsi="宋体" w:eastAsia="仿宋_GB2312" w:cs="宋体"/>
          <w:kern w:val="0"/>
          <w:sz w:val="30"/>
          <w:szCs w:val="30"/>
        </w:rPr>
      </w:pPr>
    </w:p>
    <w:p w14:paraId="41245F92">
      <w:pPr>
        <w:spacing w:line="540" w:lineRule="exact"/>
        <w:rPr>
          <w:rStyle w:val="19"/>
          <w:rFonts w:ascii="黑体" w:hAnsi="黑体" w:eastAsia="黑体"/>
          <w:b w:val="0"/>
          <w:spacing w:val="-4"/>
          <w:sz w:val="32"/>
          <w:szCs w:val="32"/>
        </w:rPr>
      </w:pPr>
    </w:p>
    <w:p w14:paraId="6049FA19">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077647BD">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1E22B1FD">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关于自治州党委老干部局所属事业单位机构编制调整有关事宜的通知》昌州党机编发〔2019〕25号文件要求，昌吉州老年人老干部活动中心负责为州府所在地60岁以上老年人和老干部活动及老年群团组织提供服务，负责组织开展各类学习及文化、体育、娱乐、健康活动。承担州直商贸系统离退休干部及遗孀、精简人员的服务管理工作。州老年(老干部）大学的具体教学等日常工作。活动中心大楼已建成多年且5处外活动场所大部分设施老旧，许多地方急需维修及购置设施，通过对老旧场所进行维修改造，添置文化活动设施，更新学习资料、活动设备，州老年(老干部）大学增加新颖课程，为保障各涉老社团工作、各类活动正常开展，老同志能在中心积极开展各类活动参加学习志愿奉献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（1）项目名称：老龄专项业务经费项目（以下简称“该项目”或“项目”）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主要内容：项目计划于2024年对昌吉州老年人老干部活动中心大楼内各处活动室、活动设施开展维护保养工作，用以维持昌吉州老年人老干部活动中心全年正常运转，为州府所在地60岁以上老年人和老干部活动及老年群团组织提供服务，提升老年人老干部精神文化生活；促进老同志身心健康，增强幸福感。</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实施主体：昌吉州老年人老干部活动中心。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实施时间：本项目实施周期为2024年1月至2024年12月。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我单位高度重视项目绩效管理工作，年初根据单位职能及工作计划，按照“量入为出，收支平衡”的原则，科学编制部门预算。在实施过程中严格按照《中华人民共和国预算法》《中华人民共和国预算法实施条例》规定分配本单位资金，做到项目支出预算与部门履职年度重点工作相匹配，体现了重要性原则，并将绩效方法融入预算各项流程，严格按照政策要求，切实实现预算编制有目标，确保资金分配与绩效目标一致性，实现预算绩效全覆盖。同时，根据项目绩效管理办法及单位相关项目管理制度的规定，对项目的实施进行了监督管理，确保项目正常运转发挥效益。通过项目实施，做好2024年昌吉州老年人老干部活动中心大楼内各处活动室、活动设施的维护保养工作，开展州老年(老干部）大学的具体教学等日常工作，为州府所在地60岁以上老年人和老干部活动及老年群团组织提供服务，提升老年人老干部精神文化生活；促进老同志身心健康，增强幸福感。</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昌州党机编发〔2019〕25号文件精神，昌吉州老年人老干部活动中心负责为州府所在地60岁以上老年人和老干部活动及老年群团组织提供服务管理，负责组织开展各类学习及文化、体育、娱乐、健康活动。承担州直商贸系统离退休干部及遗孀、精简人员的服务管理工作。州老年大学的具体教学等日常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昌吉州老年人老干部活动中心：无下属预算单位，无内设科室。编制人数为16人，其中：行政人员编制0人、工勤0人、参公16人、事业编制0人。实有在职人数15人，其中：行政在职0人、工勤2人、参公7人、事业在职6人。离退休人员12人，其中：行政退休人员5人、事业退休7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本项目预算安排总额为49.58万元，资金来源为本级部门预算（地方政府专项，其中：财政资金49.58万元，其他资金0.00万元，2024年实际收到预算资金49.58万元，预算资金到位率为100%。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截至2024年12月31日，本项目实际支付资金49.58万元，预算执行率100%。本项目资金主要用于支付活动室维修费费用14.80万元、老龄专项业务经费预算支出费用34.78万元。</w:t>
      </w:r>
    </w:p>
    <w:p w14:paraId="3B174FF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5900CA39">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加强活动中心各项建设，确保各项活动能够正常开展，缴纳各活动室水电网费、维修维护各活动室、电梯和消防设施维修维护、进行活动中心绿化、安检设备、监控设备购置，以及消杀用品购置、确保各活动室正常运转。保障活动室正常运转；保障活动室全年正常开放时间，保障活动中心各设备安全正常运转；提升老年人老干部精神文化生活；促进老同志身心健康，增强幸福感。</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“保障活动室正常运转个数”指标，预期指标值为“&gt;=5个”；</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“每周保障活动室正常开放时间”指标，预期指标值为“&gt;=5天”；</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“保障设施维护活动室数量”指标，预期指标值为“&gt;=5个”；</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“活动中心各设备安全正常运转率”指标，预期指标值为“&gt;=95%”；</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“活动室维修费”指标，预期指标值为“&lt;=14.80万元”；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“老龄专项业务经费预算支出”指标，预期指标值为“&lt;=34.78万元”；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“持续增强老同志幸福感”指标，预期指标值为“持续增强”；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“持续提升老年人老干部精神文化生活”指标，预期指标值为“持续提升”；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“老年人老干部满意度”指标，预期指标值为“&gt;=90%”。</w:t>
      </w:r>
    </w:p>
    <w:p w14:paraId="34C9CB0D">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69D4030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46C3D94E">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（一）绩效评价的目的、对象和范围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关于加强和规范昌吉州本级项目支出全过程预算绩效管理结果应用的通知》（昌州财预〔2023〕3号）文件精神，我单位针对老龄专项业务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此次我单位根据《财政支出绩效评价管理暂行办法》（财预〔2020〕10号）文件要求实施评价工作，本次评价对象为老龄专项业务经费项目，评价核心为项目资金、项目产出、项目效益。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6985074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2D50F5A5">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自治州财政支出绩效评价管理暂行办法》的通知）（昌州财预〔2018〕171号）《关于印发&lt;自治区项目支出绩效目标设置指引&gt;的通知》（新财预〔2022〕42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行业标准：指参照国家公布的行业指标数据制定的评价标准。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33DEC3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17A3C5DB">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自治州财政支出绩效评价管理暂行办法》的通知）（昌州财预〔2018〕171号）《关于印发&lt;自治区项目支出绩效目标设置指引&gt;的通知》（新财预〔2022〕42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行业标准：指参照国家公布的行业指标数据制定的评价标准。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1C88672D">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063C1009">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达成年初设立的绩效目标，在实施过程中取得了良好的成效，具体表现在：完成了保障5各活动室正常运转，每周保障活动室正常开放5天，保障5个活动室设施维护，通过对活动中心老旧场所进行维修改造，添置文化活动设施，更新学习资料、活动设备，增加新颖课程，为保障各涉老社团工作、各类活动正常开展，进一步丰富老同志精神文化生活，得到广大老同志的一致好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100.00分，绩效评级为“优”。综合评价结论如下：本项目共设置三级指标数量20个，实现三级指标数量20个，总体完成率为100.00%。项目决策类指标共设置6个，满分指标6个，得分率100.00%；过程管理类指标共设置5个，满分指标5个，得分率100.00%；项目产出类指标共设置6个，满分指标6个，得分率100.00%；项目效益类指标共设置2个，满分指标2个，得分率100.00%；项目满意度类指标共设置1个，满分指标1个，得分率100.00%。详细情况见“表3-1：项目综合得分表”及“附件2：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表3-1：项目综合得分表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 决策类 管理类 产出类 效益类 满意度类 合计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权重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得分率 100.00% 100.00% 100.00% 100.00% 100.00% 100.00%</w:t>
      </w:r>
    </w:p>
    <w:p w14:paraId="51178BDE">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7ECB11C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27979513">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项目决策类指标由3个二级指标和6个三级指标构成，权重分21.00分，实际得分21.00分。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立项符合中央办公厅印发《关于加强新时代离退休干部党的建设工作的意见》《2024年自治区老干部工作要点》中的内容，符合行业发展规划和政策要求；本项目立项符合《关于自治州党委老干部局所属事业单位机构编制调整有关事宜的通知》中职责范围中的“活动中心为州府所在地60岁以上老年人和老干部活动及老年群团组织提供服务管理，负责组织开展各类学习及文化、体育、娱乐、健康活动。承担州直商贸系统离退休干部及遗孀、精简人员的服务管理工作。州老年大学的具体教学等日常工作。”属于我单位履职所需；根据《财政资金直接支付申请书》，本项目资金性质为“公共财政预算”“2080503离退休人员管理机构”经济分类为“商品和服务支出”属于公共财政支持范围，符合中央、地方事权支出责任划分原则；经检查我单位财政管理一体化信息系统，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中央办公厅印发《关于加强新时代离退休干部党的建设工作的意见》《2024年自治区老干部工作要点》文件要求实施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为“为加强活动中心各项建设，确保各项活动能够正常开展，缴纳各活动室水电网费、维修维护各活动室、电梯和消防设施维修维护、进行活动中心绿化、安检设备、监控设备购置，以及消杀用品购置、确保各活动室正常运转。保障活动室正常运转；保障活动室全年正常开放时间，保障活动中心各设备安全正常运转；提升老年人老干部精神文化生活；促进老同志身心健康，增强幸福感”。</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负责缴纳5处活动场所的水费，电费，邮电费，办公耗材费用等。活动中心大楼已建成多年且5处活动场所大部分老旧，许多地方急需维修及购置设施，通过对老旧场所进行维修改造，添置文化活动设施，改善老同志活动环境。随着近些年活动场所老同志越来越多，对各项需求也越来越高，在消防安全、维稳保障、场地配备、学习资料更新等方面，都与满足老年人老干部美好生活的需要有差距。为更新学习资料、活动设备，增加新颖课程，为保障各涉老社团工作、各类活动正常开展，老同志能在中心快乐的开展各类活动参加学习志愿奉献等。绩效目标与实际工作内容一致，两者具有相关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完成数量指标、质量指标、时效指标、成本指标，完成了保障5各活动室正常运转，每周保障活动室正常开放5天，保障5个活动室设施维护，通过对活动中心老旧场所进行维修改造，添置文化活动设施，更新学习资料、活动设备，增加新颖课程，为保障各涉老社团工作、各类活动正常开展，进一步丰富老同志精神文化生活，得到广大老同志的一致好评，预期产出效益和效果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④该项目批复的预算金额为49.58万元，《项目支出绩效目标表》中预算金额为49.58万元，预算确定的项目资金与预算确定的项目投资额相匹配。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5个，三级指标9个，定量指标7个，定性指标2个，指标量化率为77.78%，量化率达70.00%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表》中，数量指标指标值为“保障活动室正常运转个数”“每周保障活动室正常开放时间”“保障设施维护活动室数量”，三级指标的年度指标值与年度绩效目标中任务数一致，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本项目通过以往年度昌吉回族自治州老年人老干部活动中心维修保养工作与老年大学教学课程开展工作的实际执行情况，综合考虑本年度情况，综合编制预算，即预算编制较科学且经过论证；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申请内容为支付活动中心各项目常工作开支，支付老年大学教学课程费用，支付活动中心活动室及活动设备的维修维护费，项目实际内容为预算申请内容一致，预算申请与《老龄专项业务经费项目实施方案》中涉及的项目内容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资金49.58万元，我单位在预算申请中严格按照项目实施内容及测算标准进行核算，其中：活动室维修费费用14.80万元、老龄专项业务经费预算支出费用34.78万元。预算确定资金量与实际工作任务相匹配。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分配资金以《关于申请老龄专项业务经费项目资金的请示》和《老龄专项业务经费项目实施方案》为依据进行资金分配，预算资金分配依据充分。根据《关于下达昌吉州本级预算单位2024年部门预算的通知》（昌州财预〔2024〕1号）文件，本项目实际到位资金49.58万元，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综上所述，本指标满分为2.00分，根据评分标准得2.00分，本项目资金分配合理。</w:t>
      </w:r>
      <w:r>
        <w:rPr>
          <w:rStyle w:val="19"/>
          <w:rFonts w:hint="eastAsia" w:ascii="楷体" w:hAnsi="楷体" w:eastAsia="楷体"/>
          <w:b w:val="0"/>
          <w:bCs w:val="0"/>
          <w:spacing w:val="-4"/>
          <w:sz w:val="32"/>
          <w:szCs w:val="32"/>
        </w:rPr>
        <w:tab/>
      </w:r>
    </w:p>
    <w:p w14:paraId="0DA391BA">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4F42CFB1">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（二）项目过程情况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项目过程管理类指标由2个二级指标和5个三级指标构成，权重分19.00分，实际得分19.00分。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本项目预算资金为49.58万元，其中：财政安排资金49.58万元，其他资金0万元，实际到位资金49.58万元，资金到位率=（49.58/49.58）×100.00%=100.00%。得分=（100.00%-60.00%）/（1-60.00%）×4.00=4.00分。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本项目实际支出资金49.58万元，预算执行率=（49.58/49.58）×100.00%=100.00%；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项目已完成，总体完成率为101.82%；</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得分=（100.00%-60.00%）/（1-60.00%）×权重=100.00%×5.00=5.00分。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昌吉州老年人老干部活动中心预算管理制度》《昌吉州老年人老干部活动中心财务收支和报销管理制度》，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昌吉州老年人老干部活动中心预算管理制度》《昌吉州老年人老干部活动中心财务收支和报销管理制度》《昌吉州老年人老干部活动中心预算绩效管理制度》《昌吉州老年人老干部活动中心政府采购业务管理制度》《昌吉州老年人老干部活动中心合同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昌吉州老年人老干部活动中心预算管理制度》《昌吉州老年人老干部活动中心财务收支和报销管理制度》《昌吉州老年人老干部活动中心预算绩效管理制度》《昌吉州老年人老干部活动中心部门决算管理制度》《昌吉州老年人老干部活动中心政府采购业务管理制度》《昌吉州老年人老干部活动中心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②经现场查证项目合同书、验收评审表、财务支付凭证等资料齐全并及时归档。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③该项目存在调整，调整手续齐全。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老龄专项业务经费项目工作领导小组，由王虹任组长，负责项目的组织工作；刘宣麟任副组长，负责项目的实施工作；组员包括：陆乔、肖翔、郑英、王振勇、米吉提·力提甫、刘臻，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综上所述，本指标满分为4.00分，根据评分标准得4.00分，本项目所建立制度执行有效。</w:t>
      </w:r>
    </w:p>
    <w:p w14:paraId="0EA4161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51ECDC38">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项目产出类指标由3个二级指标和6个三级指标构成，权重分30.00分，实际得分30.00分。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“保障活动室正常运转个数”指标：预期指标值为“≥5个”，实际完成指标值为“=5个”，指标完成率为100.00%。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“每周保障活动室正常开放时间”指标：预期指标值为“≥5天”，实际完成指标值为“=5天”，指标完成率为100.00%。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“保障设施维护活动室数量”指标：预期指标值为“≥5个”，实际完成指标值为“=5个”，指标完成率为100.00%。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“活动中心各设备安全正常运转率”指标：预期指标值为“≥95%”，实际完成指标值为“100.00”，指标完成率为105.26%。</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“活动室维修费”指标：预期指标值为“&lt;=14.80万元”，实际完成指标值为“=14.80万元”，指标完成率为100.00%。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“老龄专项业务经费预算支出”指标：预期指标值为“&lt;=34.78万元”，实际完成指标值为“=34.78万元”，指标完成率为100.00%。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09212C8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14469030">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项目效益类指标由1个二级指标和2个三级指标构成，权重分20.00分，实际得分20.00分。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“持续增强老同志幸福感”指标：预期指标值为“持续增强”，实际完成指标值为“达到预期指标”，指标完成率为100.00%。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综上所述，本指标满分为10.00分，根据评分标准得10.00分。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“持续提升老年人老干部精神文化生活”指标：预期指标值为“持续提升”，实际完成指标值为“达到预期指标”，指标完成率为100.00%。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综上所述，本指标满分为10.00分，根据评分标准得10.00分。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26051397">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项目满意度类指标由1个二级指标和1个三级指标构成，权重分10.00分，实际得分10.00分。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1.满意度完成情况分析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“老年人老干部满意度”指标：预期指标值为“&gt;=90%”，实际完成指标值为“=100.00%”，指标完成率为111.11%。</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综上所述，本指标满分为10.00分，根据评分标准得10.00分。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本项目年初预算资金总额为50.00万元，全年预算数为49.58万元，全年执行数为49.58万元，预算执行率为100.00%。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本项目共设置三级指标数量20个，满分指标数量20个，扣分指标数量0个，经分析计算所有三级指标完成率得出，本项目总体完成率为100.82%。</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项目预算执行率与总体完成率之间的偏差为0.82%。主要偏差原因是：活动中心各设备安全正常运转率指标、老年人老干部满意度指标由于年初对全年工作谨慎估计，指标值设置低于最终业绩值，导致两个指标完成率超过100%。</w:t>
      </w:r>
    </w:p>
    <w:p w14:paraId="2009185A">
      <w:pPr>
        <w:spacing w:line="540" w:lineRule="exact"/>
        <w:ind w:firstLine="567"/>
        <w:rPr>
          <w:rStyle w:val="19"/>
          <w:rFonts w:hint="eastAsia" w:ascii="楷体" w:hAnsi="楷体" w:eastAsia="楷体"/>
          <w:b w:val="0"/>
          <w:bCs w:val="0"/>
          <w:spacing w:val="-4"/>
          <w:sz w:val="32"/>
          <w:szCs w:val="32"/>
        </w:rPr>
      </w:pPr>
    </w:p>
    <w:p w14:paraId="51C73AE3">
      <w:pPr>
        <w:spacing w:line="540" w:lineRule="exact"/>
        <w:ind w:firstLine="567"/>
        <w:rPr>
          <w:rStyle w:val="19"/>
          <w:rFonts w:ascii="楷体" w:hAnsi="楷体" w:eastAsia="楷体"/>
          <w:spacing w:val="-4"/>
          <w:sz w:val="32"/>
          <w:szCs w:val="32"/>
        </w:rPr>
      </w:pPr>
    </w:p>
    <w:p w14:paraId="69AEC146">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76B69456">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1、着力凝心铸魂，聚焦离退休干部政治建设有提高</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抓好老年（老干部）大学政治思想教育。开展思政进课堂开学第一课和银耀庭州大讲堂，邀请州党校、昌吉开放大学讲师围绕党纪学题教育、铸牢中华民族共同体意识、党的二十届三中全会精神等内容开展专题讲座4场次，参加人数达1000余人次，确保老干部队伍政治坚定、思想常新。二是坚持政治为要。始终把深学笃用习近平新时代中国特色社会主义思想作为首要政治任务，积极开展“三会一课”及主题党日活动，以沉浸式学习让老年大学思政教育更加鲜活、立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2、深化银耀庭州品牌，聚焦离退休干部阵地拓展有实效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开展“银发聚力”行动，推动老年教育提质扩面。一是探索拓展，一校多点。依托社区文化阵地，建立老年（老干部）大学示范教学点3个，实行“同步教学、同步管理”，不断拓展老年教育办学空间。在昌吉厚德康养家园设置教学点，开展声乐、书法、绘画课程送教活动，把教学点办到老同志家门口，打通老年教育““最后一公里””。二是资源共享，联合办学。联合州科协组织开展科技知识讲座、才艺展示等共学共乐活动。与昌吉开放大学建立教学基地，开展日常教学交流，实现师资互用、招生互通、信息互连，共同推进老年教育实现新发展，2024年全年联合招生50个班次2000余名学员。通过采取专题辅导、老党员宣讲、信息化平台推送等多种方式，充分发挥学员党员先锋模范作用，不断提升学员自我服务管理能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开展“银晖闪光”行动，推动老干部志愿服务出色出彩。发挥各领域老年同志专业特长，引导老同志结合党纪学题教育、民族团结教育、主题党日活动等与志愿服务活动紧密融合，有效提升离退休干部投身志愿服务活动的积极性。开展助力乡村振兴送文化下乡系列活动，为木垒县双湾村驻村工作队、昌吉市域广大群众送去春联3000幅。组织保健协会、老年文化艺术协会、老干部书画协会等志愿服务团队，先后赴“馕文化产业园”、奇台景区、昌吉市警苑社区、嘉顺社区等开展送文化、送书画、义诊等活动，让银发力量既是志愿服务的参与者，也是受益者，不断提升银耀庭州老干部志愿服务队品牌形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 xml:space="preserve">  (二)存在的问题及原因分析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经过全体干部职工一年的团结努力，活动中心各项工作实现了质的提升，但对标新时代老干部工作要求和标准，我们仍然存在一些问题，主要体现在以下两方面：</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在推动州老年（老干部）大学提档升级方面还存在短板。一方面教学管理力量薄弱，虽然建立临时党支部以加强自我管理，但是无专职人员，在落实管理上还有待提高。另一方面，由于州老年（老干部）大学收费机制不畅通，目前学员实行免费学习，现有经费在加强师资力量上、学员学习效果上都无法得到充足保障，导致教学设施不足、办学能力有限。二是在安全管理和服务保障方面还有待加强。活动中心不仅承担州老年（老干部）大学日常教学、组织老同志开展正能量活动，还管理5处外活动场所，工作任务重，临时性工作多，现有工作人员力量明显不足，且缺乏专业应急救护人员，现有2名应急救护人员均属于物业管理，流动性较大。</w:t>
      </w:r>
    </w:p>
    <w:p w14:paraId="439E1095">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3B1F439E">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昌吉州老年人老干部活动中心工作着力探索教育教学体制改革，统筹推进政治引领、银龄聚力、阵地建设等工作，不断推动昌吉州老干事业高质量发展，为建设典范地州贡献银发力量。 今后，为达到新时代老干部工作要求和标准几点建议：（一）强化政治引领，纵深推进离退休干部党的建设。一是始终把深学笃用习近平新时代中国特色社会主义思想作为首要政治任务，重点抓好老年（老干部）大学政治思想教育。充分发挥红色教育展厅、离退休干部政治生活馆等阵地“红色”教育能量，持续提升各老年社团（协会）全面系统学习新时代党的创新理论水平。二是探索“党建+老年教育”工作模式，深化课程思政理念，通过创新银龄大讲堂、交流课堂、户外课堂、云课堂等思政课方式，不断引导教师充分挖掘专业课程中的思政元素，着力推动老年教育与思政教育深度融合。（二）聚焦教育改革，着力推动教育教学高质量发展。全力推动州老年（老干部）大学改革。一是建立健全老年（老干部）大学体制机制建设，借鉴先进地区管理经验，积极探索实行低额收取学费机制，不断完善课程体系，力争增加10个教学班，充分释放老年（老干部）大学资源能量。积极对接争取加入中国老年大学协会，推进标准化示范校建设。二是完善老年大学开班仪式、创新“开学第一课”教学方式，实行分级授课，建立输入输出机制，根本性解决“老生出不去、新生进不来”的问题，以全方位、全过程闭环式管理促进教育教学规范化管理。（三）坚持守正创新，积极探索“时间银行”互助养老模式。引入内地“时间银行”等较为先进的互助式养老、养老志愿服务模式，通过积分制管理开展“低龄存时间、高龄取服务”试点工作，鼓励各老年社团身体健康的低龄老人积极参与志愿服务，充分发挥行业领域特长、个人专长等优势，为高龄老人提供亲情化、个性化、多样化的服务，以获取志愿者高龄段关怀需求优先享受等互助养老服务，以点带面推广“时间银行”互助养老模式从养老机构向社区全覆盖，与时俱进推进新时代老年事业健康发展。</w:t>
      </w:r>
    </w:p>
    <w:p w14:paraId="34F8C239">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084ADD1F">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35C98C11">
      <w:pPr>
        <w:spacing w:line="540" w:lineRule="exact"/>
        <w:ind w:firstLine="567"/>
        <w:rPr>
          <w:rStyle w:val="19"/>
          <w:rFonts w:ascii="仿宋" w:hAnsi="仿宋" w:eastAsia="仿宋"/>
          <w:b w:val="0"/>
          <w:spacing w:val="-4"/>
          <w:sz w:val="32"/>
          <w:szCs w:val="32"/>
        </w:rPr>
      </w:pPr>
    </w:p>
    <w:p w14:paraId="719F3240">
      <w:pPr>
        <w:spacing w:line="540" w:lineRule="exact"/>
        <w:ind w:firstLine="567"/>
        <w:rPr>
          <w:rStyle w:val="19"/>
          <w:rFonts w:ascii="仿宋" w:hAnsi="仿宋" w:eastAsia="仿宋"/>
          <w:b w:val="0"/>
          <w:spacing w:val="-4"/>
          <w:sz w:val="32"/>
          <w:szCs w:val="32"/>
        </w:rPr>
      </w:pPr>
    </w:p>
    <w:p w14:paraId="18D2A9BC">
      <w:pPr>
        <w:spacing w:line="540" w:lineRule="exact"/>
        <w:ind w:firstLine="567"/>
        <w:rPr>
          <w:rStyle w:val="19"/>
          <w:rFonts w:ascii="仿宋" w:hAnsi="仿宋" w:eastAsia="仿宋"/>
          <w:b w:val="0"/>
          <w:spacing w:val="-4"/>
          <w:sz w:val="32"/>
          <w:szCs w:val="32"/>
        </w:rPr>
      </w:pPr>
    </w:p>
    <w:p w14:paraId="16B0119D">
      <w:pPr>
        <w:spacing w:line="540" w:lineRule="exact"/>
        <w:ind w:firstLine="567"/>
        <w:rPr>
          <w:rStyle w:val="19"/>
          <w:rFonts w:ascii="仿宋" w:hAnsi="仿宋" w:eastAsia="仿宋"/>
          <w:b w:val="0"/>
          <w:spacing w:val="-4"/>
          <w:sz w:val="32"/>
          <w:szCs w:val="32"/>
        </w:rPr>
      </w:pPr>
    </w:p>
    <w:p w14:paraId="3751A7E7">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D476484">
        <w:pPr>
          <w:pStyle w:val="12"/>
          <w:jc w:val="center"/>
        </w:pPr>
        <w:r>
          <w:fldChar w:fldCharType="begin"/>
        </w:r>
        <w:r>
          <w:instrText xml:space="preserve">PAGE   \* MERGEFORMAT</w:instrText>
        </w:r>
        <w:r>
          <w:fldChar w:fldCharType="separate"/>
        </w:r>
        <w:r>
          <w:rPr>
            <w:lang w:val="zh-CN"/>
          </w:rPr>
          <w:t>2</w:t>
        </w:r>
        <w:r>
          <w:fldChar w:fldCharType="end"/>
        </w:r>
      </w:p>
    </w:sdtContent>
  </w:sdt>
  <w:p w14:paraId="2EE9989E">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2BA21478"/>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6"/>
    <w:semiHidden/>
    <w:unhideWhenUsed/>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uiPriority w:val="99"/>
    <w:rPr>
      <w:rFonts w:ascii="Calibri" w:hAnsi="Calibri" w:eastAsia="宋体"/>
      <w:kern w:val="2"/>
      <w:sz w:val="18"/>
      <w:szCs w:val="18"/>
    </w:rPr>
  </w:style>
  <w:style w:type="character" w:customStyle="1" w:styleId="45">
    <w:name w:val="页脚 Char"/>
    <w:basedOn w:val="18"/>
    <w:link w:val="12"/>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90e3bd6e-27f3-49f8-ac54-25f98433e1ed}">
  <ds:schemaRefs/>
</ds:datastoreItem>
</file>

<file path=docProps/app.xml><?xml version="1.0" encoding="utf-8"?>
<Properties xmlns="http://schemas.openxmlformats.org/officeDocument/2006/extended-properties" xmlns:vt="http://schemas.openxmlformats.org/officeDocument/2006/docPropsVTypes">
  <Template>Normal.dotm</Template>
  <Pages>31</Pages>
  <Words>16575</Words>
  <Characters>17582</Characters>
  <Lines>4</Lines>
  <Paragraphs>1</Paragraphs>
  <TotalTime>7</TotalTime>
  <ScaleCrop>false</ScaleCrop>
  <LinksUpToDate>false</LinksUpToDate>
  <CharactersWithSpaces>17625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来财&amp;十个晴天</cp:lastModifiedBy>
  <cp:lastPrinted>2018-12-31T10:56:00Z</cp:lastPrinted>
  <dcterms:modified xsi:type="dcterms:W3CDTF">2025-10-14T10:38:25Z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eyJoZGlkIjoiNTM1NjJiMTUwNmFhZWNlZmQwNDVjMDAxNDMwM2IwMDkiLCJ1c2VySWQiOiIzNzI2MDMzNTYifQ==</vt:lpwstr>
  </property>
</Properties>
</file>