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昌吉回族自治州经济协作服务中心2024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3E51BD5">
      <w:r>
        <w:br w:type="page"/>
      </w:r>
    </w:p>
    <w:p w14:paraId="735AEA5E">
      <w:pPr>
        <w:spacing w:line="640" w:lineRule="exact"/>
        <w:jc w:val="center"/>
        <w:outlineLvl w:val="1"/>
      </w:pPr>
      <w:r>
        <w:rPr>
          <w:rFonts w:ascii="黑体" w:hAnsi="黑体" w:eastAsia="黑体"/>
          <w:sz w:val="32"/>
        </w:rPr>
        <w:t>第一部分 单位概况</w:t>
      </w:r>
    </w:p>
    <w:p w14:paraId="29422FD7">
      <w:pPr>
        <w:spacing w:line="640" w:lineRule="exact"/>
        <w:ind w:firstLine="640"/>
        <w:jc w:val="both"/>
        <w:outlineLvl w:val="2"/>
      </w:pPr>
      <w:r>
        <w:rPr>
          <w:rFonts w:ascii="黑体" w:hAnsi="黑体" w:eastAsia="黑体"/>
          <w:sz w:val="32"/>
        </w:rPr>
        <w:t>一、主要职能</w:t>
      </w:r>
    </w:p>
    <w:p w14:paraId="3A041315">
      <w:pPr>
        <w:spacing w:line="580" w:lineRule="exact"/>
        <w:ind w:firstLine="640"/>
        <w:jc w:val="both"/>
      </w:pPr>
      <w:r>
        <w:rPr>
          <w:rFonts w:ascii="仿宋_GB2312" w:hAnsi="仿宋_GB2312" w:eastAsia="仿宋_GB2312"/>
          <w:sz w:val="32"/>
        </w:rPr>
        <w:t>昌吉回族自治州经济协作服务中心是州机关事务管理局的下属机构，为副县级。单位主要负责为来昌公务人员提供接待服务，中央、自治区、各省市开展公务的厅级以上领导及工作人员来昌的公务接待服务；疆内各地州市考察组、调研组来昌的公务接待服务；邀请专家、教授、老干部等来昌的公务接待服务；协助部门开展对口公务接待服务；其他相关服务。</w:t>
      </w:r>
    </w:p>
    <w:p w14:paraId="064444B3">
      <w:pPr>
        <w:spacing w:line="640" w:lineRule="exact"/>
        <w:ind w:firstLine="640"/>
        <w:jc w:val="both"/>
        <w:outlineLvl w:val="2"/>
      </w:pPr>
      <w:r>
        <w:rPr>
          <w:rFonts w:ascii="黑体" w:hAnsi="黑体" w:eastAsia="黑体"/>
          <w:sz w:val="32"/>
        </w:rPr>
        <w:t>二、机构设置及人员情况</w:t>
      </w:r>
    </w:p>
    <w:p w14:paraId="30EFEEAA">
      <w:pPr>
        <w:spacing w:line="580" w:lineRule="exact"/>
        <w:ind w:firstLine="640"/>
        <w:jc w:val="both"/>
      </w:pPr>
      <w:r>
        <w:rPr>
          <w:rFonts w:ascii="仿宋_GB2312" w:hAnsi="仿宋_GB2312" w:eastAsia="仿宋_GB2312"/>
          <w:sz w:val="32"/>
        </w:rPr>
        <w:t>昌吉回族自治州经济协作服务中心2024年度，实有人数8人，其中：在职人员8人，增加0人；离休人员0人，增加0人；退休人员0人,增加0人。</w:t>
      </w:r>
    </w:p>
    <w:p w14:paraId="448D5EB6">
      <w:pPr>
        <w:spacing w:line="580" w:lineRule="exact"/>
        <w:ind w:firstLine="640"/>
        <w:jc w:val="both"/>
      </w:pPr>
      <w:r>
        <w:rPr>
          <w:rFonts w:ascii="仿宋_GB2312" w:hAnsi="仿宋_GB2312" w:eastAsia="仿宋_GB2312"/>
          <w:sz w:val="32"/>
        </w:rPr>
        <w:t>昌吉回族自治州经济协作服务中心无下属预算单位，下设3个科室，分别是：综合科、业务一科、业务二科。</w:t>
      </w:r>
    </w:p>
    <w:p w14:paraId="622470A4">
      <w:r>
        <w:br w:type="page"/>
      </w:r>
    </w:p>
    <w:p w14:paraId="7F28574F">
      <w:pPr>
        <w:spacing w:line="240" w:lineRule="auto"/>
        <w:jc w:val="center"/>
        <w:outlineLvl w:val="1"/>
      </w:pPr>
      <w:r>
        <w:rPr>
          <w:rFonts w:ascii="黑体" w:hAnsi="黑体" w:eastAsia="黑体"/>
          <w:sz w:val="32"/>
        </w:rPr>
        <w:t>第二部分 部门决算情况说明</w:t>
      </w:r>
    </w:p>
    <w:p w14:paraId="593E2824">
      <w:pPr>
        <w:spacing w:line="640" w:lineRule="exact"/>
        <w:ind w:firstLine="640"/>
        <w:jc w:val="both"/>
        <w:outlineLvl w:val="2"/>
      </w:pPr>
      <w:r>
        <w:rPr>
          <w:rFonts w:ascii="黑体" w:hAnsi="黑体" w:eastAsia="黑体"/>
          <w:sz w:val="32"/>
        </w:rPr>
        <w:t>一、收入支出决算总体情况说明</w:t>
      </w:r>
    </w:p>
    <w:p w14:paraId="47BCB627">
      <w:pPr>
        <w:spacing w:line="580" w:lineRule="exact"/>
        <w:ind w:firstLine="640"/>
        <w:jc w:val="both"/>
      </w:pPr>
      <w:r>
        <w:rPr>
          <w:rFonts w:ascii="仿宋_GB2312" w:hAnsi="仿宋_GB2312" w:eastAsia="仿宋_GB2312"/>
          <w:b/>
          <w:sz w:val="32"/>
        </w:rPr>
        <w:t>2024年度收入总计321.24万元，</w:t>
      </w:r>
      <w:r>
        <w:rPr>
          <w:rFonts w:ascii="仿宋_GB2312" w:hAnsi="仿宋_GB2312" w:eastAsia="仿宋_GB2312"/>
          <w:b w:val="0"/>
          <w:sz w:val="32"/>
        </w:rPr>
        <w:t>其中：本年收入合计321.03万元，使用非财政拨款结余（含专用结余）0.00万元，年初结转和结余0.22万元。</w:t>
      </w:r>
    </w:p>
    <w:p w14:paraId="322CC7E0">
      <w:pPr>
        <w:spacing w:line="580" w:lineRule="exact"/>
        <w:ind w:firstLine="640"/>
        <w:jc w:val="both"/>
      </w:pPr>
      <w:r>
        <w:rPr>
          <w:rFonts w:ascii="仿宋_GB2312" w:hAnsi="仿宋_GB2312" w:eastAsia="仿宋_GB2312"/>
          <w:b/>
          <w:sz w:val="32"/>
        </w:rPr>
        <w:t>2024年度支出总计321.24万元，</w:t>
      </w:r>
      <w:r>
        <w:rPr>
          <w:rFonts w:ascii="仿宋_GB2312" w:hAnsi="仿宋_GB2312" w:eastAsia="仿宋_GB2312"/>
          <w:b w:val="0"/>
          <w:sz w:val="32"/>
        </w:rPr>
        <w:t>其中：本年支出合计321.24万元，结余分配0.00万元，年末结转和结余0.00万元。</w:t>
      </w:r>
    </w:p>
    <w:p w14:paraId="77D9E121">
      <w:pPr>
        <w:spacing w:line="580" w:lineRule="exact"/>
        <w:ind w:firstLine="640"/>
        <w:jc w:val="both"/>
      </w:pPr>
      <w:r>
        <w:rPr>
          <w:rFonts w:ascii="仿宋_GB2312" w:hAnsi="仿宋_GB2312" w:eastAsia="仿宋_GB2312"/>
          <w:b w:val="0"/>
          <w:sz w:val="32"/>
        </w:rPr>
        <w:t>收入支出总体与上年相比，增加28.76万元，增长9.83%，主要原因是：本年增加购置宇通面包车的项目。</w:t>
      </w:r>
    </w:p>
    <w:p w14:paraId="19C99ED3">
      <w:pPr>
        <w:spacing w:line="640" w:lineRule="exact"/>
        <w:ind w:firstLine="640"/>
        <w:jc w:val="both"/>
        <w:outlineLvl w:val="2"/>
      </w:pPr>
      <w:r>
        <w:rPr>
          <w:rFonts w:ascii="黑体" w:hAnsi="黑体" w:eastAsia="黑体"/>
          <w:sz w:val="32"/>
        </w:rPr>
        <w:t>二、收入决算情况说明</w:t>
      </w:r>
    </w:p>
    <w:p w14:paraId="131CCE0B">
      <w:pPr>
        <w:spacing w:line="580" w:lineRule="exact"/>
        <w:ind w:firstLine="640"/>
        <w:jc w:val="both"/>
      </w:pPr>
      <w:r>
        <w:rPr>
          <w:rFonts w:ascii="仿宋_GB2312" w:hAnsi="仿宋_GB2312" w:eastAsia="仿宋_GB2312"/>
          <w:b/>
          <w:sz w:val="32"/>
        </w:rPr>
        <w:t>本年收入321.03万元，</w:t>
      </w:r>
      <w:r>
        <w:rPr>
          <w:rFonts w:ascii="仿宋_GB2312" w:hAnsi="仿宋_GB2312" w:eastAsia="仿宋_GB2312"/>
          <w:b w:val="0"/>
          <w:sz w:val="32"/>
        </w:rPr>
        <w:t>其中：财政拨款收入271.03万元，占84.43%；上级补助收入0.00万元，占0.00%；事业收入0.00万元，占0.00%；经营收入0.00万元，占0.00%；附属单位上缴收入0.00万元，占0.00%；其他收入50.00万元，占15.57%。</w:t>
      </w:r>
    </w:p>
    <w:p w14:paraId="59326216">
      <w:pPr>
        <w:spacing w:line="640" w:lineRule="exact"/>
        <w:ind w:firstLine="640"/>
        <w:jc w:val="both"/>
        <w:outlineLvl w:val="2"/>
      </w:pPr>
      <w:r>
        <w:rPr>
          <w:rFonts w:ascii="黑体" w:hAnsi="黑体" w:eastAsia="黑体"/>
          <w:sz w:val="32"/>
        </w:rPr>
        <w:t>三、支出决算情况说明</w:t>
      </w:r>
    </w:p>
    <w:p w14:paraId="5D60153C">
      <w:pPr>
        <w:spacing w:line="580" w:lineRule="exact"/>
        <w:ind w:firstLine="640"/>
        <w:jc w:val="both"/>
      </w:pPr>
      <w:r>
        <w:rPr>
          <w:rFonts w:ascii="仿宋_GB2312" w:hAnsi="仿宋_GB2312" w:eastAsia="仿宋_GB2312"/>
          <w:b/>
          <w:sz w:val="32"/>
        </w:rPr>
        <w:t>本年支出321.24万元，</w:t>
      </w:r>
      <w:r>
        <w:rPr>
          <w:rFonts w:ascii="仿宋_GB2312" w:hAnsi="仿宋_GB2312" w:eastAsia="仿宋_GB2312"/>
          <w:b w:val="0"/>
          <w:sz w:val="32"/>
        </w:rPr>
        <w:t>其中：基本支出172.25万元，占53.62%；项目支出148.99万元，占46.38%；上缴上级支出0.00万元，占0.00%；经营支出0.00万元，占0.00%；对附属单位补助支出0.00万元，占0.00%。</w:t>
      </w:r>
    </w:p>
    <w:p w14:paraId="6B2138EB">
      <w:pPr>
        <w:spacing w:line="640" w:lineRule="exact"/>
        <w:ind w:firstLine="640"/>
        <w:jc w:val="both"/>
        <w:outlineLvl w:val="2"/>
      </w:pPr>
      <w:r>
        <w:rPr>
          <w:rFonts w:ascii="黑体" w:hAnsi="黑体" w:eastAsia="黑体"/>
          <w:sz w:val="32"/>
        </w:rPr>
        <w:t>四、财政拨款收入支出决算总体情况说明</w:t>
      </w:r>
    </w:p>
    <w:p w14:paraId="749C2132">
      <w:pPr>
        <w:spacing w:line="580" w:lineRule="exact"/>
        <w:ind w:firstLine="640"/>
        <w:jc w:val="both"/>
      </w:pPr>
      <w:r>
        <w:rPr>
          <w:rFonts w:ascii="仿宋_GB2312" w:hAnsi="仿宋_GB2312" w:eastAsia="仿宋_GB2312"/>
          <w:b/>
          <w:sz w:val="32"/>
        </w:rPr>
        <w:t>2024年度财政拨款收入总计271.03万元，</w:t>
      </w:r>
      <w:r>
        <w:rPr>
          <w:rFonts w:ascii="仿宋_GB2312" w:hAnsi="仿宋_GB2312" w:eastAsia="仿宋_GB2312"/>
          <w:b w:val="0"/>
          <w:sz w:val="32"/>
        </w:rPr>
        <w:t>其中：年初财政拨款结转和结余0.00万元，本年财政拨款收入271.03万元。</w:t>
      </w:r>
      <w:r>
        <w:rPr>
          <w:rFonts w:ascii="仿宋_GB2312" w:hAnsi="仿宋_GB2312" w:eastAsia="仿宋_GB2312"/>
          <w:b/>
          <w:sz w:val="32"/>
        </w:rPr>
        <w:t>财政拨款支出总计271.03万元，</w:t>
      </w:r>
      <w:r>
        <w:rPr>
          <w:rFonts w:ascii="仿宋_GB2312" w:hAnsi="仿宋_GB2312" w:eastAsia="仿宋_GB2312"/>
          <w:b w:val="0"/>
          <w:sz w:val="32"/>
        </w:rPr>
        <w:t>其中：年末财政拨款结转和结余0.00万元，本年财政拨款支出271.03万元。</w:t>
      </w:r>
    </w:p>
    <w:p w14:paraId="7DC50C0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减少21.23万元，下降7.26%，主要原因是：本年减少结余结转公务接待专项经费。</w:t>
      </w:r>
      <w:r>
        <w:rPr>
          <w:rFonts w:ascii="仿宋_GB2312" w:hAnsi="仿宋_GB2312" w:eastAsia="仿宋_GB2312"/>
          <w:b/>
          <w:sz w:val="32"/>
        </w:rPr>
        <w:t>与年初预算相比，</w:t>
      </w:r>
      <w:r>
        <w:rPr>
          <w:rFonts w:ascii="仿宋_GB2312" w:hAnsi="仿宋_GB2312" w:eastAsia="仿宋_GB2312"/>
          <w:b w:val="0"/>
          <w:sz w:val="32"/>
        </w:rPr>
        <w:t>年初预算数163.32万元，决算数271.03万元，预决算差异率65.95%，主要原因是：年中追加公务接待保障项目</w:t>
      </w:r>
      <w:r>
        <w:rPr>
          <w:rFonts w:hint="eastAsia" w:ascii="仿宋_GB2312" w:hAnsi="仿宋_GB2312" w:eastAsia="仿宋_GB2312"/>
          <w:b w:val="0"/>
          <w:sz w:val="32"/>
          <w:lang w:eastAsia="zh-CN"/>
        </w:rPr>
        <w:t>、</w:t>
      </w:r>
      <w:r>
        <w:rPr>
          <w:rFonts w:ascii="仿宋_GB2312" w:hAnsi="仿宋_GB2312" w:eastAsia="仿宋_GB2312"/>
          <w:b w:val="0"/>
          <w:sz w:val="32"/>
        </w:rPr>
        <w:t>公务用车专项经费</w:t>
      </w:r>
      <w:r>
        <w:rPr>
          <w:rFonts w:hint="eastAsia" w:ascii="仿宋_GB2312" w:hAnsi="仿宋_GB2312" w:eastAsia="仿宋_GB2312"/>
          <w:b w:val="0"/>
          <w:sz w:val="32"/>
          <w:lang w:val="en-US" w:eastAsia="zh-CN"/>
        </w:rPr>
        <w:t>等</w:t>
      </w:r>
      <w:r>
        <w:rPr>
          <w:rFonts w:ascii="仿宋_GB2312" w:hAnsi="仿宋_GB2312" w:eastAsia="仿宋_GB2312"/>
          <w:b w:val="0"/>
          <w:sz w:val="32"/>
        </w:rPr>
        <w:t>，导致预决算存在差异。</w:t>
      </w:r>
    </w:p>
    <w:p w14:paraId="688B7A2B">
      <w:pPr>
        <w:spacing w:line="640" w:lineRule="exact"/>
        <w:ind w:firstLine="640"/>
        <w:jc w:val="both"/>
        <w:outlineLvl w:val="2"/>
      </w:pPr>
      <w:r>
        <w:rPr>
          <w:rFonts w:ascii="黑体" w:hAnsi="黑体" w:eastAsia="黑体"/>
          <w:sz w:val="32"/>
        </w:rPr>
        <w:t>五、一般公共预算财政拨款支出决算情况说明</w:t>
      </w:r>
    </w:p>
    <w:p w14:paraId="4B823F31">
      <w:pPr>
        <w:spacing w:line="640" w:lineRule="exact"/>
        <w:ind w:firstLine="640"/>
        <w:jc w:val="both"/>
        <w:outlineLvl w:val="3"/>
      </w:pPr>
      <w:r>
        <w:rPr>
          <w:rFonts w:ascii="楷体_GB2312" w:hAnsi="楷体_GB2312" w:eastAsia="楷体_GB2312"/>
          <w:b/>
          <w:sz w:val="32"/>
        </w:rPr>
        <w:t>（一）一般公共预算财政拨款支出决算总体情况</w:t>
      </w:r>
    </w:p>
    <w:p w14:paraId="5FCDCB42">
      <w:pPr>
        <w:spacing w:line="580" w:lineRule="exact"/>
        <w:ind w:firstLine="640"/>
        <w:jc w:val="both"/>
      </w:pPr>
      <w:r>
        <w:rPr>
          <w:rFonts w:ascii="仿宋_GB2312" w:hAnsi="仿宋_GB2312" w:eastAsia="仿宋_GB2312"/>
          <w:b/>
          <w:sz w:val="32"/>
        </w:rPr>
        <w:t>2024年度一般公共预算财政拨款支出271.03万元，</w:t>
      </w:r>
      <w:r>
        <w:rPr>
          <w:rFonts w:ascii="仿宋_GB2312" w:hAnsi="仿宋_GB2312" w:eastAsia="仿宋_GB2312"/>
          <w:b w:val="0"/>
          <w:sz w:val="32"/>
        </w:rPr>
        <w:t>占本年支出合计的84.37%。</w:t>
      </w:r>
      <w:r>
        <w:rPr>
          <w:rFonts w:ascii="仿宋_GB2312" w:hAnsi="仿宋_GB2312" w:eastAsia="仿宋_GB2312"/>
          <w:b/>
          <w:sz w:val="32"/>
        </w:rPr>
        <w:t>与上年相比，</w:t>
      </w:r>
      <w:r>
        <w:rPr>
          <w:rFonts w:ascii="仿宋_GB2312" w:hAnsi="仿宋_GB2312" w:eastAsia="仿宋_GB2312"/>
          <w:b w:val="0"/>
          <w:sz w:val="32"/>
        </w:rPr>
        <w:t>增加3.12万元，增长1.16%，主要原因是：本年在职人员工资调增，社保、公积金基数调增，人员经费增加。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年初预算数163.32万元，决算数271.03万元，预决算差异率65.95%，主要原因是：年中追加公务接待保障项目</w:t>
      </w:r>
      <w:r>
        <w:rPr>
          <w:rFonts w:hint="eastAsia" w:ascii="仿宋_GB2312" w:hAnsi="仿宋_GB2312" w:eastAsia="仿宋_GB2312"/>
          <w:b w:val="0"/>
          <w:sz w:val="32"/>
          <w:lang w:eastAsia="zh-CN"/>
        </w:rPr>
        <w:t>、</w:t>
      </w:r>
      <w:r>
        <w:rPr>
          <w:rFonts w:ascii="仿宋_GB2312" w:hAnsi="仿宋_GB2312" w:eastAsia="仿宋_GB2312"/>
          <w:b w:val="0"/>
          <w:sz w:val="32"/>
        </w:rPr>
        <w:t>公务用车专项经费</w:t>
      </w:r>
      <w:r>
        <w:rPr>
          <w:rFonts w:hint="eastAsia" w:ascii="仿宋_GB2312" w:hAnsi="仿宋_GB2312" w:eastAsia="仿宋_GB2312"/>
          <w:b w:val="0"/>
          <w:sz w:val="32"/>
          <w:lang w:val="en-US" w:eastAsia="zh-CN"/>
        </w:rPr>
        <w:t>等</w:t>
      </w:r>
      <w:r>
        <w:rPr>
          <w:rFonts w:ascii="仿宋_GB2312" w:hAnsi="仿宋_GB2312" w:eastAsia="仿宋_GB2312"/>
          <w:b w:val="0"/>
          <w:sz w:val="32"/>
        </w:rPr>
        <w:t>，导致预决算存在差异。</w:t>
      </w:r>
    </w:p>
    <w:p w14:paraId="3D146B3D">
      <w:pPr>
        <w:spacing w:line="640" w:lineRule="exact"/>
        <w:ind w:firstLine="640"/>
        <w:jc w:val="both"/>
        <w:outlineLvl w:val="3"/>
      </w:pPr>
      <w:r>
        <w:rPr>
          <w:rFonts w:ascii="楷体_GB2312" w:hAnsi="楷体_GB2312" w:eastAsia="楷体_GB2312"/>
          <w:b/>
          <w:sz w:val="32"/>
        </w:rPr>
        <w:t>（二）一般公共预算财政拨款支出决算结构情况</w:t>
      </w:r>
    </w:p>
    <w:p w14:paraId="49ABE6AE">
      <w:pPr>
        <w:spacing w:line="580" w:lineRule="exact"/>
        <w:ind w:firstLine="640"/>
        <w:jc w:val="both"/>
      </w:pPr>
      <w:r>
        <w:rPr>
          <w:rFonts w:ascii="仿宋_GB2312" w:hAnsi="仿宋_GB2312" w:eastAsia="仿宋_GB2312"/>
          <w:b w:val="0"/>
          <w:sz w:val="32"/>
        </w:rPr>
        <w:t>1.一般公共服务支出(类)230.86万元,占85.18%。</w:t>
      </w:r>
    </w:p>
    <w:p w14:paraId="236950E1">
      <w:pPr>
        <w:spacing w:line="580" w:lineRule="exact"/>
        <w:ind w:firstLine="640"/>
        <w:jc w:val="both"/>
      </w:pPr>
      <w:r>
        <w:rPr>
          <w:rFonts w:ascii="仿宋_GB2312" w:hAnsi="仿宋_GB2312" w:eastAsia="仿宋_GB2312"/>
          <w:b w:val="0"/>
          <w:sz w:val="32"/>
        </w:rPr>
        <w:t>2.社会保障和就业支出(类)21.20万元,占7.82%。</w:t>
      </w:r>
    </w:p>
    <w:p w14:paraId="312CA92A">
      <w:pPr>
        <w:spacing w:line="580" w:lineRule="exact"/>
        <w:ind w:firstLine="640"/>
        <w:jc w:val="both"/>
      </w:pPr>
      <w:r>
        <w:rPr>
          <w:rFonts w:ascii="仿宋_GB2312" w:hAnsi="仿宋_GB2312" w:eastAsia="仿宋_GB2312"/>
          <w:b w:val="0"/>
          <w:sz w:val="32"/>
        </w:rPr>
        <w:t>3.卫生健康支出(类)7.56万元,占2.79%。</w:t>
      </w:r>
    </w:p>
    <w:p w14:paraId="567C8DF2">
      <w:pPr>
        <w:spacing w:line="580" w:lineRule="exact"/>
        <w:ind w:firstLine="640"/>
        <w:jc w:val="both"/>
      </w:pPr>
      <w:r>
        <w:rPr>
          <w:rFonts w:ascii="仿宋_GB2312" w:hAnsi="仿宋_GB2312" w:eastAsia="仿宋_GB2312"/>
          <w:b w:val="0"/>
          <w:sz w:val="32"/>
        </w:rPr>
        <w:t>4.住房保障支出(类)11.41万元,占4.21%。</w:t>
      </w:r>
    </w:p>
    <w:p w14:paraId="4C6CCFB8">
      <w:pPr>
        <w:spacing w:line="640" w:lineRule="exact"/>
        <w:ind w:firstLine="640"/>
        <w:jc w:val="both"/>
        <w:outlineLvl w:val="3"/>
      </w:pPr>
      <w:r>
        <w:rPr>
          <w:rFonts w:ascii="楷体_GB2312" w:hAnsi="楷体_GB2312" w:eastAsia="楷体_GB2312"/>
          <w:b/>
          <w:sz w:val="32"/>
        </w:rPr>
        <w:t>（三）一般公共预算财政拨款支出决算具体情况</w:t>
      </w:r>
    </w:p>
    <w:p w14:paraId="154793CE">
      <w:pPr>
        <w:spacing w:line="580" w:lineRule="exact"/>
        <w:ind w:firstLine="640"/>
        <w:jc w:val="both"/>
      </w:pPr>
      <w:r>
        <w:rPr>
          <w:rFonts w:ascii="仿宋_GB2312" w:hAnsi="仿宋_GB2312" w:eastAsia="仿宋_GB2312"/>
          <w:b w:val="0"/>
          <w:sz w:val="32"/>
        </w:rPr>
        <w:t>1.一般公共服务支出(类)政府办公厅（室）及相关机构事务(款)其他政府办公厅（室）及相关机构事务支出(项):支出决算数为30.00万元，比上年决算增加30.00万元，增长100.00%,主要原因是：本年科目调整，公务接待保障项目上年在事业运行列支，本年单独列支，导致经费增加。</w:t>
      </w:r>
    </w:p>
    <w:p w14:paraId="704ACF11">
      <w:pPr>
        <w:spacing w:line="580" w:lineRule="exact"/>
        <w:ind w:firstLine="640"/>
        <w:jc w:val="both"/>
      </w:pPr>
      <w:r>
        <w:rPr>
          <w:rFonts w:ascii="仿宋_GB2312" w:hAnsi="仿宋_GB2312" w:eastAsia="仿宋_GB2312"/>
          <w:b w:val="0"/>
          <w:sz w:val="32"/>
        </w:rPr>
        <w:t>2.一般公共服务支出(类)党委办公厅（室）及相关机构事务(款)事业运行(项):支出决算数为131.86万元，比上年决算减少28.96万元，下降18.01%,主要原因是：本年科目调整，公务接待保障项目上年在事业运行列支，本年单独列支，导致经费减少。</w:t>
      </w:r>
    </w:p>
    <w:p w14:paraId="4D697CFB">
      <w:pPr>
        <w:spacing w:line="580" w:lineRule="exact"/>
        <w:ind w:firstLine="640"/>
        <w:jc w:val="both"/>
      </w:pPr>
      <w:r>
        <w:rPr>
          <w:rFonts w:ascii="仿宋_GB2312" w:hAnsi="仿宋_GB2312" w:eastAsia="仿宋_GB2312"/>
          <w:b w:val="0"/>
          <w:sz w:val="32"/>
        </w:rPr>
        <w:t>3.一般公共服务支出(类)党委办公厅（室）及相关机构事务(款)其他党委办公厅（室）及相关机构事务支出(项):支出决算数为68.99万元，比上年决算增加0.23万元，增长0.33%,主要原因是：本年增加公务用车专项经费、公务接待专项经费等。</w:t>
      </w:r>
    </w:p>
    <w:p w14:paraId="630B5B61">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14.14万元，比上年决算增加0.92万元，增长6.96%,主要原因是：本年在职人员工资基数调增，养老缴费基数上涨，相应支出增加。</w:t>
      </w:r>
    </w:p>
    <w:p w14:paraId="25EC3A23">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7.07万元，比上年决算增加0.50万元，增长7.61%,主要原因是：本年在职人员工资基数调增，职业年金缴费基数上涨，相应支出增加。</w:t>
      </w:r>
    </w:p>
    <w:p w14:paraId="02B8C532">
      <w:pPr>
        <w:spacing w:line="580" w:lineRule="exact"/>
        <w:ind w:firstLine="640"/>
        <w:jc w:val="both"/>
      </w:pPr>
      <w:r>
        <w:rPr>
          <w:rFonts w:ascii="仿宋_GB2312" w:hAnsi="仿宋_GB2312" w:eastAsia="仿宋_GB2312"/>
          <w:b w:val="0"/>
          <w:sz w:val="32"/>
        </w:rPr>
        <w:t>6.卫生健康支出(类)行政事业单位医疗(款)事业单位医疗(项):支出决算数为7.07万元，比上年决算增加0.44万元，增长6.64%,主要原因是：本年在职人员工资基数调增，医疗缴费基数上涨，相应支出增加。</w:t>
      </w:r>
    </w:p>
    <w:p w14:paraId="0D4FD369">
      <w:pPr>
        <w:spacing w:line="580" w:lineRule="exact"/>
        <w:ind w:firstLine="640"/>
        <w:jc w:val="both"/>
      </w:pPr>
      <w:r>
        <w:rPr>
          <w:rFonts w:ascii="仿宋_GB2312" w:hAnsi="仿宋_GB2312" w:eastAsia="仿宋_GB2312"/>
          <w:b w:val="0"/>
          <w:sz w:val="32"/>
        </w:rPr>
        <w:t>7.卫生健康支出(类)行政事业单位医疗(款)公务员医疗补助(项):支出决算数为0.44万元，比上年决算增加0.03万元，增长7.32%,主要原因是：本年在职人员工资基数调增，医疗缴费基数上涨，相应支出增加。</w:t>
      </w:r>
    </w:p>
    <w:p w14:paraId="3FA15900">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8.卫生健康支出(类)行政事业单位医疗(款)其他行政事业单位医疗支出(项):支出决算数为0.05万元，比上年决算增加0.01万元，增长25.00%,主要原因是：本年在职人员工资基数调增，医疗缴费基数上涨，相应支出增加。</w:t>
      </w:r>
    </w:p>
    <w:p w14:paraId="13CE2DFF">
      <w:pPr>
        <w:spacing w:line="580" w:lineRule="exact"/>
        <w:ind w:firstLine="640"/>
        <w:jc w:val="both"/>
      </w:pPr>
      <w:r>
        <w:rPr>
          <w:rFonts w:ascii="仿宋_GB2312" w:hAnsi="仿宋_GB2312" w:eastAsia="仿宋_GB2312"/>
          <w:b w:val="0"/>
          <w:sz w:val="32"/>
        </w:rPr>
        <w:t>9.住房保障支出(类)住房改革支出(款)住房公积金(项):支出决算数为11.41万元，比上年决算减少0.04万元，下降0.35%,主要原因是：本年在职人员调入调出，人员职级不同，缴费基数不同，导致住房公积金较上年减少。</w:t>
      </w:r>
    </w:p>
    <w:p w14:paraId="3B108A9A">
      <w:pPr>
        <w:spacing w:line="640" w:lineRule="exact"/>
        <w:ind w:firstLine="640"/>
        <w:jc w:val="both"/>
        <w:outlineLvl w:val="2"/>
      </w:pPr>
      <w:r>
        <w:rPr>
          <w:rFonts w:ascii="黑体" w:hAnsi="黑体" w:eastAsia="黑体"/>
          <w:sz w:val="32"/>
        </w:rPr>
        <w:t>六、一般公共预算财政拨款基本支出决算情况说明</w:t>
      </w:r>
    </w:p>
    <w:p w14:paraId="3CB7BAE2">
      <w:pPr>
        <w:spacing w:line="580" w:lineRule="exact"/>
        <w:ind w:firstLine="640"/>
        <w:jc w:val="both"/>
      </w:pPr>
      <w:r>
        <w:rPr>
          <w:rFonts w:ascii="仿宋_GB2312" w:hAnsi="仿宋_GB2312" w:eastAsia="仿宋_GB2312"/>
          <w:b w:val="0"/>
          <w:sz w:val="32"/>
        </w:rPr>
        <w:t>2024年度一般公共预算财政拨款基本支出172.03万元，其中：</w:t>
      </w:r>
      <w:r>
        <w:rPr>
          <w:rFonts w:ascii="仿宋_GB2312" w:hAnsi="仿宋_GB2312" w:eastAsia="仿宋_GB2312"/>
          <w:b/>
          <w:sz w:val="32"/>
        </w:rPr>
        <w:t>人员经费152.39万元，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21D2B505">
      <w:pPr>
        <w:spacing w:line="580" w:lineRule="exact"/>
        <w:ind w:firstLine="640"/>
        <w:jc w:val="both"/>
      </w:pPr>
      <w:r>
        <w:rPr>
          <w:rFonts w:ascii="仿宋_GB2312" w:hAnsi="仿宋_GB2312" w:eastAsia="仿宋_GB2312"/>
          <w:b/>
          <w:sz w:val="32"/>
        </w:rPr>
        <w:t>公用经费19.64万元，</w:t>
      </w:r>
      <w:r>
        <w:rPr>
          <w:rFonts w:ascii="仿宋_GB2312" w:hAnsi="仿宋_GB2312" w:eastAsia="仿宋_GB2312"/>
          <w:b w:val="0"/>
          <w:sz w:val="32"/>
        </w:rPr>
        <w:t>包括：办公费、印刷费、差旅费、劳务费、工会经费、福利费、公务用车运行维护费。</w:t>
      </w:r>
    </w:p>
    <w:p w14:paraId="14CD3B66">
      <w:pPr>
        <w:spacing w:line="640" w:lineRule="exact"/>
        <w:ind w:firstLine="640"/>
        <w:jc w:val="both"/>
        <w:outlineLvl w:val="2"/>
      </w:pPr>
      <w:r>
        <w:rPr>
          <w:rFonts w:ascii="黑体" w:hAnsi="黑体" w:eastAsia="黑体"/>
          <w:sz w:val="32"/>
        </w:rPr>
        <w:t>七、政府性基金预算财政拨款收入支出决算情况说明</w:t>
      </w:r>
    </w:p>
    <w:p w14:paraId="5F2051B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00213F1">
      <w:pPr>
        <w:spacing w:line="640" w:lineRule="exact"/>
        <w:ind w:firstLine="640"/>
        <w:jc w:val="both"/>
        <w:outlineLvl w:val="2"/>
      </w:pPr>
      <w:r>
        <w:rPr>
          <w:rFonts w:ascii="黑体" w:hAnsi="黑体" w:eastAsia="黑体"/>
          <w:sz w:val="32"/>
        </w:rPr>
        <w:t>八、国有资本经营预算财政拨款收入支出决算情况说明</w:t>
      </w:r>
    </w:p>
    <w:p w14:paraId="096D853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F3C3172">
      <w:pPr>
        <w:spacing w:line="640" w:lineRule="exact"/>
        <w:ind w:firstLine="640"/>
        <w:jc w:val="both"/>
        <w:outlineLvl w:val="2"/>
      </w:pPr>
      <w:r>
        <w:rPr>
          <w:rFonts w:ascii="黑体" w:hAnsi="黑体" w:eastAsia="黑体"/>
          <w:sz w:val="32"/>
        </w:rPr>
        <w:t>九、财政拨款“三公”经费支出决算情况说明</w:t>
      </w:r>
    </w:p>
    <w:p w14:paraId="60D329AC">
      <w:pPr>
        <w:spacing w:line="580" w:lineRule="exact"/>
        <w:ind w:firstLine="640"/>
        <w:jc w:val="both"/>
      </w:pPr>
      <w:r>
        <w:rPr>
          <w:rFonts w:ascii="仿宋_GB2312" w:hAnsi="仿宋_GB2312" w:eastAsia="仿宋_GB2312"/>
          <w:b/>
          <w:sz w:val="32"/>
        </w:rPr>
        <w:t>2024年度财政拨款“三公”经费支出101.49万元，</w:t>
      </w:r>
      <w:r>
        <w:rPr>
          <w:rFonts w:ascii="仿宋_GB2312" w:hAnsi="仿宋_GB2312" w:eastAsia="仿宋_GB2312"/>
          <w:b w:val="0"/>
          <w:sz w:val="32"/>
        </w:rPr>
        <w:t>比上年增加10.55万元，增长11.60%，主要原因是：本年新购入公务用车，公务用车购置费较上年增加。其中：因公出国（境）费支出0.00万元，占0.00%，比上年增加0.00万元，增长0.00%，主要原因是：2023年与2024年均未安排因公出国（境）费支出。公务用车购置及运行维护费支出49.74万元，占49.01%，比上年增加29.07万元，增长140.64%，主要原因是：本年新购入公务用车，公务用车购置费较上年增加。公务接待费支出51.75万元，占50.99%，比上年减少18.52万元，下降26.36%，主要原因是：严格落实中央八项规定精神，厉行节约，减少公务接待费。</w:t>
      </w:r>
    </w:p>
    <w:p w14:paraId="11299D68">
      <w:pPr>
        <w:spacing w:line="580" w:lineRule="exact"/>
        <w:ind w:firstLine="640"/>
        <w:jc w:val="both"/>
      </w:pPr>
      <w:r>
        <w:rPr>
          <w:rFonts w:ascii="仿宋_GB2312" w:hAnsi="仿宋_GB2312" w:eastAsia="仿宋_GB2312"/>
          <w:b/>
          <w:sz w:val="32"/>
        </w:rPr>
        <w:t>具体情况如下：</w:t>
      </w:r>
    </w:p>
    <w:p w14:paraId="237559B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419DB09">
      <w:pPr>
        <w:spacing w:line="580" w:lineRule="exact"/>
        <w:ind w:firstLine="640"/>
        <w:jc w:val="both"/>
      </w:pPr>
      <w:r>
        <w:rPr>
          <w:rFonts w:ascii="仿宋_GB2312" w:hAnsi="仿宋_GB2312" w:eastAsia="仿宋_GB2312"/>
          <w:b w:val="0"/>
          <w:sz w:val="32"/>
        </w:rPr>
        <w:t>公务用车购置及运行维护费49.74万元，其中：公务用车购置费19.50万元，公务用车运行维护费30.24万元。公务用车运行维护费开支内容包括车辆加油费、维修费、保险费、审车费、过路费等。公务用车购置数1辆，公务用车保有量8辆。国有资产占用情况中固定资产车辆8辆，与公务用车保有量差异原因是：本单位固定资产车辆与公务用车保有量一致无差异。</w:t>
      </w:r>
    </w:p>
    <w:p w14:paraId="04645B6E">
      <w:pPr>
        <w:spacing w:line="580" w:lineRule="exact"/>
        <w:ind w:firstLine="640"/>
        <w:jc w:val="both"/>
      </w:pPr>
      <w:r>
        <w:rPr>
          <w:rFonts w:ascii="仿宋_GB2312" w:hAnsi="仿宋_GB2312" w:eastAsia="仿宋_GB2312"/>
          <w:b w:val="0"/>
          <w:sz w:val="32"/>
        </w:rPr>
        <w:t>公务接待费51.75万元，开支内容包括接待上级领导检查产生的就餐费。单位全年安排的国内公务接待169批次，4,277人次。</w:t>
      </w:r>
    </w:p>
    <w:p w14:paraId="6851451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101.49万元，决算数101.49万元，预决算差异率0.00%，主要原因是：严格按照预算执行，预决算无差异。其中：因公出国（境）费全年预算数0.00万元，决算数0.00万元，预决算差异率0.00%，主要原因是：本单位无因公出国（境）费。公务用车购置费全年预算数19.50万元，决算数19.50万元，预决算差异率0.00%，主要原因是：严格按照预算执行，预决算无差异。公务用车运行维护费全年预算数30.24万元，决算数30.24万元，预决算差异率0.00%，主要原因是：严格按照预算执行，预决算无差异。公务接待费全年预算数51.75万元，决算数51.75万元，预决算差异率0.00%，主要原因是：严格按照预算执行，预决算无差异。</w:t>
      </w:r>
    </w:p>
    <w:p w14:paraId="1DD0B8F1">
      <w:pPr>
        <w:spacing w:line="640" w:lineRule="exact"/>
        <w:ind w:firstLine="640"/>
        <w:jc w:val="both"/>
        <w:outlineLvl w:val="2"/>
      </w:pPr>
      <w:r>
        <w:rPr>
          <w:rFonts w:ascii="黑体" w:hAnsi="黑体" w:eastAsia="黑体"/>
          <w:sz w:val="32"/>
        </w:rPr>
        <w:t>十、其他重要事项的情况说明</w:t>
      </w:r>
    </w:p>
    <w:p w14:paraId="5E27A307">
      <w:pPr>
        <w:spacing w:line="640" w:lineRule="exact"/>
        <w:ind w:firstLine="640"/>
        <w:jc w:val="both"/>
        <w:outlineLvl w:val="3"/>
      </w:pPr>
      <w:r>
        <w:rPr>
          <w:rFonts w:ascii="楷体_GB2312" w:hAnsi="楷体_GB2312" w:eastAsia="楷体_GB2312"/>
          <w:b/>
          <w:sz w:val="32"/>
        </w:rPr>
        <w:t>（一）机关运行经费及公用经费支出情况</w:t>
      </w:r>
    </w:p>
    <w:p w14:paraId="4967109A">
      <w:pPr>
        <w:spacing w:line="580" w:lineRule="exact"/>
        <w:ind w:firstLine="640"/>
        <w:jc w:val="both"/>
      </w:pPr>
      <w:r>
        <w:rPr>
          <w:rFonts w:ascii="仿宋_GB2312" w:hAnsi="仿宋_GB2312" w:eastAsia="仿宋_GB2312"/>
          <w:b w:val="0"/>
          <w:sz w:val="32"/>
        </w:rPr>
        <w:t>2024年度昌吉回族自治州经济协作服务中心（事业单位）公用经费支出19.64万元，比上年减少14.80万元，下降42.97%，主要原因是：本年</w:t>
      </w:r>
      <w:bookmarkStart w:id="0" w:name="_GoBack"/>
      <w:r>
        <w:rPr>
          <w:rFonts w:ascii="仿宋_GB2312" w:hAnsi="仿宋_GB2312" w:eastAsia="仿宋_GB2312"/>
          <w:b w:val="0"/>
          <w:sz w:val="32"/>
        </w:rPr>
        <w:t>减少办公经费，导致公用经费较上年减少。</w:t>
      </w:r>
      <w:bookmarkEnd w:id="0"/>
    </w:p>
    <w:p w14:paraId="6747B942">
      <w:pPr>
        <w:spacing w:line="640" w:lineRule="exact"/>
        <w:ind w:firstLine="640"/>
        <w:jc w:val="both"/>
        <w:outlineLvl w:val="3"/>
      </w:pPr>
      <w:r>
        <w:rPr>
          <w:rFonts w:ascii="楷体_GB2312" w:hAnsi="楷体_GB2312" w:eastAsia="楷体_GB2312"/>
          <w:b/>
          <w:sz w:val="32"/>
        </w:rPr>
        <w:t>（二）政府采购情况</w:t>
      </w:r>
    </w:p>
    <w:p w14:paraId="0A0CD5DE">
      <w:pPr>
        <w:spacing w:line="580" w:lineRule="exact"/>
        <w:ind w:firstLine="640"/>
        <w:jc w:val="both"/>
      </w:pPr>
      <w:r>
        <w:rPr>
          <w:rFonts w:ascii="仿宋_GB2312" w:hAnsi="仿宋_GB2312" w:eastAsia="仿宋_GB2312"/>
          <w:b w:val="0"/>
          <w:sz w:val="32"/>
        </w:rPr>
        <w:t>2024年度政府采购支出总额83.10万元，其中：政府采购货物支出45.13万元、政府采购工程支出0.00万元、政府采购服务支出37.96万元。</w:t>
      </w:r>
    </w:p>
    <w:p w14:paraId="2F77A5BD">
      <w:pPr>
        <w:spacing w:line="580" w:lineRule="exact"/>
        <w:ind w:firstLine="640"/>
        <w:jc w:val="both"/>
      </w:pPr>
      <w:r>
        <w:rPr>
          <w:rFonts w:ascii="仿宋_GB2312" w:hAnsi="仿宋_GB2312" w:eastAsia="仿宋_GB2312"/>
          <w:b w:val="0"/>
          <w:sz w:val="32"/>
        </w:rPr>
        <w:t>授予中小企业合同金额38.07万元，占政府采购支出总额的45.81%，其中：授予小微企业合同金额38.07万元，占政府采购支出总额的45.81%。</w:t>
      </w:r>
    </w:p>
    <w:p w14:paraId="18DA59AF">
      <w:pPr>
        <w:spacing w:line="640" w:lineRule="exact"/>
        <w:ind w:firstLine="640"/>
        <w:jc w:val="both"/>
        <w:outlineLvl w:val="3"/>
      </w:pPr>
      <w:r>
        <w:rPr>
          <w:rFonts w:ascii="楷体_GB2312" w:hAnsi="楷体_GB2312" w:eastAsia="楷体_GB2312"/>
          <w:b/>
          <w:sz w:val="32"/>
        </w:rPr>
        <w:t>（三）国有资产占用情况说明</w:t>
      </w:r>
    </w:p>
    <w:p w14:paraId="534F87C8">
      <w:pPr>
        <w:spacing w:line="580" w:lineRule="exact"/>
        <w:ind w:firstLine="640"/>
        <w:jc w:val="both"/>
      </w:pPr>
      <w:r>
        <w:rPr>
          <w:rFonts w:ascii="仿宋_GB2312" w:hAnsi="仿宋_GB2312" w:eastAsia="仿宋_GB2312"/>
          <w:b w:val="0"/>
          <w:sz w:val="32"/>
        </w:rPr>
        <w:t>截至2024年12月31日，房屋0.00平方米，价值0.00万元。车辆8辆，价值599.38万元，其中：副部（省）级及以上领导用车0辆、主要负责人用车0辆、机要通信用车0辆、应急保障用车0辆、执法执勤用车0辆、特种专业技术用车0辆、离退休干部服务用车0辆、其他用车8辆，其他用车主要是：一般公务用车。单价100万元（含）以上设备（不含车辆）0台（套）。</w:t>
      </w:r>
    </w:p>
    <w:p w14:paraId="70E94592">
      <w:pPr>
        <w:spacing w:line="640" w:lineRule="exact"/>
        <w:ind w:firstLine="640"/>
        <w:jc w:val="both"/>
        <w:outlineLvl w:val="2"/>
      </w:pPr>
      <w:r>
        <w:rPr>
          <w:rFonts w:ascii="黑体" w:hAnsi="黑体" w:eastAsia="黑体"/>
          <w:sz w:val="32"/>
        </w:rPr>
        <w:t>十一、预算绩效的情况说明</w:t>
      </w:r>
    </w:p>
    <w:p w14:paraId="12C645B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321.24万元，实际执行总额321.24万元；预算绩效评价项目1个，全年预算数148.99万元，全年执行数148.99万元。预算绩效管理取得的成效：一是严格审批流程，规范公务接待。坚决贯彻落实《中央八项规定及其实施细则》《党政机关国内公务接待管理规定》《自治区实施&lt;党政机关厉行节约反对浪费条例&gt;办法》等相关规定，严把接待审批流程，对无公函公务活动和来访人员一律不予接待。严格落实“科室负责人把关、经协中心主任审核”工作运行机制，严把接待关口，杜绝“舌尖上的浪费”，坚守底线，不越红线，坚决杜绝无公函、超标准、超陪同、违规饮酒及房间物品超规格配备等现象发生。二是查找风险隐患，完善防控措施。按照州党委办公室“马上就办、办就办好”工作要求，严谨细致地做好公务接待服务保障工作，全面梳理自查风险防控点，有针对性</w:t>
      </w:r>
      <w:r>
        <w:rPr>
          <w:rFonts w:hint="eastAsia" w:ascii="仿宋_GB2312" w:hAnsi="仿宋_GB2312" w:eastAsia="仿宋_GB2312"/>
          <w:b w:val="0"/>
          <w:sz w:val="32"/>
          <w:lang w:eastAsia="zh-CN"/>
        </w:rPr>
        <w:t>地</w:t>
      </w:r>
      <w:r>
        <w:rPr>
          <w:rFonts w:ascii="仿宋_GB2312" w:hAnsi="仿宋_GB2312" w:eastAsia="仿宋_GB2312"/>
          <w:b w:val="0"/>
          <w:sz w:val="32"/>
        </w:rPr>
        <w:t>修订完善公务接待相关制度规定，认真梳理公务接待中廉政风险点，制定《州经济协作服务中心公务接待工作廉政风险点及防控措施流程示意图》，堵塞漏洞、防范风险。发现的问题及原因：一是在年初设立目标时，参考上年完成情况设立，在项目实施过程中，</w:t>
      </w:r>
      <w:r>
        <w:rPr>
          <w:rFonts w:hint="eastAsia" w:ascii="仿宋_GB2312" w:hAnsi="仿宋_GB2312" w:eastAsia="仿宋_GB2312"/>
          <w:b w:val="0"/>
          <w:sz w:val="32"/>
          <w:lang w:eastAsia="zh-CN"/>
        </w:rPr>
        <w:t>本单位</w:t>
      </w:r>
      <w:r>
        <w:rPr>
          <w:rFonts w:ascii="仿宋_GB2312" w:hAnsi="仿宋_GB2312" w:eastAsia="仿宋_GB2312"/>
          <w:b w:val="0"/>
          <w:sz w:val="32"/>
        </w:rPr>
        <w:t>严格按照公务接待相关管理办法，接受州四套班子分配的公务接待任务，本年度工作任务多，故年初设立的目标与年度完成的任务量存在偏差。二是在项目实施过程中，单位内部支出环节多，业务与财务衔接不紧密，导致资金支出迟缓，不能按照时间进度执行。下一步改进措施：一是加强培训，提高相关人员工作水平。采取多种培训形式对单位财务人员、业务科室人员进行集中培训，加强预算的合理化、规范化，以确保资金使用率有所提高。二是高度重视，精心组织。项目绩效领导小组对绩效评价工作进行指导、监督、检查，确保项目绩效评价反映项目完成真实情况，加强各业务科室与财务的配合，严格执行项目绩效评价工作要求，切实提高项目绩效报告的客观性和公正性。具体附整体支出绩效自评表，项目支出绩效自评表和评价报告。</w:t>
      </w:r>
    </w:p>
    <w:p w14:paraId="2444399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42507F">
        <w:tblPrEx>
          <w:tblCellMar>
            <w:top w:w="0" w:type="dxa"/>
            <w:left w:w="108" w:type="dxa"/>
            <w:bottom w:w="0" w:type="dxa"/>
            <w:right w:w="108" w:type="dxa"/>
          </w:tblCellMar>
        </w:tblPrEx>
        <w:tc>
          <w:tcPr>
            <w:tcW w:w="8847" w:type="dxa"/>
            <w:gridSpan w:val="9"/>
            <w:vAlign w:val="center"/>
          </w:tcPr>
          <w:p w14:paraId="24A17372">
            <w:pPr>
              <w:jc w:val="center"/>
            </w:pPr>
            <w:r>
              <w:rPr>
                <w:rFonts w:ascii="宋体" w:hAnsi="宋体" w:eastAsia="宋体"/>
                <w:sz w:val="24"/>
              </w:rPr>
              <w:t>单位整体支出绩效自评表</w:t>
            </w:r>
          </w:p>
        </w:tc>
      </w:tr>
      <w:tr w14:paraId="1D5A3E68">
        <w:tblPrEx>
          <w:tblCellMar>
            <w:top w:w="0" w:type="dxa"/>
            <w:left w:w="108" w:type="dxa"/>
            <w:bottom w:w="0" w:type="dxa"/>
            <w:right w:w="108" w:type="dxa"/>
          </w:tblCellMar>
        </w:tblPrEx>
        <w:tc>
          <w:tcPr>
            <w:tcW w:w="8847" w:type="dxa"/>
            <w:gridSpan w:val="9"/>
            <w:vAlign w:val="center"/>
          </w:tcPr>
          <w:p w14:paraId="1A7C9738">
            <w:pPr>
              <w:jc w:val="center"/>
            </w:pPr>
            <w:r>
              <w:rPr>
                <w:rFonts w:ascii="宋体" w:hAnsi="宋体" w:eastAsia="宋体"/>
                <w:sz w:val="24"/>
              </w:rPr>
              <w:t>（2024年度）</w:t>
            </w:r>
          </w:p>
        </w:tc>
      </w:tr>
      <w:tr w14:paraId="3021F0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B299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D86EF2A">
            <w:pPr>
              <w:jc w:val="center"/>
            </w:pPr>
            <w:r>
              <w:rPr>
                <w:rFonts w:ascii="宋体" w:hAnsi="宋体" w:eastAsia="宋体"/>
                <w:sz w:val="16"/>
              </w:rPr>
              <w:t>昌吉回族自治州经济协作服务中心</w:t>
            </w:r>
          </w:p>
        </w:tc>
      </w:tr>
      <w:tr w14:paraId="3CFE9DB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BB5A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CBCB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DAA8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784B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A9EA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448F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1212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D87DE">
            <w:pPr>
              <w:jc w:val="center"/>
            </w:pPr>
            <w:r>
              <w:rPr>
                <w:rFonts w:ascii="宋体" w:hAnsi="宋体" w:eastAsia="宋体"/>
                <w:sz w:val="16"/>
              </w:rPr>
              <w:t>得分</w:t>
            </w:r>
          </w:p>
        </w:tc>
      </w:tr>
      <w:tr w14:paraId="2AF743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BD5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13AC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E4F2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1982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05E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E744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185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04D6F">
            <w:pPr>
              <w:jc w:val="center"/>
            </w:pPr>
            <w:r>
              <w:rPr>
                <w:rFonts w:ascii="宋体" w:hAnsi="宋体" w:eastAsia="宋体"/>
                <w:sz w:val="16"/>
              </w:rPr>
              <w:t>-</w:t>
            </w:r>
          </w:p>
        </w:tc>
      </w:tr>
      <w:tr w14:paraId="2674FD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E8144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AB86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99EC5">
            <w:pPr>
              <w:jc w:val="center"/>
            </w:pPr>
            <w:r>
              <w:rPr>
                <w:rFonts w:ascii="宋体" w:hAnsi="宋体" w:eastAsia="宋体"/>
                <w:sz w:val="16"/>
              </w:rPr>
              <w:t>182.91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567FA">
            <w:pPr>
              <w:jc w:val="center"/>
            </w:pPr>
            <w:r>
              <w:rPr>
                <w:rFonts w:ascii="宋体" w:hAnsi="宋体" w:eastAsia="宋体"/>
                <w:sz w:val="16"/>
              </w:rPr>
              <w:t>271.03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05AFB">
            <w:pPr>
              <w:jc w:val="center"/>
            </w:pPr>
            <w:r>
              <w:rPr>
                <w:rFonts w:ascii="宋体" w:hAnsi="宋体" w:eastAsia="宋体"/>
                <w:sz w:val="16"/>
              </w:rPr>
              <w:t>271.03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77C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E10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FAF83">
            <w:pPr>
              <w:jc w:val="center"/>
            </w:pPr>
            <w:r>
              <w:rPr>
                <w:rFonts w:ascii="宋体" w:hAnsi="宋体" w:eastAsia="宋体"/>
                <w:sz w:val="16"/>
              </w:rPr>
              <w:t>-</w:t>
            </w:r>
          </w:p>
        </w:tc>
      </w:tr>
      <w:tr w14:paraId="6CBC55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1959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AFFB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C0D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78EFC">
            <w:pPr>
              <w:jc w:val="center"/>
            </w:pPr>
            <w:r>
              <w:rPr>
                <w:rFonts w:ascii="宋体" w:hAnsi="宋体" w:eastAsia="宋体"/>
                <w:sz w:val="16"/>
              </w:rPr>
              <w:t>50.21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37ABE">
            <w:pPr>
              <w:jc w:val="center"/>
            </w:pPr>
            <w:r>
              <w:rPr>
                <w:rFonts w:ascii="宋体" w:hAnsi="宋体" w:eastAsia="宋体"/>
                <w:sz w:val="16"/>
              </w:rPr>
              <w:t>50.21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948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7CA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60965">
            <w:pPr>
              <w:jc w:val="center"/>
            </w:pPr>
            <w:r>
              <w:rPr>
                <w:rFonts w:ascii="宋体" w:hAnsi="宋体" w:eastAsia="宋体"/>
                <w:sz w:val="16"/>
              </w:rPr>
              <w:t>-</w:t>
            </w:r>
          </w:p>
        </w:tc>
      </w:tr>
      <w:tr w14:paraId="4C59D2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471D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134A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9D14F">
            <w:pPr>
              <w:jc w:val="center"/>
            </w:pPr>
            <w:r>
              <w:rPr>
                <w:rFonts w:ascii="宋体" w:hAnsi="宋体" w:eastAsia="宋体"/>
                <w:sz w:val="16"/>
              </w:rPr>
              <w:t>182.91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D8C9D">
            <w:pPr>
              <w:jc w:val="center"/>
            </w:pPr>
            <w:r>
              <w:rPr>
                <w:rFonts w:ascii="宋体" w:hAnsi="宋体" w:eastAsia="宋体"/>
                <w:sz w:val="16"/>
              </w:rPr>
              <w:t>321.24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898EF">
            <w:pPr>
              <w:jc w:val="center"/>
            </w:pPr>
            <w:r>
              <w:rPr>
                <w:rFonts w:ascii="宋体" w:hAnsi="宋体" w:eastAsia="宋体"/>
                <w:sz w:val="16"/>
              </w:rPr>
              <w:t>321.24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AD4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151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AF1E0">
            <w:pPr>
              <w:jc w:val="center"/>
            </w:pPr>
            <w:r>
              <w:rPr>
                <w:rFonts w:ascii="宋体" w:hAnsi="宋体" w:eastAsia="宋体"/>
                <w:sz w:val="16"/>
              </w:rPr>
              <w:t>10</w:t>
            </w:r>
          </w:p>
        </w:tc>
      </w:tr>
      <w:tr w14:paraId="22EC21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BAE7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B1B7D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430F5A">
            <w:pPr>
              <w:jc w:val="center"/>
            </w:pPr>
            <w:r>
              <w:rPr>
                <w:rFonts w:ascii="宋体" w:hAnsi="宋体" w:eastAsia="宋体"/>
                <w:sz w:val="16"/>
              </w:rPr>
              <w:t>实际完成情况</w:t>
            </w:r>
          </w:p>
        </w:tc>
      </w:tr>
      <w:tr w14:paraId="7FA286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8C23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25794B">
            <w:pPr>
              <w:jc w:val="both"/>
            </w:pPr>
            <w:r>
              <w:rPr>
                <w:rFonts w:ascii="宋体" w:hAnsi="宋体" w:eastAsia="宋体"/>
                <w:sz w:val="16"/>
              </w:rPr>
              <w:t>坚持以习近平新时代中国特色社会主义思想为指导，深入贯彻党的二十大精神，根据州党委四套班子关于公务接待工作安排，严格按照中央八项规定及其实施细则精神、《党政机关国内公务接待管理规定</w:t>
            </w:r>
            <w:r>
              <w:rPr>
                <w:rFonts w:hint="eastAsia" w:ascii="宋体" w:hAnsi="宋体"/>
                <w:sz w:val="16"/>
                <w:lang w:eastAsia="zh-CN"/>
              </w:rPr>
              <w:t>》《</w:t>
            </w:r>
            <w:r>
              <w:rPr>
                <w:rFonts w:ascii="宋体" w:hAnsi="宋体" w:eastAsia="宋体"/>
                <w:sz w:val="16"/>
              </w:rPr>
              <w:t>党政机关厉行节约反对浪费条例》等相关规定，高标准、高质量完成来昌吉各级领导接待工作及各省市参观、考察、调研的接待工作，同时做好本单位人员及机构运转保障工作。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70635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全年预算数为321.24万元，全年执行数为321.24万元，总预算执行率为100%。2024年</w:t>
            </w:r>
            <w:r>
              <w:rPr>
                <w:rFonts w:hint="eastAsia" w:ascii="宋体" w:hAnsi="宋体"/>
                <w:sz w:val="16"/>
                <w:lang w:eastAsia="zh-CN"/>
              </w:rPr>
              <w:t>本单位</w:t>
            </w:r>
            <w:r>
              <w:rPr>
                <w:rFonts w:ascii="宋体" w:hAnsi="宋体" w:eastAsia="宋体"/>
                <w:sz w:val="16"/>
              </w:rPr>
              <w:t>完成以下工作内容：1.高标准、高质量完成公务接待169批次；2.保障单位在编8人、聘用3人人员经费及日常办公运转；3.提升了昌吉州窗口形象，促进了接待工作的正常运转。</w:t>
            </w:r>
          </w:p>
        </w:tc>
      </w:tr>
      <w:tr w14:paraId="02E10F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E6DE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4872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9A56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D16C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C387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C0F6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5D48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31480">
            <w:pPr>
              <w:jc w:val="center"/>
            </w:pPr>
            <w:r>
              <w:rPr>
                <w:rFonts w:ascii="宋体" w:hAnsi="宋体" w:eastAsia="宋体"/>
                <w:sz w:val="16"/>
              </w:rPr>
              <w:t>得分</w:t>
            </w:r>
          </w:p>
        </w:tc>
      </w:tr>
      <w:tr w14:paraId="569A319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9BCC5">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DBDBF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6A087">
            <w:pPr>
              <w:jc w:val="center"/>
            </w:pPr>
            <w:r>
              <w:rPr>
                <w:rFonts w:ascii="宋体" w:hAnsi="宋体" w:eastAsia="宋体"/>
                <w:sz w:val="16"/>
              </w:rPr>
              <w:t>完成公务接待批次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716AD">
            <w:pPr>
              <w:jc w:val="center"/>
            </w:pPr>
            <w:r>
              <w:rPr>
                <w:rFonts w:ascii="宋体" w:hAnsi="宋体" w:eastAsia="宋体"/>
                <w:sz w:val="16"/>
              </w:rPr>
              <w:t>&gt;=130批次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ED5A9">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3230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D1411">
            <w:pPr>
              <w:jc w:val="center"/>
            </w:pPr>
            <w:r>
              <w:rPr>
                <w:rFonts w:ascii="宋体" w:hAnsi="宋体" w:eastAsia="宋体"/>
                <w:sz w:val="16"/>
              </w:rPr>
              <w:t>169批次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59B78">
            <w:pPr>
              <w:jc w:val="center"/>
            </w:pPr>
            <w:r>
              <w:rPr>
                <w:rFonts w:ascii="宋体" w:hAnsi="宋体" w:eastAsia="宋体"/>
                <w:sz w:val="16"/>
              </w:rPr>
              <w:t>20</w:t>
            </w:r>
          </w:p>
        </w:tc>
      </w:tr>
      <w:tr w14:paraId="20BB7C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BAF7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C4C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771D6">
            <w:pPr>
              <w:jc w:val="center"/>
            </w:pPr>
            <w:r>
              <w:rPr>
                <w:rFonts w:ascii="宋体" w:hAnsi="宋体" w:eastAsia="宋体"/>
                <w:sz w:val="16"/>
              </w:rPr>
              <w:t>完成公务接待人次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E9BF1">
            <w:pPr>
              <w:jc w:val="center"/>
            </w:pPr>
            <w:r>
              <w:rPr>
                <w:rFonts w:ascii="宋体" w:hAnsi="宋体" w:eastAsia="宋体"/>
                <w:sz w:val="16"/>
              </w:rPr>
              <w:t>&gt;=6000人次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958C3">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46A8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86920">
            <w:pPr>
              <w:jc w:val="center"/>
            </w:pPr>
            <w:r>
              <w:rPr>
                <w:rFonts w:ascii="宋体" w:hAnsi="宋体" w:eastAsia="宋体"/>
                <w:sz w:val="16"/>
              </w:rPr>
              <w:t>9213人次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1AB82">
            <w:pPr>
              <w:jc w:val="center"/>
            </w:pPr>
            <w:r>
              <w:rPr>
                <w:rFonts w:ascii="宋体" w:hAnsi="宋体" w:eastAsia="宋体"/>
                <w:sz w:val="16"/>
              </w:rPr>
              <w:t>20</w:t>
            </w:r>
          </w:p>
        </w:tc>
      </w:tr>
      <w:tr w14:paraId="2B3A6D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90E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739BA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1FCDC">
            <w:pPr>
              <w:jc w:val="center"/>
            </w:pPr>
            <w:r>
              <w:rPr>
                <w:rFonts w:ascii="宋体" w:hAnsi="宋体" w:eastAsia="宋体"/>
                <w:sz w:val="16"/>
              </w:rPr>
              <w:t>全年开展集中学习次数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7FA08">
            <w:pPr>
              <w:jc w:val="center"/>
            </w:pPr>
            <w:r>
              <w:rPr>
                <w:rFonts w:ascii="宋体" w:hAnsi="宋体" w:eastAsia="宋体"/>
                <w:sz w:val="16"/>
              </w:rPr>
              <w:t>&gt;=20次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7511D">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969F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D48F8">
            <w:pPr>
              <w:jc w:val="center"/>
            </w:pPr>
            <w:r>
              <w:rPr>
                <w:rFonts w:ascii="宋体" w:hAnsi="宋体" w:eastAsia="宋体"/>
                <w:sz w:val="16"/>
              </w:rPr>
              <w:t>24次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D6B1">
            <w:pPr>
              <w:jc w:val="center"/>
            </w:pPr>
            <w:r>
              <w:rPr>
                <w:rFonts w:ascii="宋体" w:hAnsi="宋体" w:eastAsia="宋体"/>
                <w:sz w:val="16"/>
              </w:rPr>
              <w:t>30</w:t>
            </w:r>
          </w:p>
        </w:tc>
      </w:tr>
      <w:tr w14:paraId="7D8B35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78496">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682AE">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4F0F6">
            <w:pPr>
              <w:jc w:val="center"/>
            </w:pPr>
            <w:r>
              <w:rPr>
                <w:rFonts w:ascii="宋体" w:hAnsi="宋体" w:eastAsia="宋体"/>
                <w:sz w:val="16"/>
              </w:rPr>
              <w:t>高质量高标准完成接待任务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52B6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05274">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563E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7E0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C5C13">
            <w:pPr>
              <w:jc w:val="center"/>
            </w:pPr>
            <w:r>
              <w:rPr>
                <w:rFonts w:ascii="宋体" w:hAnsi="宋体" w:eastAsia="宋体"/>
                <w:sz w:val="16"/>
              </w:rPr>
              <w:t>20</w:t>
            </w:r>
          </w:p>
        </w:tc>
      </w:tr>
    </w:tbl>
    <w:p w14:paraId="356E4447">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14"/>
        <w:gridCol w:w="620"/>
        <w:gridCol w:w="776"/>
        <w:gridCol w:w="696"/>
        <w:gridCol w:w="776"/>
        <w:gridCol w:w="631"/>
        <w:gridCol w:w="614"/>
        <w:gridCol w:w="614"/>
        <w:gridCol w:w="614"/>
        <w:gridCol w:w="620"/>
        <w:gridCol w:w="632"/>
      </w:tblGrid>
      <w:tr w14:paraId="5D89BF8E">
        <w:tblPrEx>
          <w:tblCellMar>
            <w:top w:w="0" w:type="dxa"/>
            <w:left w:w="108" w:type="dxa"/>
            <w:bottom w:w="0" w:type="dxa"/>
            <w:right w:w="108" w:type="dxa"/>
          </w:tblCellMar>
        </w:tblPrEx>
        <w:tc>
          <w:tcPr>
            <w:tcW w:w="8848" w:type="dxa"/>
            <w:gridSpan w:val="14"/>
            <w:vAlign w:val="center"/>
          </w:tcPr>
          <w:p w14:paraId="38E78703">
            <w:pPr>
              <w:jc w:val="center"/>
            </w:pPr>
            <w:r>
              <w:rPr>
                <w:rFonts w:ascii="宋体" w:hAnsi="宋体" w:eastAsia="宋体"/>
                <w:sz w:val="24"/>
              </w:rPr>
              <w:t>项目支出绩效自评表</w:t>
            </w:r>
          </w:p>
        </w:tc>
      </w:tr>
      <w:tr w14:paraId="1A43FC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E85C03">
            <w:pPr>
              <w:jc w:val="center"/>
            </w:pPr>
            <w:r>
              <w:rPr>
                <w:rFonts w:ascii="宋体" w:hAnsi="宋体" w:eastAsia="宋体"/>
                <w:sz w:val="24"/>
              </w:rPr>
              <w:t>(2024年度)</w:t>
            </w:r>
          </w:p>
        </w:tc>
      </w:tr>
      <w:tr w14:paraId="2A4E99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4A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38FDA">
            <w:pPr>
              <w:jc w:val="center"/>
            </w:pPr>
            <w:r>
              <w:rPr>
                <w:rFonts w:ascii="宋体" w:hAnsi="宋体" w:eastAsia="宋体"/>
                <w:sz w:val="16"/>
              </w:rPr>
              <w:t>2024年公务接待保障项目</w:t>
            </w:r>
          </w:p>
        </w:tc>
      </w:tr>
      <w:tr w14:paraId="36CD3F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C7F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6C7B4B">
            <w:pPr>
              <w:jc w:val="center"/>
            </w:pPr>
            <w:r>
              <w:rPr>
                <w:rFonts w:ascii="宋体" w:hAnsi="宋体" w:eastAsia="宋体"/>
                <w:sz w:val="16"/>
              </w:rPr>
              <w:t>昌吉回族自治州机关事务管理局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0A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6ECCA">
            <w:pPr>
              <w:jc w:val="center"/>
            </w:pPr>
            <w:r>
              <w:rPr>
                <w:rFonts w:ascii="宋体" w:hAnsi="宋体" w:eastAsia="宋体"/>
                <w:sz w:val="16"/>
              </w:rPr>
              <w:t>昌吉回族自治州经济协作服务中心</w:t>
            </w:r>
          </w:p>
        </w:tc>
      </w:tr>
      <w:tr w14:paraId="7E82D2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154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C999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3DE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E71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D57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D99D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087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8FD2">
            <w:pPr>
              <w:jc w:val="center"/>
            </w:pPr>
            <w:r>
              <w:rPr>
                <w:rFonts w:ascii="宋体" w:hAnsi="宋体" w:eastAsia="宋体"/>
                <w:sz w:val="16"/>
              </w:rPr>
              <w:t>得分</w:t>
            </w:r>
          </w:p>
        </w:tc>
      </w:tr>
      <w:tr w14:paraId="176127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F68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207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0924B">
            <w:pPr>
              <w:jc w:val="center"/>
            </w:pPr>
            <w:r>
              <w:rPr>
                <w:rFonts w:ascii="宋体" w:hAnsi="宋体" w:eastAsia="宋体"/>
                <w:sz w:val="16"/>
              </w:rPr>
              <w:t>148.99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B92C9">
            <w:pPr>
              <w:jc w:val="center"/>
            </w:pPr>
            <w:r>
              <w:rPr>
                <w:rFonts w:ascii="宋体" w:hAnsi="宋体" w:eastAsia="宋体"/>
                <w:sz w:val="16"/>
              </w:rPr>
              <w:t>148.99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C212D">
            <w:pPr>
              <w:jc w:val="center"/>
            </w:pPr>
            <w:r>
              <w:rPr>
                <w:rFonts w:ascii="宋体" w:hAnsi="宋体" w:eastAsia="宋体"/>
                <w:sz w:val="16"/>
              </w:rPr>
              <w:t>148.99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3A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0070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A406">
            <w:pPr>
              <w:jc w:val="center"/>
            </w:pPr>
            <w:r>
              <w:rPr>
                <w:rFonts w:ascii="宋体" w:hAnsi="宋体" w:eastAsia="宋体"/>
                <w:sz w:val="16"/>
              </w:rPr>
              <w:t>10.00</w:t>
            </w:r>
          </w:p>
        </w:tc>
      </w:tr>
      <w:tr w14:paraId="1D3A2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33A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674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CDB5F">
            <w:pPr>
              <w:jc w:val="center"/>
            </w:pPr>
            <w:r>
              <w:rPr>
                <w:rFonts w:ascii="宋体" w:hAnsi="宋体" w:eastAsia="宋体"/>
                <w:sz w:val="16"/>
              </w:rPr>
              <w:t>98.99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6AF97">
            <w:pPr>
              <w:jc w:val="center"/>
            </w:pPr>
            <w:r>
              <w:rPr>
                <w:rFonts w:ascii="宋体" w:hAnsi="宋体" w:eastAsia="宋体"/>
                <w:sz w:val="16"/>
              </w:rPr>
              <w:t>98.99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52D68">
            <w:pPr>
              <w:jc w:val="center"/>
            </w:pPr>
            <w:r>
              <w:rPr>
                <w:rFonts w:ascii="宋体" w:hAnsi="宋体" w:eastAsia="宋体"/>
                <w:sz w:val="16"/>
              </w:rPr>
              <w:t>98.99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D7D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AB5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C313">
            <w:pPr>
              <w:jc w:val="center"/>
            </w:pPr>
            <w:r>
              <w:rPr>
                <w:rFonts w:ascii="宋体" w:hAnsi="宋体" w:eastAsia="宋体"/>
                <w:sz w:val="16"/>
              </w:rPr>
              <w:t>—</w:t>
            </w:r>
          </w:p>
        </w:tc>
      </w:tr>
      <w:tr w14:paraId="7AA8BB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A24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8FE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ACED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7D0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4991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B76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6A2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BCBD8">
            <w:pPr>
              <w:jc w:val="center"/>
            </w:pPr>
            <w:r>
              <w:rPr>
                <w:rFonts w:ascii="宋体" w:hAnsi="宋体" w:eastAsia="宋体"/>
                <w:sz w:val="16"/>
              </w:rPr>
              <w:t>—</w:t>
            </w:r>
          </w:p>
        </w:tc>
      </w:tr>
      <w:tr w14:paraId="183AAA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61D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39D6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30FD96">
            <w:pPr>
              <w:jc w:val="center"/>
            </w:pPr>
            <w:r>
              <w:rPr>
                <w:rFonts w:ascii="宋体" w:hAnsi="宋体" w:eastAsia="宋体"/>
                <w:sz w:val="16"/>
              </w:rPr>
              <w:t>实际完成情况</w:t>
            </w:r>
          </w:p>
        </w:tc>
      </w:tr>
      <w:tr w14:paraId="5C59E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B89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4D031D">
            <w:pPr>
              <w:jc w:val="both"/>
            </w:pPr>
            <w:r>
              <w:rPr>
                <w:rFonts w:ascii="宋体" w:hAnsi="宋体" w:eastAsia="宋体"/>
                <w:sz w:val="16"/>
              </w:rPr>
              <w:t>2024年度，申请财政拨款及自有资金共148.99万元，计划完成公务接待至少130批次，购置公务接待车辆1辆，租赁公务接待小轿车1辆，购置车辆验收合格率达到100%。通过该项目的实施，有效提升昌吉州窗口形象，有效保障接待工作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892795">
            <w:pPr>
              <w:jc w:val="both"/>
            </w:pPr>
            <w:r>
              <w:rPr>
                <w:rFonts w:ascii="宋体" w:hAnsi="宋体" w:eastAsia="宋体"/>
                <w:sz w:val="16"/>
              </w:rPr>
              <w:t>截至 2024 年 12 月 31 日，该项目实际完成公务接待169批次，购置公务接待车辆1辆，租赁公务接待小轿车1辆，购置车辆验收合格率达到100%；通过该项目的实施，提升了昌吉州窗口形象，促进了接待工作的正常运转。</w:t>
            </w:r>
          </w:p>
        </w:tc>
      </w:tr>
      <w:tr w14:paraId="194B00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821E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39E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8A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C2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4E3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35B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30DA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B1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B17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B0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322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140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FC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13F0">
            <w:pPr>
              <w:jc w:val="center"/>
            </w:pPr>
            <w:r>
              <w:rPr>
                <w:rFonts w:ascii="宋体" w:hAnsi="宋体" w:eastAsia="宋体"/>
                <w:sz w:val="16"/>
              </w:rPr>
              <w:t>偏差原因分析及改进措施</w:t>
            </w:r>
          </w:p>
        </w:tc>
      </w:tr>
      <w:tr w14:paraId="28A4AC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171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2E19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B0B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C8E7">
            <w:pPr>
              <w:jc w:val="center"/>
            </w:pPr>
            <w:r>
              <w:rPr>
                <w:rFonts w:ascii="宋体" w:hAnsi="宋体" w:eastAsia="宋体"/>
                <w:sz w:val="16"/>
              </w:rPr>
              <w:t>完成公务接待批次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6C8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D0B6">
            <w:pPr>
              <w:jc w:val="center"/>
            </w:pPr>
            <w:r>
              <w:rPr>
                <w:rFonts w:ascii="宋体" w:hAnsi="宋体" w:eastAsia="宋体"/>
                <w:sz w:val="16"/>
              </w:rPr>
              <w:t>&gt;=130批次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D59B">
            <w:pPr>
              <w:jc w:val="center"/>
            </w:pPr>
            <w:r>
              <w:rPr>
                <w:rFonts w:ascii="宋体" w:hAnsi="宋体" w:eastAsia="宋体"/>
                <w:sz w:val="16"/>
              </w:rPr>
              <w:t>=169批次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D431">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F9B08">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5D3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274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6D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0E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A768">
            <w:pPr>
              <w:jc w:val="center"/>
            </w:pPr>
            <w:r>
              <w:rPr>
                <w:rFonts w:ascii="宋体" w:hAnsi="宋体" w:eastAsia="宋体"/>
                <w:sz w:val="16"/>
              </w:rPr>
              <w:t>该项目设立目标是参考上年度完成情况，本年度工作量大，故超额完成目标存在偏差。</w:t>
            </w:r>
          </w:p>
        </w:tc>
      </w:tr>
      <w:tr w14:paraId="551D4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F4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74A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41A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F601">
            <w:pPr>
              <w:jc w:val="center"/>
            </w:pPr>
            <w:r>
              <w:rPr>
                <w:rFonts w:ascii="宋体" w:hAnsi="宋体" w:eastAsia="宋体"/>
                <w:sz w:val="16"/>
              </w:rPr>
              <w:t>购置公务接待车辆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3C8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8161">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A895F">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2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BCD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D6A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66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69A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50A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1426">
            <w:pPr>
              <w:jc w:val="center"/>
            </w:pPr>
          </w:p>
        </w:tc>
      </w:tr>
      <w:tr w14:paraId="771DF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89E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AE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1F8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92F3">
            <w:pPr>
              <w:jc w:val="center"/>
            </w:pPr>
            <w:r>
              <w:rPr>
                <w:rFonts w:ascii="宋体" w:hAnsi="宋体" w:eastAsia="宋体"/>
                <w:sz w:val="16"/>
              </w:rPr>
              <w:t>租赁公务接待小轿车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46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A243">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793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C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AD5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19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3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E05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0F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8D24">
            <w:pPr>
              <w:jc w:val="center"/>
            </w:pPr>
          </w:p>
        </w:tc>
      </w:tr>
      <w:tr w14:paraId="72B6E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E3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7C8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CCB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C3C6">
            <w:pPr>
              <w:jc w:val="center"/>
            </w:pPr>
            <w:r>
              <w:rPr>
                <w:rFonts w:ascii="宋体" w:hAnsi="宋体" w:eastAsia="宋体"/>
                <w:sz w:val="16"/>
              </w:rPr>
              <w:t>购置车辆验收合格率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A8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4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A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07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99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81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05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A6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0FC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4AB5">
            <w:pPr>
              <w:jc w:val="center"/>
            </w:pPr>
          </w:p>
        </w:tc>
      </w:tr>
      <w:tr w14:paraId="3F2E1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32E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E0A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C4E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F26E">
            <w:pPr>
              <w:jc w:val="center"/>
            </w:pPr>
            <w:r>
              <w:rPr>
                <w:rFonts w:ascii="宋体" w:hAnsi="宋体" w:eastAsia="宋体"/>
                <w:sz w:val="16"/>
              </w:rPr>
              <w:t>车辆购置完成时间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99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FF14A">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0AA2">
            <w:pPr>
              <w:jc w:val="center"/>
            </w:pPr>
            <w:r>
              <w:rPr>
                <w:rFonts w:ascii="宋体" w:hAnsi="宋体" w:eastAsia="宋体"/>
                <w:sz w:val="16"/>
              </w:rPr>
              <w:t>=2024年7月19日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DB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5FE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AC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5C4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0F8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D7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3473">
            <w:pPr>
              <w:jc w:val="center"/>
            </w:pPr>
          </w:p>
        </w:tc>
      </w:tr>
      <w:tr w14:paraId="7217CA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F6A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D81B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611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679E">
            <w:pPr>
              <w:jc w:val="center"/>
            </w:pPr>
            <w:r>
              <w:rPr>
                <w:rFonts w:ascii="宋体" w:hAnsi="宋体" w:eastAsia="宋体"/>
                <w:sz w:val="16"/>
              </w:rPr>
              <w:t>接待成本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DC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B95E">
            <w:pPr>
              <w:jc w:val="center"/>
            </w:pPr>
            <w:r>
              <w:rPr>
                <w:rFonts w:ascii="宋体" w:hAnsi="宋体" w:eastAsia="宋体"/>
                <w:sz w:val="16"/>
              </w:rPr>
              <w:t>&lt;=51.75万元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C114">
            <w:pPr>
              <w:jc w:val="center"/>
            </w:pPr>
            <w:r>
              <w:rPr>
                <w:rFonts w:ascii="宋体" w:hAnsi="宋体" w:eastAsia="宋体"/>
                <w:sz w:val="16"/>
              </w:rPr>
              <w:t>=51.75万元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4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291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7C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AF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56C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0A6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9C6E">
            <w:pPr>
              <w:jc w:val="center"/>
            </w:pPr>
          </w:p>
        </w:tc>
      </w:tr>
      <w:tr w14:paraId="430D9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59F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847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47B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6DE9E">
            <w:pPr>
              <w:jc w:val="center"/>
            </w:pPr>
            <w:r>
              <w:rPr>
                <w:rFonts w:ascii="宋体" w:hAnsi="宋体" w:eastAsia="宋体"/>
                <w:sz w:val="16"/>
              </w:rPr>
              <w:t>车辆运行成本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2CFC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D3B2">
            <w:pPr>
              <w:jc w:val="center"/>
            </w:pPr>
            <w:r>
              <w:rPr>
                <w:rFonts w:ascii="宋体" w:hAnsi="宋体" w:eastAsia="宋体"/>
                <w:sz w:val="16"/>
              </w:rPr>
              <w:t>&lt;=97.24万元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CCC4">
            <w:pPr>
              <w:jc w:val="center"/>
            </w:pPr>
            <w:r>
              <w:rPr>
                <w:rFonts w:ascii="宋体" w:hAnsi="宋体" w:eastAsia="宋体"/>
                <w:sz w:val="16"/>
              </w:rPr>
              <w:t>=97.24万元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B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AEE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D2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765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9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39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CC7ED">
            <w:pPr>
              <w:jc w:val="center"/>
            </w:pPr>
          </w:p>
        </w:tc>
      </w:tr>
      <w:tr w14:paraId="60974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F4F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BDB1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FB63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04B8">
            <w:pPr>
              <w:jc w:val="center"/>
            </w:pPr>
            <w:r>
              <w:rPr>
                <w:rFonts w:ascii="宋体" w:hAnsi="宋体" w:eastAsia="宋体"/>
                <w:sz w:val="16"/>
              </w:rPr>
              <w:t>有效提升昌吉州窗口形象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83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2C87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416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8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52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9B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2C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97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DF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8F88D">
            <w:pPr>
              <w:jc w:val="center"/>
            </w:pPr>
          </w:p>
        </w:tc>
      </w:tr>
      <w:tr w14:paraId="653B15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B33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AA1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05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6106">
            <w:pPr>
              <w:jc w:val="center"/>
            </w:pPr>
            <w:r>
              <w:rPr>
                <w:rFonts w:ascii="宋体" w:hAnsi="宋体" w:eastAsia="宋体"/>
                <w:sz w:val="16"/>
              </w:rPr>
              <w:t>保障接待工作正常运行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7F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B85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1A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C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CC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28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F04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915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C1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7B1C2">
            <w:pPr>
              <w:jc w:val="center"/>
            </w:pPr>
          </w:p>
        </w:tc>
      </w:tr>
      <w:tr w14:paraId="0562B2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B31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30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B5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92BD">
            <w:pPr>
              <w:jc w:val="center"/>
            </w:pPr>
            <w:r>
              <w:rPr>
                <w:rFonts w:ascii="宋体" w:hAnsi="宋体" w:eastAsia="宋体"/>
                <w:sz w:val="16"/>
              </w:rPr>
              <w:t>车辆使用人员满意度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59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3A7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EEF9D">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0C49">
            <w:pPr>
              <w:jc w:val="center"/>
            </w:pPr>
            <w:r>
              <w:rPr>
                <w:rFonts w:ascii="宋体" w:hAnsi="宋体" w:eastAsia="宋体"/>
                <w:sz w:val="16"/>
              </w:rPr>
              <w:t>110.67%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E5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AD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77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76EF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58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0B64">
            <w:pPr>
              <w:jc w:val="center"/>
            </w:pPr>
            <w:r>
              <w:rPr>
                <w:rFonts w:ascii="宋体" w:hAnsi="宋体" w:eastAsia="宋体"/>
                <w:sz w:val="16"/>
              </w:rPr>
              <w:t>该项目设立目标为90%，本年度实际完成情况较好，使用人员满意度高，故存在偏差。</w:t>
            </w:r>
          </w:p>
        </w:tc>
      </w:tr>
      <w:tr w14:paraId="1C58A8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1C10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7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30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F0A4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226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C5D4">
            <w:pPr>
              <w:jc w:val="center"/>
            </w:pPr>
            <w:r>
              <w:rPr>
                <w:rFonts w:ascii="宋体" w:hAnsi="宋体" w:eastAsia="宋体"/>
                <w:sz w:val="16"/>
              </w:rPr>
              <w:t>96.10分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DCF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92A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1F5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BDF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E0782"/>
        </w:tc>
      </w:tr>
    </w:tbl>
    <w:p w14:paraId="5D3A4679">
      <w:r>
        <w:br w:type="page"/>
      </w:r>
    </w:p>
    <w:p w14:paraId="7EEB6A0C">
      <w:pPr>
        <w:spacing w:line="640" w:lineRule="exact"/>
        <w:ind w:firstLine="640"/>
        <w:jc w:val="both"/>
        <w:outlineLvl w:val="2"/>
      </w:pPr>
      <w:r>
        <w:rPr>
          <w:rFonts w:ascii="黑体" w:hAnsi="黑体" w:eastAsia="黑体"/>
          <w:sz w:val="32"/>
        </w:rPr>
        <w:t>十二、其他需说明的事项</w:t>
      </w:r>
    </w:p>
    <w:p w14:paraId="6C17BFCC">
      <w:pPr>
        <w:spacing w:line="580" w:lineRule="exact"/>
        <w:ind w:firstLine="640"/>
        <w:jc w:val="both"/>
      </w:pPr>
      <w:r>
        <w:rPr>
          <w:rFonts w:ascii="仿宋_GB2312" w:hAnsi="仿宋_GB2312" w:eastAsia="仿宋_GB2312"/>
          <w:b w:val="0"/>
          <w:sz w:val="32"/>
        </w:rPr>
        <w:t>本单位无其他需说明的事项。</w:t>
      </w:r>
    </w:p>
    <w:p w14:paraId="50A98C5B">
      <w:r>
        <w:br w:type="page"/>
      </w:r>
    </w:p>
    <w:p w14:paraId="0E0D5169">
      <w:pPr>
        <w:spacing w:line="240" w:lineRule="auto"/>
        <w:jc w:val="center"/>
        <w:outlineLvl w:val="1"/>
      </w:pPr>
      <w:r>
        <w:rPr>
          <w:rFonts w:ascii="黑体" w:hAnsi="黑体" w:eastAsia="黑体"/>
          <w:sz w:val="32"/>
        </w:rPr>
        <w:t>第三部分 专业名词解释</w:t>
      </w:r>
    </w:p>
    <w:p w14:paraId="0A6480C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9D3273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4C679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19E251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F7897F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327571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0F9AC0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E603FC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B825DA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50BA06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F3D033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B5CD5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DBDC1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D4CDD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D5B0258">
      <w:r>
        <w:br w:type="page"/>
      </w:r>
    </w:p>
    <w:p w14:paraId="59935E48">
      <w:pPr>
        <w:spacing w:line="240" w:lineRule="auto"/>
        <w:jc w:val="center"/>
        <w:outlineLvl w:val="1"/>
      </w:pPr>
      <w:r>
        <w:rPr>
          <w:rFonts w:ascii="黑体" w:hAnsi="黑体" w:eastAsia="黑体"/>
          <w:sz w:val="32"/>
        </w:rPr>
        <w:t>第四部分 部门决算报表（见附表）</w:t>
      </w:r>
    </w:p>
    <w:p w14:paraId="440C23DC">
      <w:pPr>
        <w:spacing w:line="240" w:lineRule="auto"/>
        <w:ind w:firstLine="640"/>
        <w:jc w:val="both"/>
      </w:pPr>
      <w:r>
        <w:rPr>
          <w:rFonts w:ascii="仿宋_GB2312" w:hAnsi="仿宋_GB2312" w:eastAsia="仿宋_GB2312"/>
          <w:b w:val="0"/>
          <w:sz w:val="32"/>
        </w:rPr>
        <w:t>一、《收入支出决算总表》</w:t>
      </w:r>
    </w:p>
    <w:p w14:paraId="64C08EA7">
      <w:pPr>
        <w:spacing w:line="240" w:lineRule="auto"/>
        <w:ind w:firstLine="640"/>
        <w:jc w:val="both"/>
      </w:pPr>
      <w:r>
        <w:rPr>
          <w:rFonts w:ascii="仿宋_GB2312" w:hAnsi="仿宋_GB2312" w:eastAsia="仿宋_GB2312"/>
          <w:b w:val="0"/>
          <w:sz w:val="32"/>
        </w:rPr>
        <w:t>二、《收入决算表》</w:t>
      </w:r>
    </w:p>
    <w:p w14:paraId="40F84BFD">
      <w:pPr>
        <w:spacing w:line="240" w:lineRule="auto"/>
        <w:ind w:firstLine="640"/>
        <w:jc w:val="both"/>
      </w:pPr>
      <w:r>
        <w:rPr>
          <w:rFonts w:ascii="仿宋_GB2312" w:hAnsi="仿宋_GB2312" w:eastAsia="仿宋_GB2312"/>
          <w:b w:val="0"/>
          <w:sz w:val="32"/>
        </w:rPr>
        <w:t>三、《支出决算表》</w:t>
      </w:r>
    </w:p>
    <w:p w14:paraId="111F6DF6">
      <w:pPr>
        <w:spacing w:line="240" w:lineRule="auto"/>
        <w:ind w:firstLine="640"/>
        <w:jc w:val="both"/>
      </w:pPr>
      <w:r>
        <w:rPr>
          <w:rFonts w:ascii="仿宋_GB2312" w:hAnsi="仿宋_GB2312" w:eastAsia="仿宋_GB2312"/>
          <w:b w:val="0"/>
          <w:sz w:val="32"/>
        </w:rPr>
        <w:t>四、《财政拨款收入支出决算总表》</w:t>
      </w:r>
    </w:p>
    <w:p w14:paraId="34D7D2D6">
      <w:pPr>
        <w:spacing w:line="240" w:lineRule="auto"/>
        <w:ind w:firstLine="640"/>
        <w:jc w:val="both"/>
      </w:pPr>
      <w:r>
        <w:rPr>
          <w:rFonts w:ascii="仿宋_GB2312" w:hAnsi="仿宋_GB2312" w:eastAsia="仿宋_GB2312"/>
          <w:b w:val="0"/>
          <w:sz w:val="32"/>
        </w:rPr>
        <w:t>五、《一般公共预算财政拨款支出决算表》</w:t>
      </w:r>
    </w:p>
    <w:p w14:paraId="304BB23F">
      <w:pPr>
        <w:spacing w:line="240" w:lineRule="auto"/>
        <w:ind w:firstLine="640"/>
        <w:jc w:val="both"/>
      </w:pPr>
      <w:r>
        <w:rPr>
          <w:rFonts w:ascii="仿宋_GB2312" w:hAnsi="仿宋_GB2312" w:eastAsia="仿宋_GB2312"/>
          <w:b w:val="0"/>
          <w:sz w:val="32"/>
        </w:rPr>
        <w:t>六、《一般公共预算财政拨款基本支出决算表》</w:t>
      </w:r>
    </w:p>
    <w:p w14:paraId="094B942F">
      <w:pPr>
        <w:spacing w:line="240" w:lineRule="auto"/>
        <w:ind w:firstLine="640"/>
        <w:jc w:val="both"/>
      </w:pPr>
      <w:r>
        <w:rPr>
          <w:rFonts w:ascii="仿宋_GB2312" w:hAnsi="仿宋_GB2312" w:eastAsia="仿宋_GB2312"/>
          <w:b w:val="0"/>
          <w:sz w:val="32"/>
        </w:rPr>
        <w:t>七、《政府性基金预算财政拨款收入支出决算表》</w:t>
      </w:r>
    </w:p>
    <w:p w14:paraId="3AC812ED">
      <w:pPr>
        <w:spacing w:line="240" w:lineRule="auto"/>
        <w:ind w:firstLine="640"/>
        <w:jc w:val="both"/>
      </w:pPr>
      <w:r>
        <w:rPr>
          <w:rFonts w:ascii="仿宋_GB2312" w:hAnsi="仿宋_GB2312" w:eastAsia="仿宋_GB2312"/>
          <w:b w:val="0"/>
          <w:sz w:val="32"/>
        </w:rPr>
        <w:t>八、《国有资本经营预算财政拨款收入支出决算表》</w:t>
      </w:r>
    </w:p>
    <w:p w14:paraId="591717C3">
      <w:pPr>
        <w:spacing w:line="240" w:lineRule="auto"/>
        <w:ind w:firstLine="640"/>
        <w:jc w:val="both"/>
      </w:pPr>
      <w:r>
        <w:rPr>
          <w:rFonts w:ascii="仿宋_GB2312" w:hAnsi="仿宋_GB2312" w:eastAsia="仿宋_GB2312"/>
          <w:b w:val="0"/>
          <w:sz w:val="32"/>
        </w:rPr>
        <w:t>九、《财政拨款“三公”经费支出决算表》</w:t>
      </w:r>
    </w:p>
    <w:p w14:paraId="22A1E6A6">
      <w:pPr>
        <w:spacing w:line="240" w:lineRule="auto"/>
        <w:ind w:firstLine="640"/>
        <w:jc w:val="both"/>
      </w:pPr>
    </w:p>
    <w:p w14:paraId="6BF8C5F9">
      <w:pPr>
        <w:spacing w:line="240" w:lineRule="auto"/>
        <w:ind w:firstLine="640"/>
        <w:jc w:val="both"/>
      </w:pPr>
    </w:p>
    <w:p w14:paraId="6813809F">
      <w:pPr>
        <w:spacing w:line="240" w:lineRule="auto"/>
        <w:ind w:firstLine="640"/>
        <w:jc w:val="both"/>
      </w:pPr>
    </w:p>
    <w:p w14:paraId="240E5A71">
      <w:pPr>
        <w:spacing w:line="240" w:lineRule="auto"/>
        <w:ind w:firstLine="640"/>
        <w:jc w:val="both"/>
      </w:pPr>
    </w:p>
    <w:p w14:paraId="38A6039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7A2FA-30A0-4CCC-B0D4-DF591145E0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47A1742-0801-4ACD-9D8C-31F8D1F62B3E}"/>
  </w:font>
  <w:font w:name="仿宋_GB2312">
    <w:altName w:val="仿宋"/>
    <w:panose1 w:val="02010609030101010101"/>
    <w:charset w:val="86"/>
    <w:family w:val="modern"/>
    <w:pitch w:val="default"/>
    <w:sig w:usb0="00000000" w:usb1="00000000" w:usb2="00000000" w:usb3="00000000" w:csb0="00040000" w:csb1="00000000"/>
    <w:embedRegular r:id="rId3" w:fontKey="{76DFF361-488D-4BA8-9653-5237D3979906}"/>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9DE4A67B-3010-4551-9467-C5773175AB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0F0518"/>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B25C4E"/>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5545</Words>
  <Characters>6340</Characters>
  <Lines>0</Lines>
  <Paragraphs>0</Paragraphs>
  <TotalTime>3</TotalTime>
  <ScaleCrop>false</ScaleCrop>
  <LinksUpToDate>false</LinksUpToDate>
  <CharactersWithSpaces>6348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