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208EB78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val="en-US" w:eastAsia="zh-CN"/>
        </w:rPr>
        <w:t>昌吉回族自治州金融工作办公室2024</w:t>
      </w:r>
      <w:r>
        <w:rPr>
          <w:rFonts w:hint="eastAsia" w:ascii="方正小标宋_GBK" w:hAnsi="宋体" w:eastAsia="方正小标宋_GBK"/>
          <w:sz w:val="44"/>
          <w:szCs w:val="44"/>
          <w:highlight w:val="none"/>
          <w:lang w:eastAsia="zh-CN"/>
        </w:rPr>
        <w:t>年度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F6A6C25">
      <w:r>
        <w:br w:type="page"/>
      </w:r>
    </w:p>
    <w:p w14:paraId="5188E18A">
      <w:pPr>
        <w:spacing w:line="640" w:lineRule="exact"/>
        <w:jc w:val="center"/>
        <w:outlineLvl w:val="1"/>
      </w:pPr>
      <w:r>
        <w:rPr>
          <w:rFonts w:ascii="黑体" w:hAnsi="黑体" w:eastAsia="黑体"/>
          <w:sz w:val="32"/>
        </w:rPr>
        <w:t>第一部分 单位概况</w:t>
      </w:r>
    </w:p>
    <w:p w14:paraId="58595E8A">
      <w:pPr>
        <w:spacing w:line="640" w:lineRule="exact"/>
        <w:ind w:firstLine="640"/>
        <w:jc w:val="both"/>
        <w:outlineLvl w:val="2"/>
      </w:pPr>
      <w:r>
        <w:rPr>
          <w:rFonts w:ascii="黑体" w:hAnsi="黑体" w:eastAsia="黑体"/>
          <w:sz w:val="32"/>
        </w:rPr>
        <w:t>一、主要职能</w:t>
      </w:r>
    </w:p>
    <w:p w14:paraId="23A5367E">
      <w:pPr>
        <w:spacing w:line="580" w:lineRule="exact"/>
        <w:ind w:firstLine="640"/>
        <w:jc w:val="both"/>
      </w:pPr>
      <w:r>
        <w:rPr>
          <w:rFonts w:ascii="仿宋_GB2312" w:hAnsi="仿宋_GB2312" w:eastAsia="仿宋_GB2312"/>
          <w:sz w:val="32"/>
        </w:rPr>
        <w:t>（1）贯彻执行国家、自治区金融工作法律法规和方针政策，督促金融机构落实州党委、政府相关决议、决定和重要部署，引导各类金融机构为地方经济建设提供金融服务和支持。</w:t>
      </w:r>
    </w:p>
    <w:p w14:paraId="79719E0E">
      <w:pPr>
        <w:spacing w:line="580" w:lineRule="exact"/>
        <w:ind w:firstLine="640"/>
        <w:jc w:val="both"/>
      </w:pPr>
      <w:r>
        <w:rPr>
          <w:rFonts w:ascii="仿宋_GB2312" w:hAnsi="仿宋_GB2312" w:eastAsia="仿宋_GB2312"/>
          <w:sz w:val="32"/>
        </w:rPr>
        <w:t>（2）研究分析经济和金融运行形势、国家金融政策、金融发展改革创新方向，引导、鼓励和支持各类金融机构改革创新、拓展业务。指导和推进引进金融机构工作。</w:t>
      </w:r>
    </w:p>
    <w:p w14:paraId="5B30EA1C">
      <w:pPr>
        <w:spacing w:line="580" w:lineRule="exact"/>
        <w:ind w:firstLine="640"/>
        <w:jc w:val="both"/>
      </w:pPr>
      <w:r>
        <w:rPr>
          <w:rFonts w:ascii="仿宋_GB2312" w:hAnsi="仿宋_GB2312" w:eastAsia="仿宋_GB2312"/>
          <w:sz w:val="32"/>
        </w:rPr>
        <w:t>（3）协调组织防范和处置非法集资、防范化解互联网金融行业风险，协调组织处置地方金融风险和突发事件，维护地方金融安全。</w:t>
      </w:r>
    </w:p>
    <w:p w14:paraId="76AA2456">
      <w:pPr>
        <w:spacing w:line="580" w:lineRule="exact"/>
        <w:ind w:firstLine="640"/>
        <w:jc w:val="both"/>
      </w:pPr>
      <w:r>
        <w:rPr>
          <w:rFonts w:ascii="仿宋_GB2312" w:hAnsi="仿宋_GB2312" w:eastAsia="仿宋_GB2312"/>
          <w:sz w:val="32"/>
        </w:rPr>
        <w:t>（4）加强同金融监管部门及各类驻州金融机构的业务联系和信息交流，牵头建立金融机构与政府的沟通协调机制,协调解决金融业发展中应由地方解决的矛盾和问题。</w:t>
      </w:r>
    </w:p>
    <w:p w14:paraId="12FEA046">
      <w:pPr>
        <w:spacing w:line="580" w:lineRule="exact"/>
        <w:ind w:firstLine="640"/>
        <w:jc w:val="both"/>
      </w:pPr>
      <w:r>
        <w:rPr>
          <w:rFonts w:ascii="仿宋_GB2312" w:hAnsi="仿宋_GB2312" w:eastAsia="仿宋_GB2312"/>
          <w:sz w:val="32"/>
        </w:rPr>
        <w:t>（5）会同有关部门推进地方金融机构的改革重组、股权变更、风险评估等改革实施工作，协调农村金融改革发展工作，参与推动新型农村金融组织发展。</w:t>
      </w:r>
    </w:p>
    <w:p w14:paraId="1CB9FAAC">
      <w:pPr>
        <w:spacing w:line="580" w:lineRule="exact"/>
        <w:ind w:firstLine="640"/>
        <w:jc w:val="both"/>
      </w:pPr>
      <w:r>
        <w:rPr>
          <w:rFonts w:ascii="仿宋_GB2312" w:hAnsi="仿宋_GB2312" w:eastAsia="仿宋_GB2312"/>
          <w:sz w:val="32"/>
        </w:rPr>
        <w:t>（6）根据国家、自治区有关规定，负责对小额贷款公司、融资担保公司、区域性股权市场、典当行、融资租赁公司、商业保理公司、地方资产管理公司、投资公司、开展信用互助的农民专业合作社、社会众筹机构、地方各类交易场所设立、变更审核</w:t>
      </w:r>
      <w:r>
        <w:rPr>
          <w:rFonts w:hint="eastAsia" w:ascii="仿宋_GB2312" w:hAnsi="仿宋_GB2312" w:eastAsia="仿宋_GB2312"/>
          <w:sz w:val="32"/>
          <w:lang w:eastAsia="zh-CN"/>
        </w:rPr>
        <w:t>等</w:t>
      </w:r>
      <w:r>
        <w:rPr>
          <w:rFonts w:ascii="仿宋_GB2312" w:hAnsi="仿宋_GB2312" w:eastAsia="仿宋_GB2312"/>
          <w:sz w:val="32"/>
        </w:rPr>
        <w:t>相关监督管理工作。</w:t>
      </w:r>
    </w:p>
    <w:p w14:paraId="52FC6786">
      <w:pPr>
        <w:spacing w:line="580" w:lineRule="exact"/>
        <w:ind w:firstLine="640"/>
        <w:jc w:val="both"/>
      </w:pPr>
      <w:r>
        <w:rPr>
          <w:rFonts w:ascii="仿宋_GB2312" w:hAnsi="仿宋_GB2312" w:eastAsia="仿宋_GB2312"/>
          <w:sz w:val="32"/>
        </w:rPr>
        <w:t>（7）负责推进自治州企业上市工作。提出支持企业上市发展的政策建议；负责后备上市企业的筛选、培育、服务和推荐工作；督促落实区、州企业上市发展有关政策，协调解决企业上市有关问题；承担自治州企业上市推进领导小组办公室的日常工作。</w:t>
      </w:r>
    </w:p>
    <w:p w14:paraId="5FF61FA0">
      <w:pPr>
        <w:spacing w:line="580" w:lineRule="exact"/>
        <w:ind w:firstLine="640"/>
        <w:jc w:val="both"/>
      </w:pPr>
      <w:r>
        <w:rPr>
          <w:rFonts w:ascii="仿宋_GB2312" w:hAnsi="仿宋_GB2312" w:eastAsia="仿宋_GB2312"/>
          <w:sz w:val="32"/>
        </w:rPr>
        <w:t>（8）承办自治州人民政府交办的其他事项。</w:t>
      </w:r>
    </w:p>
    <w:p w14:paraId="799D9C0C">
      <w:pPr>
        <w:spacing w:line="640" w:lineRule="exact"/>
        <w:ind w:firstLine="640"/>
        <w:jc w:val="both"/>
        <w:outlineLvl w:val="2"/>
      </w:pPr>
      <w:r>
        <w:rPr>
          <w:rFonts w:ascii="黑体" w:hAnsi="黑体" w:eastAsia="黑体"/>
          <w:sz w:val="32"/>
        </w:rPr>
        <w:t>二、机构设置及人员情况</w:t>
      </w:r>
    </w:p>
    <w:p w14:paraId="4AE2C909">
      <w:pPr>
        <w:spacing w:line="580" w:lineRule="exact"/>
        <w:ind w:firstLine="640"/>
        <w:jc w:val="both"/>
      </w:pPr>
      <w:r>
        <w:rPr>
          <w:rFonts w:ascii="仿宋_GB2312" w:hAnsi="仿宋_GB2312" w:eastAsia="仿宋_GB2312"/>
          <w:sz w:val="32"/>
        </w:rPr>
        <w:t>昌吉回族自治州金融工作办公室2024年度，实有人数10人，其中：在职人员8人，减少1人；离休人员0人，增加0人；退休人员2人,增加0人。</w:t>
      </w:r>
    </w:p>
    <w:p w14:paraId="3F2CBD12">
      <w:pPr>
        <w:spacing w:line="580" w:lineRule="exact"/>
        <w:ind w:firstLine="640"/>
        <w:jc w:val="both"/>
      </w:pPr>
      <w:r>
        <w:rPr>
          <w:rFonts w:ascii="仿宋_GB2312" w:hAnsi="仿宋_GB2312" w:eastAsia="仿宋_GB2312"/>
          <w:sz w:val="32"/>
        </w:rPr>
        <w:t>昌吉回族自治州金融工作办公室无下属预算单位，下设3个科室，分别是：金融科、企业科、综合科。</w:t>
      </w:r>
    </w:p>
    <w:p w14:paraId="5D4E775A">
      <w:r>
        <w:br w:type="page"/>
      </w:r>
    </w:p>
    <w:p w14:paraId="47FC03DF">
      <w:pPr>
        <w:spacing w:line="240" w:lineRule="auto"/>
        <w:jc w:val="center"/>
        <w:outlineLvl w:val="1"/>
      </w:pPr>
      <w:r>
        <w:rPr>
          <w:rFonts w:ascii="黑体" w:hAnsi="黑体" w:eastAsia="黑体"/>
          <w:sz w:val="32"/>
        </w:rPr>
        <w:t>第二部分 部门决算情况说明</w:t>
      </w:r>
    </w:p>
    <w:p w14:paraId="3C2C6D36">
      <w:pPr>
        <w:spacing w:line="640" w:lineRule="exact"/>
        <w:ind w:firstLine="640"/>
        <w:jc w:val="both"/>
        <w:outlineLvl w:val="2"/>
      </w:pPr>
      <w:r>
        <w:rPr>
          <w:rFonts w:ascii="黑体" w:hAnsi="黑体" w:eastAsia="黑体"/>
          <w:sz w:val="32"/>
        </w:rPr>
        <w:t>一、收入支出决算总体情况说明</w:t>
      </w:r>
    </w:p>
    <w:p w14:paraId="1DCCB44D">
      <w:pPr>
        <w:spacing w:line="580" w:lineRule="exact"/>
        <w:ind w:firstLine="640"/>
        <w:jc w:val="both"/>
      </w:pPr>
      <w:r>
        <w:rPr>
          <w:rFonts w:ascii="仿宋_GB2312" w:hAnsi="仿宋_GB2312" w:eastAsia="仿宋_GB2312"/>
          <w:b/>
          <w:sz w:val="32"/>
        </w:rPr>
        <w:t>2024年度收入总计216.30万元，</w:t>
      </w:r>
      <w:r>
        <w:rPr>
          <w:rFonts w:ascii="仿宋_GB2312" w:hAnsi="仿宋_GB2312" w:eastAsia="仿宋_GB2312"/>
          <w:b w:val="0"/>
          <w:sz w:val="32"/>
        </w:rPr>
        <w:t>其中：本年收入合计215.43万元，使用非财政拨款结余（含专用结余）0.00万元，年初结转和结余0.87万元。</w:t>
      </w:r>
    </w:p>
    <w:p w14:paraId="46EAA48F">
      <w:pPr>
        <w:spacing w:line="580" w:lineRule="exact"/>
        <w:ind w:firstLine="640"/>
        <w:jc w:val="both"/>
      </w:pPr>
      <w:r>
        <w:rPr>
          <w:rFonts w:ascii="仿宋_GB2312" w:hAnsi="仿宋_GB2312" w:eastAsia="仿宋_GB2312"/>
          <w:b/>
          <w:sz w:val="32"/>
        </w:rPr>
        <w:t>2024年度支出总计216.30万元，</w:t>
      </w:r>
      <w:r>
        <w:rPr>
          <w:rFonts w:ascii="仿宋_GB2312" w:hAnsi="仿宋_GB2312" w:eastAsia="仿宋_GB2312"/>
          <w:b w:val="0"/>
          <w:sz w:val="32"/>
        </w:rPr>
        <w:t>其中：本年支出合计199.68万元，结余分配0.00万元，年末结转和结余16.62万元。</w:t>
      </w:r>
    </w:p>
    <w:p w14:paraId="27291384">
      <w:pPr>
        <w:spacing w:line="580" w:lineRule="exact"/>
        <w:ind w:firstLine="640"/>
        <w:jc w:val="both"/>
      </w:pPr>
      <w:r>
        <w:rPr>
          <w:rFonts w:ascii="仿宋_GB2312" w:hAnsi="仿宋_GB2312" w:eastAsia="仿宋_GB2312"/>
          <w:b w:val="0"/>
          <w:sz w:val="32"/>
        </w:rPr>
        <w:t>收入支出总体与上年相比，减少144.63万元，下降40.07%，主要原因是：本年在职人员减少，相关人员经费较上年减少；本年服务实体经济、金融风险防范项目资金较上年减少；“我从天山来”昌吉州重点企</w:t>
      </w:r>
      <w:r>
        <w:rPr>
          <w:rFonts w:hint="eastAsia" w:ascii="仿宋_GB2312" w:hAnsi="仿宋_GB2312" w:eastAsia="仿宋_GB2312"/>
          <w:b w:val="0"/>
          <w:sz w:val="32"/>
          <w:lang w:eastAsia="zh-CN"/>
        </w:rPr>
        <w:t>业金</w:t>
      </w:r>
      <w:r>
        <w:rPr>
          <w:rFonts w:ascii="仿宋_GB2312" w:hAnsi="仿宋_GB2312" w:eastAsia="仿宋_GB2312"/>
          <w:b w:val="0"/>
          <w:sz w:val="32"/>
        </w:rPr>
        <w:t>融投资及经营管理培训班、“我从天山来”昌吉州金融支持经济高质量发展培训班项目资金较上年减少，导致经费较上年减少。</w:t>
      </w:r>
    </w:p>
    <w:p w14:paraId="6AFFC0C6">
      <w:pPr>
        <w:spacing w:line="640" w:lineRule="exact"/>
        <w:ind w:firstLine="640"/>
        <w:jc w:val="both"/>
        <w:outlineLvl w:val="2"/>
      </w:pPr>
      <w:r>
        <w:rPr>
          <w:rFonts w:ascii="黑体" w:hAnsi="黑体" w:eastAsia="黑体"/>
          <w:sz w:val="32"/>
        </w:rPr>
        <w:t>二、收入决算情况说明</w:t>
      </w:r>
    </w:p>
    <w:p w14:paraId="639A5430">
      <w:pPr>
        <w:spacing w:line="580" w:lineRule="exact"/>
        <w:ind w:firstLine="640"/>
        <w:jc w:val="both"/>
      </w:pPr>
      <w:r>
        <w:rPr>
          <w:rFonts w:ascii="仿宋_GB2312" w:hAnsi="仿宋_GB2312" w:eastAsia="仿宋_GB2312"/>
          <w:b/>
          <w:sz w:val="32"/>
        </w:rPr>
        <w:t>本年收入215.43万元，</w:t>
      </w:r>
      <w:r>
        <w:rPr>
          <w:rFonts w:ascii="仿宋_GB2312" w:hAnsi="仿宋_GB2312" w:eastAsia="仿宋_GB2312"/>
          <w:b w:val="0"/>
          <w:sz w:val="32"/>
        </w:rPr>
        <w:t>其中：财政拨款收入191.80万元，占89.03%；上级补助收入0.00万元，占0.00%；事业收入0.00万元，占0.00%；经营收入0.00万元，占0.00%；附属单位上缴收入0.00万元，占0.00%；其他收入23.63万元，占10.97%。</w:t>
      </w:r>
    </w:p>
    <w:p w14:paraId="0BFDE8A6">
      <w:pPr>
        <w:spacing w:line="640" w:lineRule="exact"/>
        <w:ind w:firstLine="640"/>
        <w:jc w:val="both"/>
        <w:outlineLvl w:val="2"/>
      </w:pPr>
      <w:r>
        <w:rPr>
          <w:rFonts w:ascii="黑体" w:hAnsi="黑体" w:eastAsia="黑体"/>
          <w:sz w:val="32"/>
        </w:rPr>
        <w:t>三、支出决算情况说明</w:t>
      </w:r>
    </w:p>
    <w:p w14:paraId="3D08495F">
      <w:pPr>
        <w:spacing w:line="580" w:lineRule="exact"/>
        <w:ind w:firstLine="640"/>
        <w:jc w:val="both"/>
      </w:pPr>
      <w:r>
        <w:rPr>
          <w:rFonts w:ascii="仿宋_GB2312" w:hAnsi="仿宋_GB2312" w:eastAsia="仿宋_GB2312"/>
          <w:b/>
          <w:sz w:val="32"/>
        </w:rPr>
        <w:t>本年支出199.68万元，</w:t>
      </w:r>
      <w:r>
        <w:rPr>
          <w:rFonts w:ascii="仿宋_GB2312" w:hAnsi="仿宋_GB2312" w:eastAsia="仿宋_GB2312"/>
          <w:b w:val="0"/>
          <w:sz w:val="32"/>
        </w:rPr>
        <w:t>其中：基本支出170.63万元，占85.45%；项目支出29.06万元，占14.55%；上缴上级支出0.00万元，占0.00%；经营支出0.00万元，占0.00%；对附属单位补助支出0.00万元，占0.00%。</w:t>
      </w:r>
    </w:p>
    <w:p w14:paraId="6A6D5B2C">
      <w:pPr>
        <w:spacing w:line="640" w:lineRule="exact"/>
        <w:ind w:firstLine="640"/>
        <w:jc w:val="both"/>
        <w:outlineLvl w:val="2"/>
      </w:pPr>
      <w:r>
        <w:rPr>
          <w:rFonts w:ascii="黑体" w:hAnsi="黑体" w:eastAsia="黑体"/>
          <w:sz w:val="32"/>
        </w:rPr>
        <w:t>四、财政拨款收入支出决算总体情况说明</w:t>
      </w:r>
    </w:p>
    <w:p w14:paraId="76FE6C93">
      <w:pPr>
        <w:spacing w:line="580" w:lineRule="exact"/>
        <w:ind w:firstLine="640"/>
        <w:jc w:val="both"/>
      </w:pPr>
      <w:r>
        <w:rPr>
          <w:rFonts w:ascii="仿宋_GB2312" w:hAnsi="仿宋_GB2312" w:eastAsia="仿宋_GB2312"/>
          <w:b/>
          <w:sz w:val="32"/>
        </w:rPr>
        <w:t>2024年度财政拨款收入总计191.80万元，</w:t>
      </w:r>
      <w:r>
        <w:rPr>
          <w:rFonts w:ascii="仿宋_GB2312" w:hAnsi="仿宋_GB2312" w:eastAsia="仿宋_GB2312"/>
          <w:b w:val="0"/>
          <w:sz w:val="32"/>
        </w:rPr>
        <w:t>其中：年初财政拨款结转和结余0.00万元，本年财政拨款收入191.80万元。</w:t>
      </w:r>
      <w:r>
        <w:rPr>
          <w:rFonts w:ascii="仿宋_GB2312" w:hAnsi="仿宋_GB2312" w:eastAsia="仿宋_GB2312"/>
          <w:b/>
          <w:sz w:val="32"/>
        </w:rPr>
        <w:t>财政拨款支出总计191.80万元，</w:t>
      </w:r>
      <w:r>
        <w:rPr>
          <w:rFonts w:ascii="仿宋_GB2312" w:hAnsi="仿宋_GB2312" w:eastAsia="仿宋_GB2312"/>
          <w:b w:val="0"/>
          <w:sz w:val="32"/>
        </w:rPr>
        <w:t>其中：年末财政拨款结转和结余0.00万元，本年财政拨款支出191.80万元。</w:t>
      </w:r>
    </w:p>
    <w:p w14:paraId="53FE0219">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减少103.77万元，下降35.11%，主要原因是：本年在职人员减少，相关人员经费较上年减少；本年服务实体经济、金融风险防范项目资金较上年减少，导致经费较上年减少。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年初预算数221.34万元，决算数191.80万元，预决算差异率-13.35%，主要原因是：本年在职人员减少，年中调减人员经费；年中调减服务实体经济、金融风险防范项目资金，导致预决算存在差异。</w:t>
      </w:r>
    </w:p>
    <w:p w14:paraId="6335CFAD">
      <w:pPr>
        <w:spacing w:line="640" w:lineRule="exact"/>
        <w:ind w:firstLine="640"/>
        <w:jc w:val="both"/>
        <w:outlineLvl w:val="2"/>
      </w:pPr>
      <w:r>
        <w:rPr>
          <w:rFonts w:ascii="黑体" w:hAnsi="黑体" w:eastAsia="黑体"/>
          <w:sz w:val="32"/>
        </w:rPr>
        <w:t>五、一般公共预算财政拨款支出决算情况说明</w:t>
      </w:r>
    </w:p>
    <w:p w14:paraId="20414B30">
      <w:pPr>
        <w:spacing w:line="640" w:lineRule="exact"/>
        <w:ind w:firstLine="640"/>
        <w:jc w:val="both"/>
        <w:outlineLvl w:val="3"/>
      </w:pPr>
      <w:r>
        <w:rPr>
          <w:rFonts w:ascii="楷体_GB2312" w:hAnsi="楷体_GB2312" w:eastAsia="楷体_GB2312"/>
          <w:b/>
          <w:sz w:val="32"/>
        </w:rPr>
        <w:t>（一）一般公共预算财政拨款支出决算总体情况</w:t>
      </w:r>
    </w:p>
    <w:p w14:paraId="5FC5F8B0">
      <w:pPr>
        <w:spacing w:line="580" w:lineRule="exact"/>
        <w:ind w:firstLine="640"/>
        <w:jc w:val="both"/>
      </w:pPr>
      <w:r>
        <w:rPr>
          <w:rFonts w:ascii="仿宋_GB2312" w:hAnsi="仿宋_GB2312" w:eastAsia="仿宋_GB2312"/>
          <w:b/>
          <w:sz w:val="32"/>
        </w:rPr>
        <w:t>2024年度一般公共预算财政拨款支出191.80万元，</w:t>
      </w:r>
      <w:r>
        <w:rPr>
          <w:rFonts w:ascii="仿宋_GB2312" w:hAnsi="仿宋_GB2312" w:eastAsia="仿宋_GB2312"/>
          <w:b w:val="0"/>
          <w:sz w:val="32"/>
        </w:rPr>
        <w:t>占本年支出合计的96.05%。</w:t>
      </w:r>
      <w:r>
        <w:rPr>
          <w:rFonts w:ascii="仿宋_GB2312" w:hAnsi="仿宋_GB2312" w:eastAsia="仿宋_GB2312"/>
          <w:b/>
          <w:sz w:val="32"/>
        </w:rPr>
        <w:t>与上年相比，</w:t>
      </w:r>
      <w:r>
        <w:rPr>
          <w:rFonts w:ascii="仿宋_GB2312" w:hAnsi="仿宋_GB2312" w:eastAsia="仿宋_GB2312"/>
          <w:b w:val="0"/>
          <w:sz w:val="32"/>
        </w:rPr>
        <w:t>减少103.77万元，下降35.11%，主要原因是：本年在职人员减少，相关人员经费较上年减少；本年服务实体经济、金融风险防范项目资金较上年减少，导致经费较上年减少。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年初预算数221.34万元，决算数191.80万元，预决算差异率-13.35%，主要原因是：本年在职人员减少，年中调减人员经费；年中调减服务实体经济、金融风险防范项目资金，导致预决算存在差异。</w:t>
      </w:r>
    </w:p>
    <w:p w14:paraId="33A5A1D3">
      <w:pPr>
        <w:spacing w:line="640" w:lineRule="exact"/>
        <w:ind w:firstLine="640"/>
        <w:jc w:val="both"/>
        <w:outlineLvl w:val="3"/>
      </w:pPr>
      <w:r>
        <w:rPr>
          <w:rFonts w:ascii="楷体_GB2312" w:hAnsi="楷体_GB2312" w:eastAsia="楷体_GB2312"/>
          <w:b/>
          <w:sz w:val="32"/>
        </w:rPr>
        <w:t>（二）一般公共预算财政拨款支出决算结构情况</w:t>
      </w:r>
    </w:p>
    <w:p w14:paraId="05879999">
      <w:pPr>
        <w:spacing w:line="580" w:lineRule="exact"/>
        <w:ind w:firstLine="640"/>
        <w:jc w:val="both"/>
      </w:pPr>
      <w:r>
        <w:rPr>
          <w:rFonts w:ascii="仿宋_GB2312" w:hAnsi="仿宋_GB2312" w:eastAsia="仿宋_GB2312"/>
          <w:b w:val="0"/>
          <w:sz w:val="32"/>
        </w:rPr>
        <w:t>1.一般公共服务支出(类)139.99万元,占72.99%。</w:t>
      </w:r>
    </w:p>
    <w:p w14:paraId="5C82A68E">
      <w:pPr>
        <w:spacing w:line="580" w:lineRule="exact"/>
        <w:ind w:firstLine="640"/>
        <w:jc w:val="both"/>
      </w:pPr>
      <w:r>
        <w:rPr>
          <w:rFonts w:ascii="仿宋_GB2312" w:hAnsi="仿宋_GB2312" w:eastAsia="仿宋_GB2312"/>
          <w:b w:val="0"/>
          <w:sz w:val="32"/>
        </w:rPr>
        <w:t>2.社会保障和就业支出(类)32.50万元,占16.94%。</w:t>
      </w:r>
    </w:p>
    <w:p w14:paraId="5647C8AF">
      <w:pPr>
        <w:spacing w:line="580" w:lineRule="exact"/>
        <w:ind w:firstLine="640"/>
        <w:jc w:val="both"/>
      </w:pPr>
      <w:r>
        <w:rPr>
          <w:rFonts w:ascii="仿宋_GB2312" w:hAnsi="仿宋_GB2312" w:eastAsia="仿宋_GB2312"/>
          <w:b w:val="0"/>
          <w:sz w:val="32"/>
        </w:rPr>
        <w:t>3.卫生健康支出(类)7.98万元,占4.16%。</w:t>
      </w:r>
    </w:p>
    <w:p w14:paraId="7319775A">
      <w:pPr>
        <w:spacing w:line="580" w:lineRule="exact"/>
        <w:ind w:firstLine="640"/>
        <w:jc w:val="both"/>
      </w:pPr>
      <w:r>
        <w:rPr>
          <w:rFonts w:ascii="仿宋_GB2312" w:hAnsi="仿宋_GB2312" w:eastAsia="仿宋_GB2312"/>
          <w:b w:val="0"/>
          <w:sz w:val="32"/>
        </w:rPr>
        <w:t>4.住房保障支出(类)11.33万元,占5.91%。</w:t>
      </w:r>
    </w:p>
    <w:p w14:paraId="3CE204A6">
      <w:pPr>
        <w:spacing w:line="640" w:lineRule="exact"/>
        <w:ind w:firstLine="640"/>
        <w:jc w:val="both"/>
        <w:outlineLvl w:val="3"/>
      </w:pPr>
      <w:r>
        <w:rPr>
          <w:rFonts w:ascii="楷体_GB2312" w:hAnsi="楷体_GB2312" w:eastAsia="楷体_GB2312"/>
          <w:b/>
          <w:sz w:val="32"/>
        </w:rPr>
        <w:t>（三）一般公共预算财政拨款支出决算具体情况</w:t>
      </w:r>
    </w:p>
    <w:p w14:paraId="1A444225">
      <w:pPr>
        <w:spacing w:line="580" w:lineRule="exact"/>
        <w:ind w:firstLine="640"/>
        <w:jc w:val="both"/>
      </w:pPr>
      <w:r>
        <w:rPr>
          <w:rFonts w:ascii="仿宋_GB2312" w:hAnsi="仿宋_GB2312" w:eastAsia="仿宋_GB2312"/>
          <w:b w:val="0"/>
          <w:sz w:val="32"/>
        </w:rPr>
        <w:t>1.一般公共服务支出(类)政府办公厅（室）及相关机构事务(款)一般行政管理事务(项):支出决算数为21.18万元，比上年决算减少24.73万元，下降53.87%,主要原因是：本年服务实体经济、金融风险防范项目资金较上年减少。</w:t>
      </w:r>
    </w:p>
    <w:p w14:paraId="75FEB43B">
      <w:pPr>
        <w:spacing w:line="580" w:lineRule="exact"/>
        <w:ind w:firstLine="640"/>
        <w:jc w:val="both"/>
      </w:pPr>
      <w:r>
        <w:rPr>
          <w:rFonts w:ascii="仿宋_GB2312" w:hAnsi="仿宋_GB2312" w:eastAsia="仿宋_GB2312"/>
          <w:b w:val="0"/>
          <w:sz w:val="32"/>
        </w:rPr>
        <w:t>2.一般公共服务支出(类)政府办公厅（室）及相关机构事务(款)事业运行(项):支出决算数为118.82万元，比上年决算减少54.92万元，下降31.61%,主要原因是：本年在职人员减少，相关人员经费较上年减少；本年减少印刷费、办公费、差旅费等，相应支出减少。</w:t>
      </w:r>
    </w:p>
    <w:p w14:paraId="130A3186">
      <w:pPr>
        <w:spacing w:line="580" w:lineRule="exact"/>
        <w:ind w:firstLine="640"/>
        <w:jc w:val="both"/>
      </w:pPr>
      <w:r>
        <w:rPr>
          <w:rFonts w:ascii="仿宋_GB2312" w:hAnsi="仿宋_GB2312" w:eastAsia="仿宋_GB2312"/>
          <w:b w:val="0"/>
          <w:sz w:val="32"/>
        </w:rPr>
        <w:t>3.社会保障和就业支出(类)行政事业单位养老支出(款)事业单位离退休(项):支出决算数为0.64万元，比上年决算增加0.64万元，增长100.00%,主要原因是：本年增加退休人员基础绩效奖，退休费支出增加。</w:t>
      </w:r>
    </w:p>
    <w:p w14:paraId="198160FD">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16.94万元，比上年决算减少3.77万元，下降18.20%,主要原因是：本年在职人员减少，单位基本养老保险缴费较上年减少。</w:t>
      </w:r>
    </w:p>
    <w:p w14:paraId="3534C5E4">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14.91万元，比上年决算减少13.38万元，下降47.30%,主要原因是：本年在职人员减少，单位职业年金缴费较上年减少。</w:t>
      </w:r>
    </w:p>
    <w:p w14:paraId="10E9F017">
      <w:pPr>
        <w:spacing w:line="580" w:lineRule="exact"/>
        <w:ind w:firstLine="640"/>
        <w:jc w:val="both"/>
      </w:pPr>
      <w:r>
        <w:rPr>
          <w:rFonts w:ascii="仿宋_GB2312" w:hAnsi="仿宋_GB2312" w:eastAsia="仿宋_GB2312"/>
          <w:b w:val="0"/>
          <w:sz w:val="32"/>
        </w:rPr>
        <w:t>6.卫生健康支出(类)行政事业单位医疗(款)事业单位医疗(项):支出决算数为7.45万元，比上年决算减少0.33万元，下降4.24%,主要原因是：本年在职人员减少，事业单位医疗缴费较上年减少。</w:t>
      </w:r>
    </w:p>
    <w:p w14:paraId="7CCC6201">
      <w:pPr>
        <w:spacing w:line="580" w:lineRule="exact"/>
        <w:ind w:firstLine="640"/>
        <w:jc w:val="both"/>
      </w:pPr>
      <w:r>
        <w:rPr>
          <w:rFonts w:ascii="仿宋_GB2312" w:hAnsi="仿宋_GB2312" w:eastAsia="仿宋_GB2312"/>
          <w:b w:val="0"/>
          <w:sz w:val="32"/>
        </w:rPr>
        <w:t>7.卫生健康支出(类)行政事业单位医疗(款)公务员医疗补助(项):支出决算数为0.47万元，比上年决算减少0.23万元，下降32.86%,主要原因是：本年在职人员减少，公务员医疗补助缴费较上年减少。</w:t>
      </w:r>
    </w:p>
    <w:p w14:paraId="5F5BCD7B">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8.卫生健康支出(类)行政事业单位医疗(款)其他行政事业单位医疗支出(项):支出决算数为0.07万元，比上年决算增加0.00万元，增长0.00%,主要原因是：本年其他行政事业单位医疗支出与上年一致，无变化。</w:t>
      </w:r>
    </w:p>
    <w:p w14:paraId="3CEB81BC">
      <w:pPr>
        <w:spacing w:line="580" w:lineRule="exact"/>
        <w:ind w:firstLine="640"/>
        <w:jc w:val="both"/>
      </w:pPr>
      <w:r>
        <w:rPr>
          <w:rFonts w:ascii="仿宋_GB2312" w:hAnsi="仿宋_GB2312" w:eastAsia="仿宋_GB2312"/>
          <w:b w:val="0"/>
          <w:sz w:val="32"/>
        </w:rPr>
        <w:t>9.住房保障支出(类)住房改革支出(款)住房公积金(项):支出决算数为11.33万元，比上年决算减少5.22万元，下降31.54%,主要原因是：本年在职人员减少，住房公积金缴费较上年减少。</w:t>
      </w:r>
    </w:p>
    <w:p w14:paraId="1054D3AC">
      <w:pPr>
        <w:spacing w:line="580" w:lineRule="exact"/>
        <w:ind w:firstLine="640"/>
        <w:jc w:val="both"/>
      </w:pPr>
      <w:r>
        <w:rPr>
          <w:rFonts w:ascii="仿宋_GB2312" w:hAnsi="仿宋_GB2312" w:eastAsia="仿宋_GB2312"/>
          <w:b w:val="0"/>
          <w:sz w:val="32"/>
        </w:rPr>
        <w:t>10.其他支出(类)其他支出(款)其他支出(项):支出决算数为0.00万元，比上年决算减少1.82万元，下降100.00%,主要原因是：本年度未安排</w:t>
      </w:r>
      <w:r>
        <w:rPr>
          <w:rFonts w:hint="eastAsia" w:ascii="仿宋_GB2312" w:hAnsi="仿宋_GB2312" w:eastAsia="仿宋_GB2312"/>
          <w:b w:val="0"/>
          <w:sz w:val="32"/>
          <w:lang w:val="en-US" w:eastAsia="zh-CN"/>
        </w:rPr>
        <w:t>为民办实事</w:t>
      </w:r>
      <w:r>
        <w:rPr>
          <w:rFonts w:ascii="仿宋_GB2312" w:hAnsi="仿宋_GB2312" w:eastAsia="仿宋_GB2312"/>
          <w:b w:val="0"/>
          <w:sz w:val="32"/>
        </w:rPr>
        <w:t>工作项目经费。</w:t>
      </w:r>
    </w:p>
    <w:p w14:paraId="575AD7DC">
      <w:pPr>
        <w:spacing w:line="640" w:lineRule="exact"/>
        <w:ind w:firstLine="640"/>
        <w:jc w:val="both"/>
        <w:outlineLvl w:val="2"/>
      </w:pPr>
      <w:r>
        <w:rPr>
          <w:rFonts w:ascii="黑体" w:hAnsi="黑体" w:eastAsia="黑体"/>
          <w:sz w:val="32"/>
        </w:rPr>
        <w:t>六、一般公共预算财政拨款基本支出决算情况说明</w:t>
      </w:r>
    </w:p>
    <w:p w14:paraId="709A7F2F">
      <w:pPr>
        <w:spacing w:line="580" w:lineRule="exact"/>
        <w:ind w:firstLine="640"/>
        <w:jc w:val="both"/>
      </w:pPr>
      <w:r>
        <w:rPr>
          <w:rFonts w:ascii="仿宋_GB2312" w:hAnsi="仿宋_GB2312" w:eastAsia="仿宋_GB2312"/>
          <w:b w:val="0"/>
          <w:sz w:val="32"/>
        </w:rPr>
        <w:t>2024年度一般公共预算财政拨款基本支出170.63万元，其中：</w:t>
      </w:r>
      <w:r>
        <w:rPr>
          <w:rFonts w:ascii="仿宋_GB2312" w:hAnsi="仿宋_GB2312" w:eastAsia="仿宋_GB2312"/>
          <w:b/>
          <w:sz w:val="32"/>
        </w:rPr>
        <w:t>人员经费160.76万元，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7DFB482C">
      <w:pPr>
        <w:spacing w:line="580" w:lineRule="exact"/>
        <w:ind w:firstLine="640"/>
        <w:jc w:val="both"/>
      </w:pPr>
      <w:r>
        <w:rPr>
          <w:rFonts w:ascii="仿宋_GB2312" w:hAnsi="仿宋_GB2312" w:eastAsia="仿宋_GB2312"/>
          <w:b/>
          <w:sz w:val="32"/>
        </w:rPr>
        <w:t>公用经费9.86万元，</w:t>
      </w:r>
      <w:r>
        <w:rPr>
          <w:rFonts w:ascii="仿宋_GB2312" w:hAnsi="仿宋_GB2312" w:eastAsia="仿宋_GB2312"/>
          <w:b w:val="0"/>
          <w:sz w:val="32"/>
        </w:rPr>
        <w:t>包括：办公费、邮电费、差旅费、公务接待费、劳务费、工会经费、福利费、公务用车运行维护费、其他商品和服务支出。</w:t>
      </w:r>
    </w:p>
    <w:p w14:paraId="3AEE6BEF">
      <w:pPr>
        <w:spacing w:line="640" w:lineRule="exact"/>
        <w:ind w:firstLine="640"/>
        <w:jc w:val="both"/>
        <w:outlineLvl w:val="2"/>
      </w:pPr>
      <w:r>
        <w:rPr>
          <w:rFonts w:ascii="黑体" w:hAnsi="黑体" w:eastAsia="黑体"/>
          <w:sz w:val="32"/>
        </w:rPr>
        <w:t>七、政府性基金预算财政拨款收入支出决算情况说明</w:t>
      </w:r>
    </w:p>
    <w:p w14:paraId="4DD920E2">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282640D">
      <w:pPr>
        <w:spacing w:line="640" w:lineRule="exact"/>
        <w:ind w:firstLine="640"/>
        <w:jc w:val="both"/>
        <w:outlineLvl w:val="2"/>
      </w:pPr>
      <w:r>
        <w:rPr>
          <w:rFonts w:ascii="黑体" w:hAnsi="黑体" w:eastAsia="黑体"/>
          <w:sz w:val="32"/>
        </w:rPr>
        <w:t>八、国有资本经营预算财政拨款收入支出决算情况说明</w:t>
      </w:r>
    </w:p>
    <w:p w14:paraId="4E3855A8">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82D39D6">
      <w:pPr>
        <w:spacing w:line="640" w:lineRule="exact"/>
        <w:ind w:firstLine="640"/>
        <w:jc w:val="both"/>
        <w:outlineLvl w:val="2"/>
      </w:pPr>
      <w:r>
        <w:rPr>
          <w:rFonts w:ascii="黑体" w:hAnsi="黑体" w:eastAsia="黑体"/>
          <w:sz w:val="32"/>
        </w:rPr>
        <w:t>九、财政拨款“三公”经费支出决算情况说明</w:t>
      </w:r>
    </w:p>
    <w:p w14:paraId="3C89AF07">
      <w:pPr>
        <w:spacing w:line="580" w:lineRule="exact"/>
        <w:ind w:firstLine="640"/>
        <w:jc w:val="both"/>
      </w:pPr>
      <w:r>
        <w:rPr>
          <w:rFonts w:ascii="仿宋_GB2312" w:hAnsi="仿宋_GB2312" w:eastAsia="仿宋_GB2312"/>
          <w:b/>
          <w:sz w:val="32"/>
        </w:rPr>
        <w:t>2024年度财政拨款“三公”经费支出5.41万元，</w:t>
      </w:r>
      <w:r>
        <w:rPr>
          <w:rFonts w:ascii="仿宋_GB2312" w:hAnsi="仿宋_GB2312" w:eastAsia="仿宋_GB2312"/>
          <w:b w:val="0"/>
          <w:sz w:val="32"/>
        </w:rPr>
        <w:t>比上年增加3.28万元，增长153.99%，主要原因是：本单位公务用车日渐老化，维修维护成本增加，导致公务用车运行维护费较上年增加。其中：因公出国（境）费支出0.00万元，占0.00%，比上年增加0.00万元，增长0.00%，主要原因是：2023年与2024年均未安排因公出国（境）费支出。公务用车购置及运行维护费支出5.36万元，占99.08%，比上年增加3.36万元，增长168.00%，主要原因是：本单位公务用车日渐老化，维修维护成本增加，导致公务用车运行维护费较上年增加。公务接待费支出0.05万元，占0.92%，比上年减少0.08万元，下降61.54%，主要原因是：采取有效措施加强公务接待管理，严格控制公务接待活动，认真执行经费开支标准。</w:t>
      </w:r>
    </w:p>
    <w:p w14:paraId="68B1AE5C">
      <w:pPr>
        <w:spacing w:line="580" w:lineRule="exact"/>
        <w:ind w:firstLine="640"/>
        <w:jc w:val="both"/>
      </w:pPr>
      <w:r>
        <w:rPr>
          <w:rFonts w:ascii="仿宋_GB2312" w:hAnsi="仿宋_GB2312" w:eastAsia="仿宋_GB2312"/>
          <w:b/>
          <w:sz w:val="32"/>
        </w:rPr>
        <w:t>具体情况如下：</w:t>
      </w:r>
    </w:p>
    <w:p w14:paraId="0475CE8D">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6CC620A">
      <w:pPr>
        <w:spacing w:line="580" w:lineRule="exact"/>
        <w:ind w:firstLine="640"/>
        <w:jc w:val="both"/>
      </w:pPr>
      <w:r>
        <w:rPr>
          <w:rFonts w:ascii="仿宋_GB2312" w:hAnsi="仿宋_GB2312" w:eastAsia="仿宋_GB2312"/>
          <w:b w:val="0"/>
          <w:sz w:val="32"/>
        </w:rPr>
        <w:t>公务用车购置及运行维护费5.36万元，其中：公务用车购置费0.00万元，公务用车运行维护费5.36万元。公务用车运行维护费开支内容包括车辆加油费、维修费、保险费、审车费、过路费。公务用车购置数0辆，公务用车保有量1辆。国有资产占用情况中固定资产车辆0辆，与公务用车保有量差异原因是：借用其他单位车辆，车辆费用由本单位支付。</w:t>
      </w:r>
    </w:p>
    <w:p w14:paraId="7F1A7EBE">
      <w:pPr>
        <w:spacing w:line="580" w:lineRule="exact"/>
        <w:ind w:firstLine="640"/>
        <w:jc w:val="both"/>
      </w:pPr>
      <w:r>
        <w:rPr>
          <w:rFonts w:ascii="仿宋_GB2312" w:hAnsi="仿宋_GB2312" w:eastAsia="仿宋_GB2312"/>
          <w:b w:val="0"/>
          <w:sz w:val="32"/>
        </w:rPr>
        <w:t>公务接待费0.05万元，开支内容包括因加强金融工作相互协作，接待调研考察工作组产生的就餐费。单位全年安排的国内公务接待1批次，8人次。</w:t>
      </w:r>
    </w:p>
    <w:p w14:paraId="33F91353">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5.41万元，决算数5.41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5.36万元，决算数5.36万元，预决算差异率0.00%，主要原因是：严格按照预算执行，预决算无差异。公务接待费全年预算数0.05万元，决算数0.05万元，预决算差异率0.00%，主要原因是：严格按照预算执行，预决算无差异。</w:t>
      </w:r>
    </w:p>
    <w:p w14:paraId="013A8E50">
      <w:pPr>
        <w:spacing w:line="640" w:lineRule="exact"/>
        <w:ind w:firstLine="640"/>
        <w:jc w:val="both"/>
        <w:outlineLvl w:val="2"/>
      </w:pPr>
      <w:r>
        <w:rPr>
          <w:rFonts w:ascii="黑体" w:hAnsi="黑体" w:eastAsia="黑体"/>
          <w:sz w:val="32"/>
        </w:rPr>
        <w:t>十、其他重要事项的情况说明</w:t>
      </w:r>
    </w:p>
    <w:p w14:paraId="24D7FA45">
      <w:pPr>
        <w:spacing w:line="640" w:lineRule="exact"/>
        <w:ind w:firstLine="640"/>
        <w:jc w:val="both"/>
        <w:outlineLvl w:val="3"/>
      </w:pPr>
      <w:r>
        <w:rPr>
          <w:rFonts w:ascii="楷体_GB2312" w:hAnsi="楷体_GB2312" w:eastAsia="楷体_GB2312"/>
          <w:b/>
          <w:sz w:val="32"/>
        </w:rPr>
        <w:t>（一）机关运行经费及公用经费支出情况</w:t>
      </w:r>
    </w:p>
    <w:p w14:paraId="54282F82">
      <w:pPr>
        <w:spacing w:line="580" w:lineRule="exact"/>
        <w:ind w:firstLine="640"/>
        <w:jc w:val="both"/>
      </w:pPr>
      <w:r>
        <w:rPr>
          <w:rFonts w:ascii="仿宋_GB2312" w:hAnsi="仿宋_GB2312" w:eastAsia="仿宋_GB2312"/>
          <w:b w:val="0"/>
          <w:sz w:val="32"/>
        </w:rPr>
        <w:t>2024年度昌吉回族自治州金融工作办公室（事业单位）公用经费支出9.86万元，比上年减少4.36万元，下降30.66%，主要原因是：严格控制公用经费，合理节约办公用品，减少不必要开支。</w:t>
      </w:r>
    </w:p>
    <w:p w14:paraId="0C42A487">
      <w:pPr>
        <w:spacing w:line="640" w:lineRule="exact"/>
        <w:ind w:firstLine="640"/>
        <w:jc w:val="both"/>
        <w:outlineLvl w:val="3"/>
      </w:pPr>
      <w:r>
        <w:rPr>
          <w:rFonts w:ascii="楷体_GB2312" w:hAnsi="楷体_GB2312" w:eastAsia="楷体_GB2312"/>
          <w:b/>
          <w:sz w:val="32"/>
        </w:rPr>
        <w:t>（二）政府采购情况</w:t>
      </w:r>
    </w:p>
    <w:p w14:paraId="33F9ED36">
      <w:pPr>
        <w:spacing w:line="580" w:lineRule="exact"/>
        <w:ind w:firstLine="640"/>
        <w:jc w:val="both"/>
      </w:pPr>
      <w:r>
        <w:rPr>
          <w:rFonts w:ascii="仿宋_GB2312" w:hAnsi="仿宋_GB2312" w:eastAsia="仿宋_GB2312"/>
          <w:b w:val="0"/>
          <w:sz w:val="32"/>
        </w:rPr>
        <w:t>2024年度政府采购支出总额19.87万元，其中：政府采购货物支出1.93万元、政府采购工程支出0.00万元、政府采购服务支出17.95万元。</w:t>
      </w:r>
    </w:p>
    <w:p w14:paraId="1CA6F6C4">
      <w:pPr>
        <w:spacing w:line="580" w:lineRule="exact"/>
        <w:ind w:firstLine="640"/>
        <w:jc w:val="both"/>
      </w:pPr>
      <w:r>
        <w:rPr>
          <w:rFonts w:ascii="仿宋_GB2312" w:hAnsi="仿宋_GB2312" w:eastAsia="仿宋_GB2312"/>
          <w:b w:val="0"/>
          <w:sz w:val="32"/>
        </w:rPr>
        <w:t>授予中小企业合同金额19.87万元，占政府采购支出总额的100.00%，其中：授予小微企业合同金额19.87万元，占政府采购支出总额的100.00%。</w:t>
      </w:r>
    </w:p>
    <w:p w14:paraId="59861FF8">
      <w:pPr>
        <w:spacing w:line="640" w:lineRule="exact"/>
        <w:ind w:firstLine="640"/>
        <w:jc w:val="both"/>
        <w:outlineLvl w:val="3"/>
      </w:pPr>
      <w:r>
        <w:rPr>
          <w:rFonts w:ascii="楷体_GB2312" w:hAnsi="楷体_GB2312" w:eastAsia="楷体_GB2312"/>
          <w:b/>
          <w:sz w:val="32"/>
        </w:rPr>
        <w:t>（三）国有资产占用情况说明</w:t>
      </w:r>
    </w:p>
    <w:p w14:paraId="303A402B">
      <w:pPr>
        <w:spacing w:line="580" w:lineRule="exact"/>
        <w:ind w:firstLine="640"/>
        <w:jc w:val="both"/>
      </w:pPr>
      <w:r>
        <w:rPr>
          <w:rFonts w:ascii="仿宋_GB2312" w:hAnsi="仿宋_GB2312" w:eastAsia="仿宋_GB2312"/>
          <w:b w:val="0"/>
          <w:sz w:val="32"/>
        </w:rPr>
        <w:t>截至2024年1</w:t>
      </w:r>
      <w:bookmarkStart w:id="0" w:name="_GoBack"/>
      <w:r>
        <w:rPr>
          <w:rFonts w:ascii="仿宋_GB2312" w:hAnsi="仿宋_GB2312" w:eastAsia="仿宋_GB2312"/>
          <w:b w:val="0"/>
          <w:sz w:val="32"/>
        </w:rPr>
        <w:t>2月31日</w:t>
      </w:r>
      <w:bookmarkEnd w:id="0"/>
      <w:r>
        <w:rPr>
          <w:rFonts w:ascii="仿宋_GB2312" w:hAnsi="仿宋_GB2312" w:eastAsia="仿宋_GB2312"/>
          <w:b w:val="0"/>
          <w:sz w:val="32"/>
        </w:rPr>
        <w:t>，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w:t>
      </w:r>
      <w:r>
        <w:rPr>
          <w:rFonts w:hint="eastAsia" w:ascii="仿宋_GB2312" w:hAnsi="仿宋_GB2312" w:eastAsia="仿宋_GB2312"/>
          <w:b w:val="0"/>
          <w:sz w:val="32"/>
          <w:lang w:eastAsia="zh-CN"/>
        </w:rPr>
        <w:t>本单位</w:t>
      </w:r>
      <w:r>
        <w:rPr>
          <w:rFonts w:ascii="仿宋_GB2312" w:hAnsi="仿宋_GB2312" w:eastAsia="仿宋_GB2312"/>
          <w:b w:val="0"/>
          <w:sz w:val="32"/>
        </w:rPr>
        <w:t>无其他用车。单价100万元（含）以上设备（不含车辆）0台（套）。</w:t>
      </w:r>
    </w:p>
    <w:p w14:paraId="573FB735">
      <w:pPr>
        <w:spacing w:line="640" w:lineRule="exact"/>
        <w:ind w:firstLine="640"/>
        <w:jc w:val="both"/>
        <w:outlineLvl w:val="2"/>
      </w:pPr>
      <w:r>
        <w:rPr>
          <w:rFonts w:ascii="黑体" w:hAnsi="黑体" w:eastAsia="黑体"/>
          <w:sz w:val="32"/>
        </w:rPr>
        <w:t>十一、预算绩效的情况说明</w:t>
      </w:r>
    </w:p>
    <w:p w14:paraId="02F0FC06">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199.68万元，实际执行总额199.68万元；预算绩效评价项目2个，全年预算数30.56万元，全年执行数30.56万元。预算绩效管理取得的成效：2024年以来，州金融办紧紧围绕自治州党委、政府决策部署，持续优化提升金融服务质效，不断增强金融服务实体经济能力，巩固和扩大金融改革成效，加大金融风险防范和处置力度，主要金融指标持续向好，为自治州高质量发展提供了有力的金融服务。（一）推动地方中小金融机构风险化解。一是高位推动，明确昌吉市榆树沟镇民心农村资金互助社改革化险路径。州、市政府共召开推进会议六次，专题调研五次，积极推动昌吉农商行吸收合并资金互助社的改革化险工作。二是压实县市风险处置属地责任，督促阜康市、奇台县制定风险化解处置方案，推动辖区村镇银行履行化险主体责任，加强内控管理，提高经营效能，提升资产质量。三是加强与金融监管部门的对接协调，持续跟进地方法人银行经营状况，做好风险研判和监测预警。目前，昌吉农商行与资金互助社就尽职调查工作仍在协商；阜康津汇村镇银行整体风险可控，年底有望退出高风险边缘机构名单；奇台利丰村镇银行主要监管指标逐步好转，争取年底风险等级降低。（二）加强地方金融组织监管服务。一是强化日常数据监测和风险识别，按月、季报送监管报表及专项报表。开展小额贷款、融资担保、典当行年审工作，对全州28家机构进行全覆盖现场检查，完成监管评级初审意见报自治区审定，推进分类分级监管。二是开展地方金融组织常态化扫黑除恶整治工作，畅通涉黑涉恶线索举报渠道，建立举报台账，目前未收到相关线索。采取约谈、限期整改等方式化解风险隐患。截至目前，已约谈3家机构，对业务合规经营方面提出了要求，督促其加快整改进度。联合市场监管、网信等部门开展“伪金交所”专项排查，联合县市监管部门对融资租赁公司开展合规检查，截至目前，地方金融组织整体风险可控。发现的问题及原因：（一）资金互助社吸收合并问题。昌吉农商行与昌吉市榆树沟镇民心农村资金互助社就吸收合并内容及工作流程出现意见分歧，协商一致难度较大，改革化险工作推进缓慢。(二)涉非案件资产清退难度极大。昌吉州涉非案件查扣冻资产多以土地、房屋等不动产为主，资产变现难度大，易引发信访矛盾风险隐患。下一步改进措施：（一）持续推动中小金融机构改革化险工作。会同监管部门加强政策指导和督促力度，积极推进昌吉农商行吸收合并昌吉市榆树沟镇民心农村资金互助社，力争2025年完成互助社改革。督促县市履行风险处置属地责任，协助阜康津汇、奇台利丰村镇银行化险工作，压实机构主体责任，逐步退出高风险边缘机构名单。（二）持续加强地方金融组织监管和风险防范。按照自治区统一部署，开展地方金融组织规范整治工作，全面摸排辖区各类地方金融组织风险底数，按照“规范一批，清理一批，转型一批”的方针，稳妥有序推进分类处置。严格地方金融组织准入退出管理，治理行业乱象，加强消费者保护，提升监管质效。具体附整体支出绩效自评表，项目支出绩效自评表和评价报告。</w:t>
      </w:r>
    </w:p>
    <w:p w14:paraId="1353F3BE">
      <w:r>
        <w:br w:type="page"/>
      </w:r>
    </w:p>
    <w:tbl>
      <w:tblPr>
        <w:tblStyle w:val="9"/>
        <w:tblW w:w="0" w:type="auto"/>
        <w:tblInd w:w="0" w:type="dxa"/>
        <w:tblLayout w:type="autofit"/>
        <w:tblCellMar>
          <w:top w:w="0" w:type="dxa"/>
          <w:left w:w="108" w:type="dxa"/>
          <w:bottom w:w="0" w:type="dxa"/>
          <w:right w:w="108" w:type="dxa"/>
        </w:tblCellMar>
      </w:tblPr>
      <w:tblGrid>
        <w:gridCol w:w="960"/>
        <w:gridCol w:w="952"/>
        <w:gridCol w:w="932"/>
        <w:gridCol w:w="968"/>
        <w:gridCol w:w="968"/>
        <w:gridCol w:w="1416"/>
        <w:gridCol w:w="952"/>
        <w:gridCol w:w="960"/>
        <w:gridCol w:w="952"/>
      </w:tblGrid>
      <w:tr w14:paraId="11DD6518">
        <w:tblPrEx>
          <w:tblCellMar>
            <w:top w:w="0" w:type="dxa"/>
            <w:left w:w="108" w:type="dxa"/>
            <w:bottom w:w="0" w:type="dxa"/>
            <w:right w:w="108" w:type="dxa"/>
          </w:tblCellMar>
        </w:tblPrEx>
        <w:tc>
          <w:tcPr>
            <w:tcW w:w="8847" w:type="dxa"/>
            <w:gridSpan w:val="9"/>
            <w:vAlign w:val="center"/>
          </w:tcPr>
          <w:p w14:paraId="7C78C9D4">
            <w:pPr>
              <w:jc w:val="center"/>
            </w:pPr>
            <w:r>
              <w:rPr>
                <w:rFonts w:ascii="宋体" w:hAnsi="宋体" w:eastAsia="宋体"/>
                <w:sz w:val="24"/>
              </w:rPr>
              <w:t>单位整体支出绩效自评表</w:t>
            </w:r>
          </w:p>
        </w:tc>
      </w:tr>
      <w:tr w14:paraId="3BDECA8A">
        <w:tblPrEx>
          <w:tblCellMar>
            <w:top w:w="0" w:type="dxa"/>
            <w:left w:w="108" w:type="dxa"/>
            <w:bottom w:w="0" w:type="dxa"/>
            <w:right w:w="108" w:type="dxa"/>
          </w:tblCellMar>
        </w:tblPrEx>
        <w:tc>
          <w:tcPr>
            <w:tcW w:w="8847" w:type="dxa"/>
            <w:gridSpan w:val="9"/>
            <w:vAlign w:val="center"/>
          </w:tcPr>
          <w:p w14:paraId="4F3FAFDD">
            <w:pPr>
              <w:jc w:val="center"/>
            </w:pPr>
            <w:r>
              <w:rPr>
                <w:rFonts w:ascii="宋体" w:hAnsi="宋体" w:eastAsia="宋体"/>
                <w:sz w:val="24"/>
              </w:rPr>
              <w:t>（2024年度）</w:t>
            </w:r>
          </w:p>
        </w:tc>
      </w:tr>
      <w:tr w14:paraId="4173FD6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814F9F">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FD2D9A3">
            <w:pPr>
              <w:jc w:val="center"/>
            </w:pPr>
            <w:r>
              <w:rPr>
                <w:rFonts w:ascii="宋体" w:hAnsi="宋体" w:eastAsia="宋体"/>
                <w:sz w:val="16"/>
              </w:rPr>
              <w:t>昌吉回族自治州金融工作办公室</w:t>
            </w:r>
          </w:p>
        </w:tc>
      </w:tr>
      <w:tr w14:paraId="1A492E3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B42417">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00EA9">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34BD1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07C9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C3284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4ECC8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D7752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84FF07">
            <w:pPr>
              <w:jc w:val="center"/>
            </w:pPr>
            <w:r>
              <w:rPr>
                <w:rFonts w:ascii="宋体" w:hAnsi="宋体" w:eastAsia="宋体"/>
                <w:sz w:val="16"/>
              </w:rPr>
              <w:t>得分</w:t>
            </w:r>
          </w:p>
        </w:tc>
      </w:tr>
      <w:tr w14:paraId="12E85C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20968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15C6D">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569D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50247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FB304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E2A95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01AA2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816C73">
            <w:pPr>
              <w:jc w:val="center"/>
            </w:pPr>
            <w:r>
              <w:rPr>
                <w:rFonts w:ascii="宋体" w:hAnsi="宋体" w:eastAsia="宋体"/>
                <w:sz w:val="16"/>
              </w:rPr>
              <w:t>-</w:t>
            </w:r>
          </w:p>
        </w:tc>
      </w:tr>
      <w:tr w14:paraId="2830461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2F657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E64FE">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81470">
            <w:pPr>
              <w:jc w:val="center"/>
            </w:pPr>
            <w:r>
              <w:rPr>
                <w:rFonts w:ascii="宋体" w:hAnsi="宋体" w:eastAsia="宋体"/>
                <w:sz w:val="16"/>
              </w:rPr>
              <w:t>221.34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2A776C">
            <w:pPr>
              <w:jc w:val="center"/>
            </w:pPr>
            <w:r>
              <w:rPr>
                <w:rFonts w:ascii="宋体" w:hAnsi="宋体" w:eastAsia="宋体"/>
                <w:sz w:val="16"/>
              </w:rPr>
              <w:t>191.80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417338">
            <w:pPr>
              <w:jc w:val="center"/>
            </w:pPr>
            <w:r>
              <w:rPr>
                <w:rFonts w:ascii="宋体" w:hAnsi="宋体" w:eastAsia="宋体"/>
                <w:sz w:val="16"/>
              </w:rPr>
              <w:t>191.80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6F68B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0F7D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116F96">
            <w:pPr>
              <w:jc w:val="center"/>
            </w:pPr>
            <w:r>
              <w:rPr>
                <w:rFonts w:ascii="宋体" w:hAnsi="宋体" w:eastAsia="宋体"/>
                <w:sz w:val="16"/>
              </w:rPr>
              <w:t>-</w:t>
            </w:r>
          </w:p>
        </w:tc>
      </w:tr>
      <w:tr w14:paraId="4719A95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0382D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E42E2">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6D64A4">
            <w:pPr>
              <w:jc w:val="center"/>
            </w:pPr>
            <w:r>
              <w:rPr>
                <w:rFonts w:ascii="宋体" w:hAnsi="宋体" w:eastAsia="宋体"/>
                <w:sz w:val="16"/>
              </w:rPr>
              <w:t>27.00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5BB86">
            <w:pPr>
              <w:jc w:val="center"/>
            </w:pPr>
            <w:r>
              <w:rPr>
                <w:rFonts w:ascii="宋体" w:hAnsi="宋体" w:eastAsia="宋体"/>
                <w:sz w:val="16"/>
              </w:rPr>
              <w:t>7.88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6B532E">
            <w:pPr>
              <w:jc w:val="center"/>
            </w:pPr>
            <w:r>
              <w:rPr>
                <w:rFonts w:ascii="宋体" w:hAnsi="宋体" w:eastAsia="宋体"/>
                <w:sz w:val="16"/>
              </w:rPr>
              <w:t>7.88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2C13F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6CE73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1D96B3">
            <w:pPr>
              <w:jc w:val="center"/>
            </w:pPr>
            <w:r>
              <w:rPr>
                <w:rFonts w:ascii="宋体" w:hAnsi="宋体" w:eastAsia="宋体"/>
                <w:sz w:val="16"/>
              </w:rPr>
              <w:t>-</w:t>
            </w:r>
          </w:p>
        </w:tc>
      </w:tr>
      <w:tr w14:paraId="49EED8F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A01FA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A3EBC">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2CBF7">
            <w:pPr>
              <w:jc w:val="center"/>
            </w:pPr>
            <w:r>
              <w:rPr>
                <w:rFonts w:ascii="宋体" w:hAnsi="宋体" w:eastAsia="宋体"/>
                <w:sz w:val="16"/>
              </w:rPr>
              <w:t>248.34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19066B">
            <w:pPr>
              <w:jc w:val="center"/>
            </w:pPr>
            <w:r>
              <w:rPr>
                <w:rFonts w:ascii="宋体" w:hAnsi="宋体" w:eastAsia="宋体"/>
                <w:sz w:val="16"/>
              </w:rPr>
              <w:t>199.68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3E3841">
            <w:pPr>
              <w:jc w:val="center"/>
            </w:pPr>
            <w:r>
              <w:rPr>
                <w:rFonts w:ascii="宋体" w:hAnsi="宋体" w:eastAsia="宋体"/>
                <w:sz w:val="16"/>
              </w:rPr>
              <w:t>199.68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05C4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2DE22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47E95B">
            <w:pPr>
              <w:jc w:val="center"/>
            </w:pPr>
            <w:r>
              <w:rPr>
                <w:rFonts w:ascii="宋体" w:hAnsi="宋体" w:eastAsia="宋体"/>
                <w:sz w:val="16"/>
              </w:rPr>
              <w:t>10</w:t>
            </w:r>
          </w:p>
        </w:tc>
      </w:tr>
      <w:tr w14:paraId="151C3B2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0DB8A6">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CBCA5A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442232A">
            <w:pPr>
              <w:jc w:val="center"/>
            </w:pPr>
            <w:r>
              <w:rPr>
                <w:rFonts w:ascii="宋体" w:hAnsi="宋体" w:eastAsia="宋体"/>
                <w:sz w:val="16"/>
              </w:rPr>
              <w:t>实际完成情况</w:t>
            </w:r>
          </w:p>
        </w:tc>
      </w:tr>
      <w:tr w14:paraId="28D28D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353F7A"/>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7FAD354">
            <w:pPr>
              <w:jc w:val="both"/>
            </w:pPr>
            <w:r>
              <w:rPr>
                <w:rFonts w:ascii="宋体" w:hAnsi="宋体" w:eastAsia="宋体"/>
                <w:sz w:val="16"/>
              </w:rPr>
              <w:t>本单位主要职能有：1.金融稳定的维护者；2.金融市场的建设者；3.金融创新的倡导者；4.金融渠道的疏通者。年度预期指标；开展宣传活动大于等于1次；开展企业实地调研活动大于等于1次；开展企业培训大于等于2次；开展小贷、融资担保、典当行年审大于等于1次；组织召开会议大于等于2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BF42C05">
            <w:pPr>
              <w:jc w:val="both"/>
            </w:pPr>
            <w:r>
              <w:rPr>
                <w:rFonts w:ascii="宋体" w:hAnsi="宋体" w:eastAsia="宋体"/>
                <w:sz w:val="16"/>
              </w:rPr>
              <w:t>开展宣传活动1次；开展小贷、开展融资担保、典当行年审1次；</w:t>
            </w:r>
          </w:p>
        </w:tc>
      </w:tr>
      <w:tr w14:paraId="7927F56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3E272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07FEF">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0BB6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59284A">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1DFF08">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C080D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CB6FC">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B36AB7">
            <w:pPr>
              <w:jc w:val="center"/>
            </w:pPr>
            <w:r>
              <w:rPr>
                <w:rFonts w:ascii="宋体" w:hAnsi="宋体" w:eastAsia="宋体"/>
                <w:sz w:val="16"/>
              </w:rPr>
              <w:t>得分</w:t>
            </w:r>
          </w:p>
        </w:tc>
      </w:tr>
      <w:tr w14:paraId="77829FD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F6FA51">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4CEE70">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455DCB">
            <w:pPr>
              <w:jc w:val="center"/>
            </w:pPr>
            <w:r>
              <w:rPr>
                <w:rFonts w:ascii="宋体" w:hAnsi="宋体" w:eastAsia="宋体"/>
                <w:sz w:val="16"/>
              </w:rPr>
              <w:t>开展宣传活动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084655">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A48B8">
            <w:pPr>
              <w:jc w:val="center"/>
            </w:pPr>
            <w:r>
              <w:rPr>
                <w:rFonts w:ascii="宋体" w:hAnsi="宋体" w:eastAsia="宋体"/>
                <w:sz w:val="16"/>
              </w:rPr>
              <w:t>《昌吉州防范非法集资常态化宣传教育工作方案》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E7608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658259">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18F549">
            <w:pPr>
              <w:jc w:val="center"/>
            </w:pPr>
            <w:r>
              <w:rPr>
                <w:rFonts w:ascii="宋体" w:hAnsi="宋体" w:eastAsia="宋体"/>
                <w:sz w:val="16"/>
              </w:rPr>
              <w:t>15</w:t>
            </w:r>
          </w:p>
        </w:tc>
      </w:tr>
      <w:tr w14:paraId="2EA8248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A5F50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AD17A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E667F">
            <w:pPr>
              <w:jc w:val="center"/>
            </w:pPr>
            <w:r>
              <w:rPr>
                <w:rFonts w:ascii="宋体" w:hAnsi="宋体" w:eastAsia="宋体"/>
                <w:sz w:val="16"/>
              </w:rPr>
              <w:t>开展企业实地调研活动(次数)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88FD72">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C9C270">
            <w:pPr>
              <w:jc w:val="center"/>
            </w:pPr>
            <w:r>
              <w:rPr>
                <w:rFonts w:ascii="宋体" w:hAnsi="宋体" w:eastAsia="宋体"/>
                <w:sz w:val="16"/>
              </w:rPr>
              <w:t>《昌吉州推动企业上市三年行动计划（2021-2023）》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4D797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A2C0B9">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0C584">
            <w:pPr>
              <w:jc w:val="center"/>
            </w:pPr>
            <w:r>
              <w:rPr>
                <w:rFonts w:ascii="宋体" w:hAnsi="宋体" w:eastAsia="宋体"/>
                <w:sz w:val="16"/>
              </w:rPr>
              <w:t>0</w:t>
            </w:r>
          </w:p>
        </w:tc>
      </w:tr>
      <w:tr w14:paraId="55EC5B0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5521E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29082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F9654B">
            <w:pPr>
              <w:jc w:val="center"/>
            </w:pPr>
            <w:r>
              <w:rPr>
                <w:rFonts w:ascii="宋体" w:hAnsi="宋体" w:eastAsia="宋体"/>
                <w:sz w:val="16"/>
              </w:rPr>
              <w:t>开展企业培训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4E4EF9">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5BDA2">
            <w:pPr>
              <w:jc w:val="center"/>
            </w:pPr>
            <w:r>
              <w:rPr>
                <w:rFonts w:ascii="宋体" w:hAnsi="宋体" w:eastAsia="宋体"/>
                <w:sz w:val="16"/>
              </w:rPr>
              <w:t>关于印发《金融支持新疆“八大产业集群”发展若干措施》的通知、《关于持续开展金融服务高质量发展专项行动的函》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0E9E6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B0A8A">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66F39">
            <w:pPr>
              <w:jc w:val="center"/>
            </w:pPr>
            <w:r>
              <w:rPr>
                <w:rFonts w:ascii="宋体" w:hAnsi="宋体" w:eastAsia="宋体"/>
                <w:sz w:val="16"/>
              </w:rPr>
              <w:t>0</w:t>
            </w:r>
          </w:p>
        </w:tc>
      </w:tr>
      <w:tr w14:paraId="3B97B76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97542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71A3A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C04BEA">
            <w:pPr>
              <w:jc w:val="center"/>
            </w:pPr>
            <w:r>
              <w:rPr>
                <w:rFonts w:ascii="宋体" w:hAnsi="宋体" w:eastAsia="宋体"/>
                <w:sz w:val="16"/>
              </w:rPr>
              <w:t>小贷、融资担保、典当行年审及检查（次数）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47359">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EE6902">
            <w:pPr>
              <w:jc w:val="center"/>
            </w:pPr>
            <w:r>
              <w:rPr>
                <w:rFonts w:ascii="宋体" w:hAnsi="宋体" w:eastAsia="宋体"/>
                <w:sz w:val="16"/>
              </w:rPr>
              <w:t>自治区2023年小贷、融资担保、典当行年审及检查相关文件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CD5AC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C5CFD">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BED818">
            <w:pPr>
              <w:jc w:val="center"/>
            </w:pPr>
            <w:r>
              <w:rPr>
                <w:rFonts w:ascii="宋体" w:hAnsi="宋体" w:eastAsia="宋体"/>
                <w:sz w:val="16"/>
              </w:rPr>
              <w:t>15</w:t>
            </w:r>
          </w:p>
        </w:tc>
      </w:tr>
      <w:tr w14:paraId="5C24EB3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2D768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41DE7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846C7">
            <w:pPr>
              <w:jc w:val="center"/>
            </w:pPr>
            <w:r>
              <w:rPr>
                <w:rFonts w:ascii="宋体" w:hAnsi="宋体" w:eastAsia="宋体"/>
                <w:sz w:val="16"/>
              </w:rPr>
              <w:t>组织召开会议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37A5D5">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C1D118">
            <w:pPr>
              <w:jc w:val="center"/>
            </w:pPr>
            <w:r>
              <w:rPr>
                <w:rFonts w:ascii="宋体" w:hAnsi="宋体" w:eastAsia="宋体"/>
                <w:sz w:val="16"/>
              </w:rPr>
              <w:t>《新疆维吾尔自治区2023年金融工作要点》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CE046F">
            <w:pPr>
              <w:jc w:val="center"/>
            </w:pPr>
            <w:r>
              <w:rPr>
                <w:rFonts w:ascii="宋体" w:hAnsi="宋体" w:eastAsia="宋体"/>
                <w:sz w:val="16"/>
              </w:rPr>
              <w:t>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CDF0E6">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7E5F6">
            <w:pPr>
              <w:jc w:val="center"/>
            </w:pPr>
            <w:r>
              <w:rPr>
                <w:rFonts w:ascii="宋体" w:hAnsi="宋体" w:eastAsia="宋体"/>
                <w:sz w:val="16"/>
              </w:rPr>
              <w:t>0</w:t>
            </w:r>
          </w:p>
        </w:tc>
      </w:tr>
    </w:tbl>
    <w:p w14:paraId="09EE61E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6CC8EE74">
        <w:tblPrEx>
          <w:tblCellMar>
            <w:top w:w="0" w:type="dxa"/>
            <w:left w:w="108" w:type="dxa"/>
            <w:bottom w:w="0" w:type="dxa"/>
            <w:right w:w="108" w:type="dxa"/>
          </w:tblCellMar>
        </w:tblPrEx>
        <w:tc>
          <w:tcPr>
            <w:tcW w:w="8848" w:type="dxa"/>
            <w:gridSpan w:val="14"/>
            <w:vAlign w:val="center"/>
          </w:tcPr>
          <w:p w14:paraId="7EE759BD">
            <w:pPr>
              <w:jc w:val="center"/>
            </w:pPr>
            <w:r>
              <w:rPr>
                <w:rFonts w:ascii="宋体" w:hAnsi="宋体" w:eastAsia="宋体"/>
                <w:sz w:val="24"/>
              </w:rPr>
              <w:t>项目支出绩效自评表</w:t>
            </w:r>
          </w:p>
        </w:tc>
      </w:tr>
      <w:tr w14:paraId="6532A54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54666EC">
            <w:pPr>
              <w:jc w:val="center"/>
            </w:pPr>
            <w:r>
              <w:rPr>
                <w:rFonts w:ascii="宋体" w:hAnsi="宋体" w:eastAsia="宋体"/>
                <w:sz w:val="24"/>
              </w:rPr>
              <w:t>(2024年度)</w:t>
            </w:r>
          </w:p>
        </w:tc>
      </w:tr>
      <w:tr w14:paraId="7DF08EE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EB27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0577F36">
            <w:pPr>
              <w:jc w:val="center"/>
            </w:pPr>
            <w:r>
              <w:rPr>
                <w:rFonts w:ascii="宋体" w:hAnsi="宋体" w:eastAsia="宋体"/>
                <w:sz w:val="16"/>
              </w:rPr>
              <w:t>机关运行项目补助</w:t>
            </w:r>
          </w:p>
        </w:tc>
      </w:tr>
      <w:tr w14:paraId="5AF7F2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3B74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43BA2C">
            <w:pPr>
              <w:jc w:val="center"/>
            </w:pPr>
            <w:r>
              <w:rPr>
                <w:rFonts w:ascii="宋体" w:hAnsi="宋体" w:eastAsia="宋体"/>
                <w:sz w:val="16"/>
              </w:rPr>
              <w:t>昌吉回族自治州金融工作办公室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A923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1445DE">
            <w:pPr>
              <w:jc w:val="center"/>
            </w:pPr>
            <w:r>
              <w:rPr>
                <w:rFonts w:ascii="宋体" w:hAnsi="宋体" w:eastAsia="宋体"/>
                <w:sz w:val="16"/>
              </w:rPr>
              <w:t>昌吉回族自治州金融工作办公室</w:t>
            </w:r>
          </w:p>
        </w:tc>
      </w:tr>
      <w:tr w14:paraId="02AA55C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D8549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4E888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239B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C430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A70A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F5AE4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E5F6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D67DB">
            <w:pPr>
              <w:jc w:val="center"/>
            </w:pPr>
            <w:r>
              <w:rPr>
                <w:rFonts w:ascii="宋体" w:hAnsi="宋体" w:eastAsia="宋体"/>
                <w:sz w:val="16"/>
              </w:rPr>
              <w:t>得分</w:t>
            </w:r>
          </w:p>
        </w:tc>
      </w:tr>
      <w:tr w14:paraId="22CF29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17AD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3170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28450">
            <w:pPr>
              <w:jc w:val="center"/>
            </w:pPr>
            <w:r>
              <w:rPr>
                <w:rFonts w:ascii="宋体" w:hAnsi="宋体" w:eastAsia="宋体"/>
                <w:sz w:val="16"/>
              </w:rPr>
              <w:t>27.00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2884A">
            <w:pPr>
              <w:jc w:val="center"/>
            </w:pPr>
            <w:r>
              <w:rPr>
                <w:rFonts w:ascii="宋体" w:hAnsi="宋体" w:eastAsia="宋体"/>
                <w:sz w:val="16"/>
              </w:rPr>
              <w:t>7.88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D8F30">
            <w:pPr>
              <w:jc w:val="center"/>
            </w:pPr>
            <w:r>
              <w:rPr>
                <w:rFonts w:ascii="宋体" w:hAnsi="宋体" w:eastAsia="宋体"/>
                <w:sz w:val="16"/>
              </w:rPr>
              <w:t>7.88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0356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692F7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21EA9">
            <w:pPr>
              <w:jc w:val="center"/>
            </w:pPr>
            <w:r>
              <w:rPr>
                <w:rFonts w:ascii="宋体" w:hAnsi="宋体" w:eastAsia="宋体"/>
                <w:sz w:val="16"/>
              </w:rPr>
              <w:t>10.00</w:t>
            </w:r>
          </w:p>
        </w:tc>
      </w:tr>
      <w:tr w14:paraId="060879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9A5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28D0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8DD7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B58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7C7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C4F46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080A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E9284">
            <w:pPr>
              <w:jc w:val="center"/>
            </w:pPr>
            <w:r>
              <w:rPr>
                <w:rFonts w:ascii="宋体" w:hAnsi="宋体" w:eastAsia="宋体"/>
                <w:sz w:val="16"/>
              </w:rPr>
              <w:t>—</w:t>
            </w:r>
          </w:p>
        </w:tc>
      </w:tr>
      <w:tr w14:paraId="0F6F39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B7A7C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FD59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4FAD3">
            <w:pPr>
              <w:jc w:val="center"/>
            </w:pPr>
            <w:r>
              <w:rPr>
                <w:rFonts w:ascii="宋体" w:hAnsi="宋体" w:eastAsia="宋体"/>
                <w:sz w:val="16"/>
              </w:rPr>
              <w:t>27.00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91454">
            <w:pPr>
              <w:jc w:val="center"/>
            </w:pPr>
            <w:r>
              <w:rPr>
                <w:rFonts w:ascii="宋体" w:hAnsi="宋体" w:eastAsia="宋体"/>
                <w:sz w:val="16"/>
              </w:rPr>
              <w:t>7.88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8A3E1">
            <w:pPr>
              <w:jc w:val="center"/>
            </w:pPr>
            <w:r>
              <w:rPr>
                <w:rFonts w:ascii="宋体" w:hAnsi="宋体" w:eastAsia="宋体"/>
                <w:sz w:val="16"/>
              </w:rPr>
              <w:t>7.88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0452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C7C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B2BBD">
            <w:pPr>
              <w:jc w:val="center"/>
            </w:pPr>
            <w:r>
              <w:rPr>
                <w:rFonts w:ascii="宋体" w:hAnsi="宋体" w:eastAsia="宋体"/>
                <w:sz w:val="16"/>
              </w:rPr>
              <w:t>—</w:t>
            </w:r>
          </w:p>
        </w:tc>
      </w:tr>
      <w:tr w14:paraId="7CB319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31CFC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1DD59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4F8EA3">
            <w:pPr>
              <w:jc w:val="center"/>
            </w:pPr>
            <w:r>
              <w:rPr>
                <w:rFonts w:ascii="宋体" w:hAnsi="宋体" w:eastAsia="宋体"/>
                <w:sz w:val="16"/>
              </w:rPr>
              <w:t>实际完成情况</w:t>
            </w:r>
          </w:p>
        </w:tc>
      </w:tr>
      <w:tr w14:paraId="38D6E5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75152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47E3A6">
            <w:pPr>
              <w:jc w:val="both"/>
            </w:pPr>
            <w:r>
              <w:rPr>
                <w:rFonts w:ascii="宋体" w:hAnsi="宋体" w:eastAsia="宋体"/>
                <w:sz w:val="16"/>
              </w:rPr>
              <w:t>昌吉回族自治州金融工作办公室（以下简称自治州金融办），为自治州人民政府管理、服务、协调金融工作的直属事业机构，为保障单位正常运转，特使用自有资金设立机关运行项目补助。计划开展调研活动不少于1次，全年维护公车运行不少于5次，开展宣传活动不少于1次，参加（会议）培训不少于1次，保障办公人员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487424">
            <w:pPr>
              <w:jc w:val="both"/>
            </w:pPr>
            <w:r>
              <w:rPr>
                <w:rFonts w:ascii="宋体" w:hAnsi="宋体" w:eastAsia="宋体"/>
                <w:sz w:val="16"/>
              </w:rPr>
              <w:br w:type="textWrapping"/>
            </w:r>
            <w:r>
              <w:rPr>
                <w:rFonts w:ascii="宋体" w:hAnsi="宋体" w:eastAsia="宋体"/>
                <w:sz w:val="16"/>
              </w:rPr>
              <w:t>截至2024年12月31日，该项目实际完成：保障办公人员数量为8人，参加会议培训1次，保障人员覆盖率为100%，各项工作于12月18日前完成，一共支付了7.81万元工作经费，0.07万元培训费，有效保障了办公人员正常运转。</w:t>
            </w:r>
          </w:p>
        </w:tc>
      </w:tr>
      <w:tr w14:paraId="06635E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C5D33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FA23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9D3B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D1C5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B84C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9DA2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5544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64F4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205E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D1D1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F131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5162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8701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26CC9">
            <w:pPr>
              <w:jc w:val="center"/>
            </w:pPr>
            <w:r>
              <w:rPr>
                <w:rFonts w:ascii="宋体" w:hAnsi="宋体" w:eastAsia="宋体"/>
                <w:sz w:val="16"/>
              </w:rPr>
              <w:t>偏差原因分析及改进措施</w:t>
            </w:r>
          </w:p>
        </w:tc>
      </w:tr>
      <w:tr w14:paraId="51261C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C7C64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04A6A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822AB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8FB46">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EE51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3A791">
            <w:pPr>
              <w:jc w:val="center"/>
            </w:pPr>
            <w:r>
              <w:rPr>
                <w:rFonts w:ascii="宋体" w:hAnsi="宋体" w:eastAsia="宋体"/>
                <w:sz w:val="16"/>
              </w:rPr>
              <w:t>&gt;=8人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81049">
            <w:pPr>
              <w:jc w:val="center"/>
            </w:pPr>
            <w:r>
              <w:rPr>
                <w:rFonts w:ascii="宋体" w:hAnsi="宋体" w:eastAsia="宋体"/>
                <w:sz w:val="16"/>
              </w:rPr>
              <w:t>=8人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7B9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ABC8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688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D3711">
            <w:pPr>
              <w:jc w:val="center"/>
            </w:pPr>
            <w:r>
              <w:rPr>
                <w:rFonts w:ascii="宋体" w:hAnsi="宋体" w:eastAsia="宋体"/>
                <w:sz w:val="16"/>
              </w:rPr>
              <w:t>12人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07D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6081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A130A">
            <w:pPr>
              <w:jc w:val="center"/>
            </w:pPr>
          </w:p>
        </w:tc>
      </w:tr>
      <w:tr w14:paraId="482049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47CE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44F1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998F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403F5">
            <w:pPr>
              <w:jc w:val="center"/>
            </w:pPr>
            <w:r>
              <w:rPr>
                <w:rFonts w:ascii="宋体" w:hAnsi="宋体" w:eastAsia="宋体"/>
                <w:sz w:val="16"/>
              </w:rPr>
              <w:t>参加会议培训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046A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F1E9F">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23E0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B13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1CD2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3A849">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7A821">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F5B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37782">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F12E3">
            <w:pPr>
              <w:jc w:val="center"/>
            </w:pPr>
          </w:p>
        </w:tc>
      </w:tr>
      <w:tr w14:paraId="02AF14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F1BB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9326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67D2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87C9F">
            <w:pPr>
              <w:jc w:val="center"/>
            </w:pPr>
            <w:r>
              <w:rPr>
                <w:rFonts w:ascii="宋体" w:hAnsi="宋体" w:eastAsia="宋体"/>
                <w:sz w:val="16"/>
              </w:rPr>
              <w:t>保障人员覆盖率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C88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920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9C5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F1D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C969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858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F7F47">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2F8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80F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E66A0">
            <w:pPr>
              <w:jc w:val="center"/>
            </w:pPr>
          </w:p>
        </w:tc>
      </w:tr>
      <w:tr w14:paraId="6F6065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B63F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7926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561C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987EB">
            <w:pPr>
              <w:jc w:val="center"/>
            </w:pPr>
            <w:r>
              <w:rPr>
                <w:rFonts w:ascii="宋体" w:hAnsi="宋体" w:eastAsia="宋体"/>
                <w:sz w:val="16"/>
              </w:rPr>
              <w:t>各项工作按期完成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757B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5F16E">
            <w:pPr>
              <w:jc w:val="center"/>
            </w:pPr>
            <w:r>
              <w:rPr>
                <w:rFonts w:ascii="宋体" w:hAnsi="宋体" w:eastAsia="宋体"/>
                <w:sz w:val="16"/>
              </w:rPr>
              <w:t>=11月30日前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4AF2A">
            <w:pPr>
              <w:jc w:val="center"/>
            </w:pPr>
            <w:r>
              <w:rPr>
                <w:rFonts w:ascii="宋体" w:hAnsi="宋体" w:eastAsia="宋体"/>
                <w:sz w:val="16"/>
              </w:rPr>
              <w:t>=12月18日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6E1B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909B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0A8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91E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B7F6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332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98B7E">
            <w:pPr>
              <w:jc w:val="center"/>
            </w:pPr>
            <w:r>
              <w:rPr>
                <w:rFonts w:ascii="宋体" w:hAnsi="宋体" w:eastAsia="宋体"/>
                <w:sz w:val="16"/>
              </w:rPr>
              <w:t>金融办面临社改，档案移交代理工作交于第三方代理完成，档案馆移交档案需要排队等通知，至2024年12月18日前完成档案服务费支付工作。</w:t>
            </w:r>
          </w:p>
        </w:tc>
      </w:tr>
      <w:tr w14:paraId="7DE269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DA4C9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6137A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10A93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4ECCF">
            <w:pPr>
              <w:jc w:val="center"/>
            </w:pPr>
            <w:r>
              <w:rPr>
                <w:rFonts w:ascii="宋体" w:hAnsi="宋体" w:eastAsia="宋体"/>
                <w:sz w:val="16"/>
              </w:rPr>
              <w:t>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6DF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EAACF">
            <w:pPr>
              <w:jc w:val="center"/>
            </w:pPr>
            <w:r>
              <w:rPr>
                <w:rFonts w:ascii="宋体" w:hAnsi="宋体" w:eastAsia="宋体"/>
                <w:sz w:val="16"/>
              </w:rPr>
              <w:t>&lt;=7.81万元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88670">
            <w:pPr>
              <w:jc w:val="center"/>
            </w:pPr>
            <w:r>
              <w:rPr>
                <w:rFonts w:ascii="宋体" w:hAnsi="宋体" w:eastAsia="宋体"/>
                <w:sz w:val="16"/>
              </w:rPr>
              <w:t>=7.81万元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6DA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1D1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1B0B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8ABBD">
            <w:pPr>
              <w:jc w:val="center"/>
            </w:pPr>
            <w:r>
              <w:rPr>
                <w:rFonts w:ascii="宋体" w:hAnsi="宋体" w:eastAsia="宋体"/>
                <w:sz w:val="16"/>
              </w:rPr>
              <w:t>7.81万元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822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0C8B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705B1">
            <w:pPr>
              <w:jc w:val="center"/>
            </w:pPr>
          </w:p>
        </w:tc>
      </w:tr>
      <w:tr w14:paraId="610E54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BFF2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893E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BCB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C3D07">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D5E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39BD7">
            <w:pPr>
              <w:jc w:val="center"/>
            </w:pPr>
            <w:r>
              <w:rPr>
                <w:rFonts w:ascii="宋体" w:hAnsi="宋体" w:eastAsia="宋体"/>
                <w:sz w:val="16"/>
              </w:rPr>
              <w:t>&lt;=0.07万元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D977C">
            <w:pPr>
              <w:jc w:val="center"/>
            </w:pPr>
            <w:r>
              <w:rPr>
                <w:rFonts w:ascii="宋体" w:hAnsi="宋体" w:eastAsia="宋体"/>
                <w:sz w:val="16"/>
              </w:rPr>
              <w:t>=0.07万元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B3D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C0C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158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FDEA7">
            <w:pPr>
              <w:jc w:val="center"/>
            </w:pPr>
            <w:r>
              <w:rPr>
                <w:rFonts w:ascii="宋体" w:hAnsi="宋体" w:eastAsia="宋体"/>
                <w:sz w:val="16"/>
              </w:rPr>
              <w:t>0.07万元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EB2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9BBE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881C1">
            <w:pPr>
              <w:jc w:val="center"/>
            </w:pPr>
          </w:p>
        </w:tc>
      </w:tr>
      <w:tr w14:paraId="0B3448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4A4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58E1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83DF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D6A63">
            <w:pPr>
              <w:jc w:val="center"/>
            </w:pPr>
            <w:r>
              <w:rPr>
                <w:rFonts w:ascii="宋体" w:hAnsi="宋体" w:eastAsia="宋体"/>
                <w:sz w:val="16"/>
              </w:rPr>
              <w:t>保障单位有效运转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1382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8B92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33E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C1F5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F9319">
            <w:pPr>
              <w:jc w:val="center"/>
            </w:pPr>
            <w:r>
              <w:rPr>
                <w:rFonts w:ascii="宋体" w:hAnsi="宋体" w:eastAsia="宋体"/>
                <w:sz w:val="16"/>
              </w:rPr>
              <w:t>26.67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2D1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847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F86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FA5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5C7A0">
            <w:pPr>
              <w:jc w:val="center"/>
            </w:pPr>
            <w:r>
              <w:rPr>
                <w:rFonts w:ascii="宋体" w:hAnsi="宋体" w:eastAsia="宋体"/>
                <w:sz w:val="16"/>
              </w:rPr>
              <w:t>保障单位有效运转指标年初设定指标过于保守，本年度完成情况较好。</w:t>
            </w:r>
          </w:p>
        </w:tc>
      </w:tr>
      <w:tr w14:paraId="3A97531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8B5DF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8CB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7980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762F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C39F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1155C">
            <w:pPr>
              <w:jc w:val="center"/>
            </w:pPr>
            <w:r>
              <w:rPr>
                <w:rFonts w:ascii="宋体" w:hAnsi="宋体" w:eastAsia="宋体"/>
                <w:sz w:val="16"/>
              </w:rPr>
              <w:t>91.67分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834D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66EE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E73B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4F8B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FC6EF9"/>
        </w:tc>
      </w:tr>
    </w:tbl>
    <w:p w14:paraId="5ADCA6CF">
      <w:r>
        <w:br w:type="page"/>
      </w:r>
    </w:p>
    <w:tbl>
      <w:tblPr>
        <w:tblStyle w:val="9"/>
        <w:tblW w:w="0" w:type="auto"/>
        <w:tblInd w:w="0" w:type="dxa"/>
        <w:tblLayout w:type="autofit"/>
        <w:tblCellMar>
          <w:top w:w="0" w:type="dxa"/>
          <w:left w:w="108" w:type="dxa"/>
          <w:bottom w:w="0" w:type="dxa"/>
          <w:right w:w="108" w:type="dxa"/>
        </w:tblCellMar>
      </w:tblPr>
      <w:tblGrid>
        <w:gridCol w:w="620"/>
        <w:gridCol w:w="600"/>
        <w:gridCol w:w="600"/>
        <w:gridCol w:w="776"/>
        <w:gridCol w:w="610"/>
        <w:gridCol w:w="776"/>
        <w:gridCol w:w="696"/>
        <w:gridCol w:w="620"/>
        <w:gridCol w:w="696"/>
        <w:gridCol w:w="600"/>
        <w:gridCol w:w="630"/>
        <w:gridCol w:w="602"/>
        <w:gridCol w:w="603"/>
        <w:gridCol w:w="631"/>
      </w:tblGrid>
      <w:tr w14:paraId="2BE1A8EC">
        <w:tblPrEx>
          <w:tblCellMar>
            <w:top w:w="0" w:type="dxa"/>
            <w:left w:w="108" w:type="dxa"/>
            <w:bottom w:w="0" w:type="dxa"/>
            <w:right w:w="108" w:type="dxa"/>
          </w:tblCellMar>
        </w:tblPrEx>
        <w:tc>
          <w:tcPr>
            <w:tcW w:w="8848" w:type="dxa"/>
            <w:gridSpan w:val="14"/>
            <w:vAlign w:val="center"/>
          </w:tcPr>
          <w:p w14:paraId="1C37ED6A">
            <w:pPr>
              <w:jc w:val="center"/>
            </w:pPr>
            <w:r>
              <w:rPr>
                <w:rFonts w:ascii="宋体" w:hAnsi="宋体" w:eastAsia="宋体"/>
                <w:sz w:val="24"/>
              </w:rPr>
              <w:t>项目支出绩效自评表</w:t>
            </w:r>
          </w:p>
        </w:tc>
      </w:tr>
      <w:tr w14:paraId="6370D71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1FAED53">
            <w:pPr>
              <w:jc w:val="center"/>
            </w:pPr>
            <w:r>
              <w:rPr>
                <w:rFonts w:ascii="宋体" w:hAnsi="宋体" w:eastAsia="宋体"/>
                <w:sz w:val="24"/>
              </w:rPr>
              <w:t>(2024年度)</w:t>
            </w:r>
          </w:p>
        </w:tc>
      </w:tr>
      <w:tr w14:paraId="442C14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3557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441842C">
            <w:pPr>
              <w:jc w:val="center"/>
            </w:pPr>
            <w:r>
              <w:rPr>
                <w:rFonts w:ascii="宋体" w:hAnsi="宋体" w:eastAsia="宋体"/>
                <w:sz w:val="16"/>
              </w:rPr>
              <w:t>金融风险防范项目</w:t>
            </w:r>
          </w:p>
        </w:tc>
      </w:tr>
      <w:tr w14:paraId="3E2036A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972A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CCFBD0">
            <w:pPr>
              <w:jc w:val="center"/>
            </w:pPr>
            <w:r>
              <w:rPr>
                <w:rFonts w:ascii="宋体" w:hAnsi="宋体" w:eastAsia="宋体"/>
                <w:sz w:val="16"/>
              </w:rPr>
              <w:t>昌吉回族自治州金融工作办公室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A260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35E3D9">
            <w:pPr>
              <w:jc w:val="center"/>
            </w:pPr>
            <w:r>
              <w:rPr>
                <w:rFonts w:ascii="宋体" w:hAnsi="宋体" w:eastAsia="宋体"/>
                <w:sz w:val="16"/>
              </w:rPr>
              <w:t>昌吉回族自治州金融工作办公室</w:t>
            </w:r>
          </w:p>
        </w:tc>
      </w:tr>
      <w:tr w14:paraId="690448B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01296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17E3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9CC8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F62B8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9D2C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4B8E6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EF60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F5344">
            <w:pPr>
              <w:jc w:val="center"/>
            </w:pPr>
            <w:r>
              <w:rPr>
                <w:rFonts w:ascii="宋体" w:hAnsi="宋体" w:eastAsia="宋体"/>
                <w:sz w:val="16"/>
              </w:rPr>
              <w:t>得分</w:t>
            </w:r>
          </w:p>
        </w:tc>
      </w:tr>
      <w:tr w14:paraId="76A2C3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FCBC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89E6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4CAFB">
            <w:pPr>
              <w:jc w:val="center"/>
            </w:pPr>
            <w:r>
              <w:rPr>
                <w:rFonts w:ascii="宋体" w:hAnsi="宋体" w:eastAsia="宋体"/>
                <w:sz w:val="16"/>
              </w:rPr>
              <w:t>28.00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E0C2F1">
            <w:pPr>
              <w:jc w:val="center"/>
            </w:pPr>
            <w:r>
              <w:rPr>
                <w:rFonts w:ascii="宋体" w:hAnsi="宋体" w:eastAsia="宋体"/>
                <w:sz w:val="16"/>
              </w:rPr>
              <w:t>22.68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8263F5">
            <w:pPr>
              <w:jc w:val="center"/>
            </w:pPr>
            <w:r>
              <w:rPr>
                <w:rFonts w:ascii="宋体" w:hAnsi="宋体" w:eastAsia="宋体"/>
                <w:sz w:val="16"/>
              </w:rPr>
              <w:t>22.68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A2B2B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5A93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EBF4E">
            <w:pPr>
              <w:jc w:val="center"/>
            </w:pPr>
            <w:r>
              <w:rPr>
                <w:rFonts w:ascii="宋体" w:hAnsi="宋体" w:eastAsia="宋体"/>
                <w:sz w:val="16"/>
              </w:rPr>
              <w:t>10.00</w:t>
            </w:r>
          </w:p>
        </w:tc>
      </w:tr>
      <w:tr w14:paraId="04794C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F3F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B682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55FC3">
            <w:pPr>
              <w:jc w:val="center"/>
            </w:pPr>
            <w:r>
              <w:rPr>
                <w:rFonts w:ascii="宋体" w:hAnsi="宋体" w:eastAsia="宋体"/>
                <w:sz w:val="16"/>
              </w:rPr>
              <w:t>28.00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281BF">
            <w:pPr>
              <w:jc w:val="center"/>
            </w:pPr>
            <w:r>
              <w:rPr>
                <w:rFonts w:ascii="宋体" w:hAnsi="宋体" w:eastAsia="宋体"/>
                <w:sz w:val="16"/>
              </w:rPr>
              <w:t>22.68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36C5CF">
            <w:pPr>
              <w:jc w:val="center"/>
            </w:pPr>
            <w:r>
              <w:rPr>
                <w:rFonts w:ascii="宋体" w:hAnsi="宋体" w:eastAsia="宋体"/>
                <w:sz w:val="16"/>
              </w:rPr>
              <w:t>22.68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4B792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87F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C8B80">
            <w:pPr>
              <w:jc w:val="center"/>
            </w:pPr>
            <w:r>
              <w:rPr>
                <w:rFonts w:ascii="宋体" w:hAnsi="宋体" w:eastAsia="宋体"/>
                <w:sz w:val="16"/>
              </w:rPr>
              <w:t>—</w:t>
            </w:r>
          </w:p>
        </w:tc>
      </w:tr>
      <w:tr w14:paraId="255904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87D92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4777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7528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3E1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8A6E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D3AD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143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CD2BE">
            <w:pPr>
              <w:jc w:val="center"/>
            </w:pPr>
            <w:r>
              <w:rPr>
                <w:rFonts w:ascii="宋体" w:hAnsi="宋体" w:eastAsia="宋体"/>
                <w:sz w:val="16"/>
              </w:rPr>
              <w:t>—</w:t>
            </w:r>
          </w:p>
        </w:tc>
      </w:tr>
      <w:tr w14:paraId="79BAEB7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2280E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BD9C0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4F5F93">
            <w:pPr>
              <w:jc w:val="center"/>
            </w:pPr>
            <w:r>
              <w:rPr>
                <w:rFonts w:ascii="宋体" w:hAnsi="宋体" w:eastAsia="宋体"/>
                <w:sz w:val="16"/>
              </w:rPr>
              <w:t>实际完成情况</w:t>
            </w:r>
          </w:p>
        </w:tc>
      </w:tr>
      <w:tr w14:paraId="6A17D4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9FF34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51744A">
            <w:pPr>
              <w:jc w:val="both"/>
            </w:pPr>
            <w:r>
              <w:rPr>
                <w:rFonts w:ascii="宋体" w:hAnsi="宋体" w:eastAsia="宋体"/>
                <w:sz w:val="16"/>
              </w:rPr>
              <w:t>按照防范金融风险工作要求，购置非法集资监测预警系统1套、电子政务专线1条；计划开展小贷公司、融资担保公司、典当行年审工作不少于1次；开展集中宣传活动不少于1次。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641C12">
            <w:pPr>
              <w:jc w:val="both"/>
            </w:pPr>
            <w:r>
              <w:rPr>
                <w:rFonts w:ascii="宋体" w:hAnsi="宋体" w:eastAsia="宋体"/>
                <w:sz w:val="16"/>
              </w:rPr>
              <w:t>按照防范金融风险工作要求，购置非法集资监测预警系统1套、电子政务专线1条；开展小贷公司、融资担保公司、典当行年审工作1次；开展集中宣传活动1次。</w:t>
            </w:r>
          </w:p>
        </w:tc>
      </w:tr>
      <w:tr w14:paraId="1205F60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C82DA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2723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1E39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5BF3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6392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6AC2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9997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8465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3964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7CB3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B631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2203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143B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810CD">
            <w:pPr>
              <w:jc w:val="center"/>
            </w:pPr>
            <w:r>
              <w:rPr>
                <w:rFonts w:ascii="宋体" w:hAnsi="宋体" w:eastAsia="宋体"/>
                <w:sz w:val="16"/>
              </w:rPr>
              <w:t>偏差原因分析及改进措施</w:t>
            </w:r>
          </w:p>
        </w:tc>
      </w:tr>
      <w:tr w14:paraId="0FBD8FC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6BCD7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52E79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2F831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09898">
            <w:pPr>
              <w:jc w:val="center"/>
            </w:pPr>
            <w:r>
              <w:rPr>
                <w:rFonts w:ascii="宋体" w:hAnsi="宋体" w:eastAsia="宋体"/>
                <w:sz w:val="16"/>
              </w:rPr>
              <w:t>购置联信云非法集资监测预警系统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447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39C26">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8986B">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8F3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12E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481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8D0F3">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A90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93D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661B0">
            <w:pPr>
              <w:jc w:val="center"/>
            </w:pPr>
          </w:p>
        </w:tc>
      </w:tr>
      <w:tr w14:paraId="4D4CB3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D9B4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1EA7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A5F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16256">
            <w:pPr>
              <w:jc w:val="center"/>
            </w:pPr>
            <w:r>
              <w:rPr>
                <w:rFonts w:ascii="宋体" w:hAnsi="宋体" w:eastAsia="宋体"/>
                <w:sz w:val="16"/>
              </w:rPr>
              <w:t>小贷、融资担保、典当行年审及检查（次数）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8CD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B07D4">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8DE9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45E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AD7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1AE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A533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377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F40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EE9C0">
            <w:pPr>
              <w:jc w:val="center"/>
            </w:pPr>
          </w:p>
        </w:tc>
      </w:tr>
      <w:tr w14:paraId="241752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678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7E60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DB4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4E769">
            <w:pPr>
              <w:jc w:val="center"/>
            </w:pPr>
            <w:r>
              <w:rPr>
                <w:rFonts w:ascii="宋体" w:hAnsi="宋体" w:eastAsia="宋体"/>
                <w:sz w:val="16"/>
              </w:rPr>
              <w:t>购置电子政务专线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F105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12437">
            <w:pPr>
              <w:jc w:val="center"/>
            </w:pPr>
            <w:r>
              <w:rPr>
                <w:rFonts w:ascii="宋体" w:hAnsi="宋体" w:eastAsia="宋体"/>
                <w:sz w:val="16"/>
              </w:rPr>
              <w:t>&gt;=1条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1F682">
            <w:pPr>
              <w:jc w:val="center"/>
            </w:pPr>
            <w:r>
              <w:rPr>
                <w:rFonts w:ascii="宋体" w:hAnsi="宋体" w:eastAsia="宋体"/>
                <w:sz w:val="16"/>
              </w:rPr>
              <w:t>=1条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674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55BA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D89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D42D9">
            <w:pPr>
              <w:jc w:val="center"/>
            </w:pPr>
            <w:r>
              <w:rPr>
                <w:rFonts w:ascii="宋体" w:hAnsi="宋体" w:eastAsia="宋体"/>
                <w:sz w:val="16"/>
              </w:rPr>
              <w:t>1条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AB5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779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7D796">
            <w:pPr>
              <w:jc w:val="center"/>
            </w:pPr>
          </w:p>
        </w:tc>
      </w:tr>
      <w:tr w14:paraId="05A9C5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25A5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328D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5C0B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1C64E">
            <w:pPr>
              <w:jc w:val="center"/>
            </w:pPr>
            <w:r>
              <w:rPr>
                <w:rFonts w:ascii="宋体" w:hAnsi="宋体" w:eastAsia="宋体"/>
                <w:sz w:val="16"/>
              </w:rPr>
              <w:t>开展集中宣传活动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9BD7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69833">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55AC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DEE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310E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B0E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2F98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724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E27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8018F">
            <w:pPr>
              <w:jc w:val="center"/>
            </w:pPr>
          </w:p>
        </w:tc>
      </w:tr>
      <w:tr w14:paraId="75FFAC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C6DC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C52E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62D6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D01EE">
            <w:pPr>
              <w:jc w:val="center"/>
            </w:pPr>
            <w:r>
              <w:rPr>
                <w:rFonts w:ascii="宋体" w:hAnsi="宋体" w:eastAsia="宋体"/>
                <w:sz w:val="16"/>
              </w:rPr>
              <w:t>年审检查覆盖率（%）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0DD8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6DE41">
            <w:pPr>
              <w:jc w:val="center"/>
            </w:pPr>
            <w:r>
              <w:rPr>
                <w:rFonts w:ascii="宋体" w:hAnsi="宋体" w:eastAsia="宋体"/>
                <w:sz w:val="16"/>
              </w:rPr>
              <w:t>&gt;=70%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71999">
            <w:pPr>
              <w:jc w:val="center"/>
            </w:pPr>
            <w:r>
              <w:rPr>
                <w:rFonts w:ascii="宋体" w:hAnsi="宋体" w:eastAsia="宋体"/>
                <w:sz w:val="16"/>
              </w:rPr>
              <w: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148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1095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60C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011CD">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553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AD4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9F7B2">
            <w:pPr>
              <w:jc w:val="center"/>
            </w:pPr>
          </w:p>
        </w:tc>
      </w:tr>
      <w:tr w14:paraId="3D5743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3862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FE00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B181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8B4C6">
            <w:pPr>
              <w:jc w:val="center"/>
            </w:pPr>
            <w:r>
              <w:rPr>
                <w:rFonts w:ascii="宋体" w:hAnsi="宋体" w:eastAsia="宋体"/>
                <w:sz w:val="16"/>
              </w:rPr>
              <w:t>年审检查完成时限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6E96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F290C">
            <w:pPr>
              <w:jc w:val="center"/>
            </w:pPr>
            <w:r>
              <w:rPr>
                <w:rFonts w:ascii="宋体" w:hAnsi="宋体" w:eastAsia="宋体"/>
                <w:sz w:val="16"/>
              </w:rPr>
              <w:t>=2024年10月31日前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21F82">
            <w:pPr>
              <w:jc w:val="center"/>
            </w:pPr>
            <w:r>
              <w:rPr>
                <w:rFonts w:ascii="宋体" w:hAnsi="宋体" w:eastAsia="宋体"/>
                <w:sz w:val="16"/>
              </w:rPr>
              <w:t>=2024年10月31日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400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A01C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20E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04E27">
            <w:pPr>
              <w:jc w:val="center"/>
            </w:pPr>
            <w:r>
              <w:rPr>
                <w:rFonts w:ascii="宋体" w:hAnsi="宋体" w:eastAsia="宋体"/>
                <w:sz w:val="16"/>
              </w:rPr>
              <w:t>2023年8月30日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CE52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9AB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674C6">
            <w:pPr>
              <w:jc w:val="center"/>
            </w:pPr>
          </w:p>
        </w:tc>
      </w:tr>
      <w:tr w14:paraId="60F7F3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C2F17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BB481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37E19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E87CA">
            <w:pPr>
              <w:jc w:val="center"/>
            </w:pPr>
            <w:r>
              <w:rPr>
                <w:rFonts w:ascii="宋体" w:hAnsi="宋体" w:eastAsia="宋体"/>
                <w:sz w:val="16"/>
              </w:rPr>
              <w:t>购置联信云非法集资监测预警系统、电子政务专线成本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CC5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423BC">
            <w:pPr>
              <w:jc w:val="center"/>
            </w:pPr>
            <w:r>
              <w:rPr>
                <w:rFonts w:ascii="宋体" w:hAnsi="宋体" w:eastAsia="宋体"/>
                <w:sz w:val="16"/>
              </w:rPr>
              <w:t>&lt;=10.42万元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919E5">
            <w:pPr>
              <w:jc w:val="center"/>
            </w:pPr>
            <w:r>
              <w:rPr>
                <w:rFonts w:ascii="宋体" w:hAnsi="宋体" w:eastAsia="宋体"/>
                <w:sz w:val="16"/>
              </w:rPr>
              <w:t>=10.42万元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823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282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E46A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443EC">
            <w:pPr>
              <w:jc w:val="center"/>
            </w:pPr>
            <w:r>
              <w:rPr>
                <w:rFonts w:ascii="宋体" w:hAnsi="宋体" w:eastAsia="宋体"/>
                <w:sz w:val="16"/>
              </w:rPr>
              <w:t>10.42万元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3E5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0BA7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252E9">
            <w:pPr>
              <w:jc w:val="center"/>
            </w:pPr>
          </w:p>
        </w:tc>
      </w:tr>
      <w:tr w14:paraId="4C05A7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4657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146B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379D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CED67">
            <w:pPr>
              <w:jc w:val="center"/>
            </w:pPr>
            <w:r>
              <w:rPr>
                <w:rFonts w:ascii="宋体" w:hAnsi="宋体" w:eastAsia="宋体"/>
                <w:sz w:val="16"/>
              </w:rPr>
              <w:t>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4226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0C2CF">
            <w:pPr>
              <w:jc w:val="center"/>
            </w:pPr>
            <w:r>
              <w:rPr>
                <w:rFonts w:ascii="宋体" w:hAnsi="宋体" w:eastAsia="宋体"/>
                <w:sz w:val="16"/>
              </w:rPr>
              <w:t>&lt;=0.18万元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80970">
            <w:pPr>
              <w:jc w:val="center"/>
            </w:pPr>
            <w:r>
              <w:rPr>
                <w:rFonts w:ascii="宋体" w:hAnsi="宋体" w:eastAsia="宋体"/>
                <w:sz w:val="16"/>
              </w:rPr>
              <w:t>=0.18万元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BC4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917B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AA1C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5B89D">
            <w:pPr>
              <w:jc w:val="center"/>
            </w:pPr>
            <w:r>
              <w:rPr>
                <w:rFonts w:ascii="宋体" w:hAnsi="宋体" w:eastAsia="宋体"/>
                <w:sz w:val="16"/>
              </w:rPr>
              <w:t>1.87万元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3BC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C53E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96CBA">
            <w:pPr>
              <w:jc w:val="center"/>
            </w:pPr>
          </w:p>
        </w:tc>
      </w:tr>
      <w:tr w14:paraId="62F505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6BE5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FB0D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7C6F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18692">
            <w:pPr>
              <w:jc w:val="center"/>
            </w:pPr>
            <w:r>
              <w:rPr>
                <w:rFonts w:ascii="宋体" w:hAnsi="宋体" w:eastAsia="宋体"/>
                <w:sz w:val="16"/>
              </w:rPr>
              <w:t>宣传费用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4E73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CCD35">
            <w:pPr>
              <w:jc w:val="center"/>
            </w:pPr>
            <w:r>
              <w:rPr>
                <w:rFonts w:ascii="宋体" w:hAnsi="宋体" w:eastAsia="宋体"/>
                <w:sz w:val="16"/>
              </w:rPr>
              <w:t>&lt;=12.08万元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BB231">
            <w:pPr>
              <w:jc w:val="center"/>
            </w:pPr>
            <w:r>
              <w:rPr>
                <w:rFonts w:ascii="宋体" w:hAnsi="宋体" w:eastAsia="宋体"/>
                <w:sz w:val="16"/>
              </w:rPr>
              <w:t>=12.08万元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518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653F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2A73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21805">
            <w:pPr>
              <w:jc w:val="center"/>
            </w:pPr>
            <w:r>
              <w:rPr>
                <w:rFonts w:ascii="宋体" w:hAnsi="宋体" w:eastAsia="宋体"/>
                <w:sz w:val="16"/>
              </w:rPr>
              <w:t>19.08万元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859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E297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BB220">
            <w:pPr>
              <w:jc w:val="center"/>
            </w:pPr>
          </w:p>
        </w:tc>
      </w:tr>
      <w:tr w14:paraId="6B5ABD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DF8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A948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DFE7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3436E">
            <w:pPr>
              <w:jc w:val="center"/>
            </w:pPr>
            <w:r>
              <w:rPr>
                <w:rFonts w:ascii="宋体" w:hAnsi="宋体" w:eastAsia="宋体"/>
                <w:sz w:val="16"/>
              </w:rPr>
              <w:t>“7+4”行业领域非法集资风险知晓率（%）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4D1C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3E42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0D1D7">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FB1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550F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D43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7DB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886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F81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534A5">
            <w:pPr>
              <w:jc w:val="center"/>
            </w:pPr>
          </w:p>
        </w:tc>
      </w:tr>
      <w:tr w14:paraId="5639C8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9D91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A30C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813E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17966">
            <w:pPr>
              <w:jc w:val="center"/>
            </w:pPr>
            <w:r>
              <w:rPr>
                <w:rFonts w:ascii="宋体" w:hAnsi="宋体" w:eastAsia="宋体"/>
                <w:sz w:val="16"/>
              </w:rPr>
              <w:t>检查人员被投诉次数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D33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29CA5">
            <w:pPr>
              <w:jc w:val="center"/>
            </w:pPr>
            <w:r>
              <w:rPr>
                <w:rFonts w:ascii="宋体" w:hAnsi="宋体" w:eastAsia="宋体"/>
                <w:sz w:val="16"/>
              </w:rPr>
              <w:t>&lt;1次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FABC5">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CE2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2BB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23A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3C8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D1C6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F9C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F0ADB">
            <w:pPr>
              <w:jc w:val="center"/>
            </w:pPr>
          </w:p>
        </w:tc>
      </w:tr>
      <w:tr w14:paraId="15F9999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DA0EF3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481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695D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E82E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FB8C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EBCB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982E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05FD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9777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E5B8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687CC8"/>
        </w:tc>
      </w:tr>
    </w:tbl>
    <w:p w14:paraId="23867753">
      <w:r>
        <w:br w:type="page"/>
      </w:r>
    </w:p>
    <w:p w14:paraId="27677D63">
      <w:pPr>
        <w:spacing w:line="640" w:lineRule="exact"/>
        <w:ind w:firstLine="640"/>
        <w:jc w:val="both"/>
        <w:outlineLvl w:val="2"/>
      </w:pPr>
      <w:r>
        <w:rPr>
          <w:rFonts w:ascii="黑体" w:hAnsi="黑体" w:eastAsia="黑体"/>
          <w:sz w:val="32"/>
        </w:rPr>
        <w:t>十二、其他需说明的事项</w:t>
      </w:r>
    </w:p>
    <w:p w14:paraId="3A98307A">
      <w:pPr>
        <w:spacing w:line="580" w:lineRule="exact"/>
        <w:ind w:firstLine="640"/>
        <w:jc w:val="both"/>
      </w:pPr>
      <w:r>
        <w:rPr>
          <w:rFonts w:ascii="仿宋_GB2312" w:hAnsi="仿宋_GB2312" w:eastAsia="仿宋_GB2312"/>
          <w:b w:val="0"/>
          <w:sz w:val="32"/>
        </w:rPr>
        <w:t>本单位无其他需说明的事项。</w:t>
      </w:r>
    </w:p>
    <w:p w14:paraId="41347BF4">
      <w:r>
        <w:br w:type="page"/>
      </w:r>
    </w:p>
    <w:p w14:paraId="733DE2AD">
      <w:pPr>
        <w:spacing w:line="240" w:lineRule="auto"/>
        <w:jc w:val="center"/>
        <w:outlineLvl w:val="1"/>
      </w:pPr>
      <w:r>
        <w:rPr>
          <w:rFonts w:ascii="黑体" w:hAnsi="黑体" w:eastAsia="黑体"/>
          <w:sz w:val="32"/>
        </w:rPr>
        <w:t>第三部分 专业名词解释</w:t>
      </w:r>
    </w:p>
    <w:p w14:paraId="1848056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20346C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174EC2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CC2CB6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90467C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47F531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0BC1DA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268349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62C86C1">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52201BC">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024E24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49BD68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30613AC">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D0B1A9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4C8ABFD">
      <w:r>
        <w:br w:type="page"/>
      </w:r>
    </w:p>
    <w:p w14:paraId="1FFFF187">
      <w:pPr>
        <w:spacing w:line="240" w:lineRule="auto"/>
        <w:jc w:val="center"/>
        <w:outlineLvl w:val="1"/>
      </w:pPr>
      <w:r>
        <w:rPr>
          <w:rFonts w:ascii="黑体" w:hAnsi="黑体" w:eastAsia="黑体"/>
          <w:sz w:val="32"/>
        </w:rPr>
        <w:t>第四部分 部门决算报表（见附表）</w:t>
      </w:r>
    </w:p>
    <w:p w14:paraId="1FC39F5F">
      <w:pPr>
        <w:spacing w:line="240" w:lineRule="auto"/>
        <w:ind w:firstLine="640"/>
        <w:jc w:val="both"/>
      </w:pPr>
      <w:r>
        <w:rPr>
          <w:rFonts w:ascii="仿宋_GB2312" w:hAnsi="仿宋_GB2312" w:eastAsia="仿宋_GB2312"/>
          <w:b w:val="0"/>
          <w:sz w:val="32"/>
        </w:rPr>
        <w:t>一、《收入支出决算总表》</w:t>
      </w:r>
    </w:p>
    <w:p w14:paraId="4AE209D9">
      <w:pPr>
        <w:spacing w:line="240" w:lineRule="auto"/>
        <w:ind w:firstLine="640"/>
        <w:jc w:val="both"/>
      </w:pPr>
      <w:r>
        <w:rPr>
          <w:rFonts w:ascii="仿宋_GB2312" w:hAnsi="仿宋_GB2312" w:eastAsia="仿宋_GB2312"/>
          <w:b w:val="0"/>
          <w:sz w:val="32"/>
        </w:rPr>
        <w:t>二、《收入决算表》</w:t>
      </w:r>
    </w:p>
    <w:p w14:paraId="41AC9FC4">
      <w:pPr>
        <w:spacing w:line="240" w:lineRule="auto"/>
        <w:ind w:firstLine="640"/>
        <w:jc w:val="both"/>
      </w:pPr>
      <w:r>
        <w:rPr>
          <w:rFonts w:ascii="仿宋_GB2312" w:hAnsi="仿宋_GB2312" w:eastAsia="仿宋_GB2312"/>
          <w:b w:val="0"/>
          <w:sz w:val="32"/>
        </w:rPr>
        <w:t>三、《支出决算表》</w:t>
      </w:r>
    </w:p>
    <w:p w14:paraId="5AF9E3B7">
      <w:pPr>
        <w:spacing w:line="240" w:lineRule="auto"/>
        <w:ind w:firstLine="640"/>
        <w:jc w:val="both"/>
      </w:pPr>
      <w:r>
        <w:rPr>
          <w:rFonts w:ascii="仿宋_GB2312" w:hAnsi="仿宋_GB2312" w:eastAsia="仿宋_GB2312"/>
          <w:b w:val="0"/>
          <w:sz w:val="32"/>
        </w:rPr>
        <w:t>四、《财政拨款收入支出决算总表》</w:t>
      </w:r>
    </w:p>
    <w:p w14:paraId="00C3A652">
      <w:pPr>
        <w:spacing w:line="240" w:lineRule="auto"/>
        <w:ind w:firstLine="640"/>
        <w:jc w:val="both"/>
      </w:pPr>
      <w:r>
        <w:rPr>
          <w:rFonts w:ascii="仿宋_GB2312" w:hAnsi="仿宋_GB2312" w:eastAsia="仿宋_GB2312"/>
          <w:b w:val="0"/>
          <w:sz w:val="32"/>
        </w:rPr>
        <w:t>五、《一般公共预算财政拨款支出决算表》</w:t>
      </w:r>
    </w:p>
    <w:p w14:paraId="23F64814">
      <w:pPr>
        <w:spacing w:line="240" w:lineRule="auto"/>
        <w:ind w:firstLine="640"/>
        <w:jc w:val="both"/>
      </w:pPr>
      <w:r>
        <w:rPr>
          <w:rFonts w:ascii="仿宋_GB2312" w:hAnsi="仿宋_GB2312" w:eastAsia="仿宋_GB2312"/>
          <w:b w:val="0"/>
          <w:sz w:val="32"/>
        </w:rPr>
        <w:t>六、《一般公共预算财政拨款基本支出决算表》</w:t>
      </w:r>
    </w:p>
    <w:p w14:paraId="02640BFD">
      <w:pPr>
        <w:spacing w:line="240" w:lineRule="auto"/>
        <w:ind w:firstLine="640"/>
        <w:jc w:val="both"/>
      </w:pPr>
      <w:r>
        <w:rPr>
          <w:rFonts w:ascii="仿宋_GB2312" w:hAnsi="仿宋_GB2312" w:eastAsia="仿宋_GB2312"/>
          <w:b w:val="0"/>
          <w:sz w:val="32"/>
        </w:rPr>
        <w:t>七、《政府性基金预算财政拨款收入支出决算表》</w:t>
      </w:r>
    </w:p>
    <w:p w14:paraId="44DEC503">
      <w:pPr>
        <w:spacing w:line="240" w:lineRule="auto"/>
        <w:ind w:firstLine="640"/>
        <w:jc w:val="both"/>
      </w:pPr>
      <w:r>
        <w:rPr>
          <w:rFonts w:ascii="仿宋_GB2312" w:hAnsi="仿宋_GB2312" w:eastAsia="仿宋_GB2312"/>
          <w:b w:val="0"/>
          <w:sz w:val="32"/>
        </w:rPr>
        <w:t>八、《国有资本经营预算财政拨款收入支出决算表》</w:t>
      </w:r>
    </w:p>
    <w:p w14:paraId="1ACDA914">
      <w:pPr>
        <w:spacing w:line="240" w:lineRule="auto"/>
        <w:ind w:firstLine="640"/>
        <w:jc w:val="both"/>
      </w:pPr>
      <w:r>
        <w:rPr>
          <w:rFonts w:ascii="仿宋_GB2312" w:hAnsi="仿宋_GB2312" w:eastAsia="仿宋_GB2312"/>
          <w:b w:val="0"/>
          <w:sz w:val="32"/>
        </w:rPr>
        <w:t>九、《财政拨款“三公”经费支出决算表》</w:t>
      </w:r>
    </w:p>
    <w:p w14:paraId="3AA2C4D3">
      <w:pPr>
        <w:spacing w:line="240" w:lineRule="auto"/>
        <w:ind w:firstLine="640"/>
        <w:jc w:val="both"/>
      </w:pPr>
    </w:p>
    <w:p w14:paraId="4C009E60">
      <w:pPr>
        <w:spacing w:line="240" w:lineRule="auto"/>
        <w:ind w:firstLine="640"/>
        <w:jc w:val="both"/>
      </w:pPr>
    </w:p>
    <w:p w14:paraId="0A62DF47">
      <w:pPr>
        <w:spacing w:line="240" w:lineRule="auto"/>
        <w:ind w:firstLine="640"/>
        <w:jc w:val="both"/>
      </w:pPr>
    </w:p>
    <w:p w14:paraId="59FAA74B">
      <w:pPr>
        <w:spacing w:line="240" w:lineRule="auto"/>
        <w:ind w:firstLine="640"/>
        <w:jc w:val="both"/>
      </w:pPr>
    </w:p>
    <w:p w14:paraId="0F44AF53">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6103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6B15E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7392</Words>
  <Characters>8285</Characters>
  <Lines>0</Lines>
  <Paragraphs>0</Paragraphs>
  <TotalTime>5</TotalTime>
  <ScaleCrop>false</ScaleCrop>
  <LinksUpToDate>false</LinksUpToDate>
  <CharactersWithSpaces>8295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2025-10-15T04:07:25Z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