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昌吉回族自治州交通运输综合行政执法局2024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3F10E0A">
      <w:r>
        <w:br w:type="page"/>
      </w:r>
    </w:p>
    <w:p w14:paraId="4121CDF2">
      <w:pPr>
        <w:spacing w:line="640" w:lineRule="exact"/>
        <w:jc w:val="center"/>
        <w:outlineLvl w:val="1"/>
      </w:pPr>
      <w:r>
        <w:rPr>
          <w:rFonts w:ascii="黑体" w:hAnsi="黑体" w:eastAsia="黑体"/>
          <w:sz w:val="32"/>
        </w:rPr>
        <w:t>第一部分 单位概况</w:t>
      </w:r>
    </w:p>
    <w:p w14:paraId="165D6DB4">
      <w:pPr>
        <w:spacing w:line="640" w:lineRule="exact"/>
        <w:ind w:firstLine="640"/>
        <w:jc w:val="both"/>
        <w:outlineLvl w:val="2"/>
      </w:pPr>
      <w:r>
        <w:rPr>
          <w:rFonts w:ascii="黑体" w:hAnsi="黑体" w:eastAsia="黑体"/>
          <w:sz w:val="32"/>
        </w:rPr>
        <w:t>一、主要职能</w:t>
      </w:r>
    </w:p>
    <w:p w14:paraId="51A2E1B6">
      <w:pPr>
        <w:spacing w:line="580" w:lineRule="exact"/>
        <w:ind w:firstLine="640"/>
        <w:jc w:val="both"/>
      </w:pPr>
      <w:r>
        <w:rPr>
          <w:rFonts w:ascii="仿宋_GB2312" w:hAnsi="仿宋_GB2312" w:eastAsia="仿宋_GB2312"/>
          <w:sz w:val="32"/>
        </w:rPr>
        <w:t>昌吉州交通运输综合行政执法局负责自治州交通运输行政执法的监督指导和组织协调等工作，负责交通运输系统公路路政、道路运政、地方海事行政、工程质量监督管理执法门类的行政处罚以及与行政处罚相关的行政检查、行政强制等工作。</w:t>
      </w:r>
    </w:p>
    <w:p w14:paraId="4A8C06A1">
      <w:pPr>
        <w:spacing w:line="640" w:lineRule="exact"/>
        <w:ind w:firstLine="640"/>
        <w:jc w:val="both"/>
        <w:outlineLvl w:val="2"/>
      </w:pPr>
      <w:r>
        <w:rPr>
          <w:rFonts w:ascii="黑体" w:hAnsi="黑体" w:eastAsia="黑体"/>
          <w:sz w:val="32"/>
        </w:rPr>
        <w:t>二、机构设置及人员情况</w:t>
      </w:r>
    </w:p>
    <w:p w14:paraId="43FF8D3D">
      <w:pPr>
        <w:spacing w:line="580" w:lineRule="exact"/>
        <w:ind w:firstLine="640"/>
        <w:jc w:val="both"/>
      </w:pPr>
      <w:r>
        <w:rPr>
          <w:rFonts w:ascii="仿宋_GB2312" w:hAnsi="仿宋_GB2312" w:eastAsia="仿宋_GB2312"/>
          <w:sz w:val="32"/>
        </w:rPr>
        <w:t>昌吉回族自治州交通运输综合行政执法局2024年度，实有人数26人，其中：在职人员21人，减少6人；离休人员0人，增加0人；退休人员5人,增加3人。</w:t>
      </w:r>
    </w:p>
    <w:p w14:paraId="094B1D07">
      <w:pPr>
        <w:spacing w:line="580" w:lineRule="exact"/>
        <w:ind w:firstLine="640"/>
        <w:jc w:val="both"/>
      </w:pPr>
      <w:r>
        <w:rPr>
          <w:rFonts w:ascii="仿宋_GB2312" w:hAnsi="仿宋_GB2312" w:eastAsia="仿宋_GB2312"/>
          <w:sz w:val="32"/>
        </w:rPr>
        <w:t>昌吉回族自治州交通运输综合行政执法局无下属预算单位，下设6个科室，分别是：道路客运执法监督科、道路货运执法监督科、机动车驾培维修执法监督科、公路路政海事执法监督科、公路工程质量执法监督科、准东经济技术开发区交通运输综合行政执法大队。</w:t>
      </w:r>
    </w:p>
    <w:p w14:paraId="0493C8F3">
      <w:r>
        <w:br w:type="page"/>
      </w:r>
    </w:p>
    <w:p w14:paraId="0EF6F2C8">
      <w:pPr>
        <w:spacing w:line="240" w:lineRule="auto"/>
        <w:jc w:val="center"/>
        <w:outlineLvl w:val="1"/>
      </w:pPr>
      <w:r>
        <w:rPr>
          <w:rFonts w:ascii="黑体" w:hAnsi="黑体" w:eastAsia="黑体"/>
          <w:sz w:val="32"/>
        </w:rPr>
        <w:t>第二部分 部门决算情况说明</w:t>
      </w:r>
    </w:p>
    <w:p w14:paraId="37C19CD1">
      <w:pPr>
        <w:spacing w:line="640" w:lineRule="exact"/>
        <w:ind w:firstLine="640"/>
        <w:jc w:val="both"/>
        <w:outlineLvl w:val="2"/>
      </w:pPr>
      <w:r>
        <w:rPr>
          <w:rFonts w:ascii="黑体" w:hAnsi="黑体" w:eastAsia="黑体"/>
          <w:sz w:val="32"/>
        </w:rPr>
        <w:t>一、收入支出决算总体情况说明</w:t>
      </w:r>
    </w:p>
    <w:p w14:paraId="63F77924">
      <w:pPr>
        <w:spacing w:line="580" w:lineRule="exact"/>
        <w:ind w:firstLine="640"/>
        <w:jc w:val="both"/>
      </w:pPr>
      <w:r>
        <w:rPr>
          <w:rFonts w:ascii="仿宋_GB2312" w:hAnsi="仿宋_GB2312" w:eastAsia="仿宋_GB2312"/>
          <w:b/>
          <w:sz w:val="32"/>
        </w:rPr>
        <w:t>2024年度收入总计518.46万元，</w:t>
      </w:r>
      <w:r>
        <w:rPr>
          <w:rFonts w:ascii="仿宋_GB2312" w:hAnsi="仿宋_GB2312" w:eastAsia="仿宋_GB2312"/>
          <w:b w:val="0"/>
          <w:sz w:val="32"/>
        </w:rPr>
        <w:t>其中：本年收入合计495.49万元，使用非财政拨款结余（含专用结余）0.00万元，年初结转和结余22.98万元。</w:t>
      </w:r>
    </w:p>
    <w:p w14:paraId="749F9902">
      <w:pPr>
        <w:spacing w:line="580" w:lineRule="exact"/>
        <w:ind w:firstLine="640"/>
        <w:jc w:val="both"/>
      </w:pPr>
      <w:r>
        <w:rPr>
          <w:rFonts w:ascii="仿宋_GB2312" w:hAnsi="仿宋_GB2312" w:eastAsia="仿宋_GB2312"/>
          <w:b/>
          <w:sz w:val="32"/>
        </w:rPr>
        <w:t>2024年度支出总计518.46万元，</w:t>
      </w:r>
      <w:r>
        <w:rPr>
          <w:rFonts w:ascii="仿宋_GB2312" w:hAnsi="仿宋_GB2312" w:eastAsia="仿宋_GB2312"/>
          <w:b w:val="0"/>
          <w:sz w:val="32"/>
        </w:rPr>
        <w:t>其中：本年支出合计512.68万元，结余分配0.00万元，年末结转和结余5.78万元。</w:t>
      </w:r>
    </w:p>
    <w:p w14:paraId="549869B3">
      <w:pPr>
        <w:spacing w:line="580" w:lineRule="exact"/>
        <w:ind w:firstLine="640"/>
        <w:jc w:val="both"/>
      </w:pPr>
      <w:r>
        <w:rPr>
          <w:rFonts w:ascii="仿宋_GB2312" w:hAnsi="仿宋_GB2312" w:eastAsia="仿宋_GB2312"/>
          <w:b w:val="0"/>
          <w:sz w:val="32"/>
        </w:rPr>
        <w:t>收入支出总体与上年相比，减少92.48万元，下降15.14%，主要原因是：本年度单位因机构改革，调出6人至昌吉市交通运输局，导致人员经费减少；减少运管局退休人员退回部分工资。</w:t>
      </w:r>
    </w:p>
    <w:p w14:paraId="1A53EF9A">
      <w:pPr>
        <w:spacing w:line="640" w:lineRule="exact"/>
        <w:ind w:firstLine="640"/>
        <w:jc w:val="both"/>
        <w:outlineLvl w:val="2"/>
      </w:pPr>
      <w:r>
        <w:rPr>
          <w:rFonts w:ascii="黑体" w:hAnsi="黑体" w:eastAsia="黑体"/>
          <w:sz w:val="32"/>
        </w:rPr>
        <w:t>二、收入决算情况说明</w:t>
      </w:r>
    </w:p>
    <w:p w14:paraId="0643399C">
      <w:pPr>
        <w:spacing w:line="580" w:lineRule="exact"/>
        <w:ind w:firstLine="640"/>
        <w:jc w:val="both"/>
      </w:pPr>
      <w:r>
        <w:rPr>
          <w:rFonts w:ascii="仿宋_GB2312" w:hAnsi="仿宋_GB2312" w:eastAsia="仿宋_GB2312"/>
          <w:b/>
          <w:sz w:val="32"/>
        </w:rPr>
        <w:t>本年收入495.49万元，</w:t>
      </w:r>
      <w:r>
        <w:rPr>
          <w:rFonts w:ascii="仿宋_GB2312" w:hAnsi="仿宋_GB2312" w:eastAsia="仿宋_GB2312"/>
          <w:b w:val="0"/>
          <w:sz w:val="32"/>
        </w:rPr>
        <w:t>其中：财政拨款收入495.37万元，占99.98%；上级补助收入0.00万元，占0.00%；事业收入0.00万元，占0.00%；经营收入0.00万元，占0.00%；附属单位上缴收入0.00万元，占0.00%；其他收入0.12万元，占0.02%。</w:t>
      </w:r>
    </w:p>
    <w:p w14:paraId="36C96FB9">
      <w:pPr>
        <w:spacing w:line="640" w:lineRule="exact"/>
        <w:ind w:firstLine="640"/>
        <w:jc w:val="both"/>
        <w:outlineLvl w:val="2"/>
      </w:pPr>
      <w:r>
        <w:rPr>
          <w:rFonts w:ascii="黑体" w:hAnsi="黑体" w:eastAsia="黑体"/>
          <w:sz w:val="32"/>
        </w:rPr>
        <w:t>三、支出决算情况说明</w:t>
      </w:r>
    </w:p>
    <w:p w14:paraId="21307981">
      <w:pPr>
        <w:spacing w:line="580" w:lineRule="exact"/>
        <w:ind w:firstLine="640"/>
        <w:jc w:val="both"/>
      </w:pPr>
      <w:r>
        <w:rPr>
          <w:rFonts w:ascii="仿宋_GB2312" w:hAnsi="仿宋_GB2312" w:eastAsia="仿宋_GB2312"/>
          <w:b/>
          <w:sz w:val="32"/>
        </w:rPr>
        <w:t>本年支出512.68万元，</w:t>
      </w:r>
      <w:r>
        <w:rPr>
          <w:rFonts w:ascii="仿宋_GB2312" w:hAnsi="仿宋_GB2312" w:eastAsia="仿宋_GB2312"/>
          <w:b w:val="0"/>
          <w:sz w:val="32"/>
        </w:rPr>
        <w:t>其中：基本支出490.37万元，占95.65%；项目支出22.31万元，占4.35%；上缴上级支出0.00万元，占0.00%；经营支出0.00万元，占0.00%；对附属单位补助支出0.00万元，占0.00%。</w:t>
      </w:r>
    </w:p>
    <w:p w14:paraId="1A9FA673">
      <w:pPr>
        <w:spacing w:line="640" w:lineRule="exact"/>
        <w:ind w:firstLine="640"/>
        <w:jc w:val="both"/>
        <w:outlineLvl w:val="2"/>
      </w:pPr>
      <w:r>
        <w:rPr>
          <w:rFonts w:ascii="黑体" w:hAnsi="黑体" w:eastAsia="黑体"/>
          <w:sz w:val="32"/>
        </w:rPr>
        <w:t>四、财政拨款收入支出决算总体情况说明</w:t>
      </w:r>
    </w:p>
    <w:p w14:paraId="4F5C6336">
      <w:pPr>
        <w:spacing w:line="580" w:lineRule="exact"/>
        <w:ind w:firstLine="640"/>
        <w:jc w:val="both"/>
      </w:pPr>
      <w:r>
        <w:rPr>
          <w:rFonts w:ascii="仿宋_GB2312" w:hAnsi="仿宋_GB2312" w:eastAsia="仿宋_GB2312"/>
          <w:b/>
          <w:sz w:val="32"/>
        </w:rPr>
        <w:t>2024年度财政拨款收入总计495.37万元，</w:t>
      </w:r>
      <w:r>
        <w:rPr>
          <w:rFonts w:ascii="仿宋_GB2312" w:hAnsi="仿宋_GB2312" w:eastAsia="仿宋_GB2312"/>
          <w:b w:val="0"/>
          <w:sz w:val="32"/>
        </w:rPr>
        <w:t>其中：年初财政拨款结转和结余0.00万元，本年财政拨款收入495.37万元。</w:t>
      </w:r>
      <w:r>
        <w:rPr>
          <w:rFonts w:ascii="仿宋_GB2312" w:hAnsi="仿宋_GB2312" w:eastAsia="仿宋_GB2312"/>
          <w:b/>
          <w:sz w:val="32"/>
        </w:rPr>
        <w:t>财政拨款支出总计495.37万元，</w:t>
      </w:r>
      <w:r>
        <w:rPr>
          <w:rFonts w:ascii="仿宋_GB2312" w:hAnsi="仿宋_GB2312" w:eastAsia="仿宋_GB2312"/>
          <w:b w:val="0"/>
          <w:sz w:val="32"/>
        </w:rPr>
        <w:t>其中：年末财政拨款结转和结余0.00万元，本年财政拨款支出495.37万元。</w:t>
      </w:r>
    </w:p>
    <w:p w14:paraId="3F09744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减少74.09万元，下降13.01%，主要原因是：本年度单位因机构改革，调出6人至昌吉市交通运输局，导致人员经费减少。</w:t>
      </w:r>
      <w:r>
        <w:rPr>
          <w:rFonts w:ascii="仿宋_GB2312" w:hAnsi="仿宋_GB2312" w:eastAsia="仿宋_GB2312"/>
          <w:b/>
          <w:sz w:val="32"/>
        </w:rPr>
        <w:t>与年初预算相比，</w:t>
      </w:r>
      <w:r>
        <w:rPr>
          <w:rFonts w:ascii="仿宋_GB2312" w:hAnsi="仿宋_GB2312" w:eastAsia="仿宋_GB2312"/>
          <w:b w:val="0"/>
          <w:sz w:val="32"/>
        </w:rPr>
        <w:t>年初预算数530.05万元，决算数495.37万元，预决算差异率-6.54%，主要原因是：本年度单位因机构改革，调出6人至昌吉市交通运输局，年中调减人员经费。</w:t>
      </w:r>
    </w:p>
    <w:p w14:paraId="420B0698">
      <w:pPr>
        <w:spacing w:line="640" w:lineRule="exact"/>
        <w:ind w:firstLine="640"/>
        <w:jc w:val="both"/>
        <w:outlineLvl w:val="2"/>
      </w:pPr>
      <w:r>
        <w:rPr>
          <w:rFonts w:ascii="黑体" w:hAnsi="黑体" w:eastAsia="黑体"/>
          <w:sz w:val="32"/>
        </w:rPr>
        <w:t>五、一般公共预算财政拨款支出决算情况说明</w:t>
      </w:r>
    </w:p>
    <w:p w14:paraId="2C05B537">
      <w:pPr>
        <w:spacing w:line="640" w:lineRule="exact"/>
        <w:ind w:firstLine="640"/>
        <w:jc w:val="both"/>
        <w:outlineLvl w:val="3"/>
      </w:pPr>
      <w:r>
        <w:rPr>
          <w:rFonts w:ascii="楷体_GB2312" w:hAnsi="楷体_GB2312" w:eastAsia="楷体_GB2312"/>
          <w:b/>
          <w:sz w:val="32"/>
        </w:rPr>
        <w:t>（一）一般公共预算财政拨款支出决算总体情况</w:t>
      </w:r>
    </w:p>
    <w:p w14:paraId="2DD5D753">
      <w:pPr>
        <w:spacing w:line="580" w:lineRule="exact"/>
        <w:ind w:firstLine="640"/>
        <w:jc w:val="both"/>
      </w:pPr>
      <w:r>
        <w:rPr>
          <w:rFonts w:ascii="仿宋_GB2312" w:hAnsi="仿宋_GB2312" w:eastAsia="仿宋_GB2312"/>
          <w:b/>
          <w:sz w:val="32"/>
        </w:rPr>
        <w:t>2024年度一般公共预算财政拨款支出495.37万元，</w:t>
      </w:r>
      <w:r>
        <w:rPr>
          <w:rFonts w:ascii="仿宋_GB2312" w:hAnsi="仿宋_GB2312" w:eastAsia="仿宋_GB2312"/>
          <w:b w:val="0"/>
          <w:sz w:val="32"/>
        </w:rPr>
        <w:t>占本年支出合计的96.62%。</w:t>
      </w:r>
      <w:r>
        <w:rPr>
          <w:rFonts w:ascii="仿宋_GB2312" w:hAnsi="仿宋_GB2312" w:eastAsia="仿宋_GB2312"/>
          <w:b/>
          <w:sz w:val="32"/>
        </w:rPr>
        <w:t>与上年相比，</w:t>
      </w:r>
      <w:r>
        <w:rPr>
          <w:rFonts w:ascii="仿宋_GB2312" w:hAnsi="仿宋_GB2312" w:eastAsia="仿宋_GB2312"/>
          <w:b w:val="0"/>
          <w:sz w:val="32"/>
        </w:rPr>
        <w:t>减少74.09万元，下降13.01%，主要原因是：本年度单位因机构改革，调出6人至昌吉市交通运输局，导致人员经费减少。</w:t>
      </w:r>
      <w:r>
        <w:rPr>
          <w:rFonts w:ascii="仿宋_GB2312" w:hAnsi="仿宋_GB2312" w:eastAsia="仿宋_GB2312"/>
          <w:b/>
          <w:sz w:val="32"/>
        </w:rPr>
        <w:t>与年初预算相比,</w:t>
      </w:r>
      <w:r>
        <w:rPr>
          <w:rFonts w:ascii="仿宋_GB2312" w:hAnsi="仿宋_GB2312" w:eastAsia="仿宋_GB2312"/>
          <w:b w:val="0"/>
          <w:sz w:val="32"/>
        </w:rPr>
        <w:t>年初预算数530.05万元，决算数495.37万元，预决算差异率-6.54%，主要原因是：本年度单位因机构改革，调出6人至昌吉市交通运输局，年中调减人员经费。</w:t>
      </w:r>
    </w:p>
    <w:p w14:paraId="0448CD7F">
      <w:pPr>
        <w:spacing w:line="640" w:lineRule="exact"/>
        <w:ind w:firstLine="640"/>
        <w:jc w:val="both"/>
        <w:outlineLvl w:val="3"/>
      </w:pPr>
      <w:r>
        <w:rPr>
          <w:rFonts w:ascii="楷体_GB2312" w:hAnsi="楷体_GB2312" w:eastAsia="楷体_GB2312"/>
          <w:b/>
          <w:sz w:val="32"/>
        </w:rPr>
        <w:t>（二）一般公共预算财政拨款支出决算结构情况</w:t>
      </w:r>
    </w:p>
    <w:p w14:paraId="6D096231">
      <w:pPr>
        <w:spacing w:line="580" w:lineRule="exact"/>
        <w:ind w:firstLine="640"/>
        <w:jc w:val="both"/>
      </w:pPr>
      <w:r>
        <w:rPr>
          <w:rFonts w:ascii="仿宋_GB2312" w:hAnsi="仿宋_GB2312" w:eastAsia="仿宋_GB2312"/>
          <w:b w:val="0"/>
          <w:sz w:val="32"/>
        </w:rPr>
        <w:t>1.社会保障和就业支出(类)85.87万元,占17.33%。</w:t>
      </w:r>
    </w:p>
    <w:p w14:paraId="18604BC3">
      <w:pPr>
        <w:spacing w:line="580" w:lineRule="exact"/>
        <w:ind w:firstLine="640"/>
        <w:jc w:val="both"/>
      </w:pPr>
      <w:r>
        <w:rPr>
          <w:rFonts w:ascii="仿宋_GB2312" w:hAnsi="仿宋_GB2312" w:eastAsia="仿宋_GB2312"/>
          <w:b w:val="0"/>
          <w:sz w:val="32"/>
        </w:rPr>
        <w:t>2.卫生健康支出(类)28.25万元,占5.70%。</w:t>
      </w:r>
    </w:p>
    <w:p w14:paraId="7B648661">
      <w:pPr>
        <w:spacing w:line="580" w:lineRule="exact"/>
        <w:ind w:firstLine="640"/>
        <w:jc w:val="both"/>
      </w:pPr>
      <w:r>
        <w:rPr>
          <w:rFonts w:ascii="仿宋_GB2312" w:hAnsi="仿宋_GB2312" w:eastAsia="仿宋_GB2312"/>
          <w:b w:val="0"/>
          <w:sz w:val="32"/>
        </w:rPr>
        <w:t>3.交通运输支出(类)330.06万元,占66.63%。</w:t>
      </w:r>
    </w:p>
    <w:p w14:paraId="7BF03EA8">
      <w:pPr>
        <w:spacing w:line="580" w:lineRule="exact"/>
        <w:ind w:firstLine="640"/>
        <w:jc w:val="both"/>
      </w:pPr>
      <w:r>
        <w:rPr>
          <w:rFonts w:ascii="仿宋_GB2312" w:hAnsi="仿宋_GB2312" w:eastAsia="仿宋_GB2312"/>
          <w:b w:val="0"/>
          <w:sz w:val="32"/>
        </w:rPr>
        <w:t>4.住房保障支出(类)42.55万元,占8.59%。</w:t>
      </w:r>
    </w:p>
    <w:p w14:paraId="397A12B0">
      <w:pPr>
        <w:spacing w:line="580" w:lineRule="exact"/>
        <w:ind w:firstLine="640"/>
        <w:jc w:val="both"/>
      </w:pPr>
      <w:r>
        <w:rPr>
          <w:rFonts w:ascii="仿宋_GB2312" w:hAnsi="仿宋_GB2312" w:eastAsia="仿宋_GB2312"/>
          <w:b w:val="0"/>
          <w:sz w:val="32"/>
        </w:rPr>
        <w:t>5.其他支出(类)8.63万元,占1.74%。</w:t>
      </w:r>
    </w:p>
    <w:p w14:paraId="41C273B0">
      <w:pPr>
        <w:spacing w:line="640" w:lineRule="exact"/>
        <w:ind w:firstLine="640"/>
        <w:jc w:val="both"/>
        <w:outlineLvl w:val="3"/>
      </w:pPr>
      <w:r>
        <w:rPr>
          <w:rFonts w:ascii="楷体_GB2312" w:hAnsi="楷体_GB2312" w:eastAsia="楷体_GB2312"/>
          <w:b/>
          <w:sz w:val="32"/>
        </w:rPr>
        <w:t>（三）一般公共预算财政拨款支出决算具体情况</w:t>
      </w:r>
    </w:p>
    <w:p w14:paraId="727280CC">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0.76万元，比上年决算增加0.49万元，增长181.48%,主要原因是：本年增加退休人员，发放退休人员基础绩效奖，退休费支出增加。</w:t>
      </w:r>
    </w:p>
    <w:p w14:paraId="4EAE1B8D">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52.84万元，比上年决算减少0.50万元，下降0.94%,主要原因是：本年度单位因机构改革，调出6人至昌吉市交通运输局，导致养老保险缴费支出减少。</w:t>
      </w:r>
    </w:p>
    <w:p w14:paraId="60FE95D0">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3.社会保障和就业支出(类)行政事业单位养老支出(款)机关事业单位职业年金缴费支出(项):支出决算数为32.27万元，比上年决算增加2.16万元，增长7.17%,主要原因是：本年新增退休人员3人，职业年金缴费支出增加。</w:t>
      </w:r>
    </w:p>
    <w:p w14:paraId="75965D76">
      <w:pPr>
        <w:spacing w:line="580" w:lineRule="exact"/>
        <w:ind w:firstLine="640"/>
        <w:jc w:val="both"/>
      </w:pPr>
      <w:r>
        <w:rPr>
          <w:rFonts w:ascii="仿宋_GB2312" w:hAnsi="仿宋_GB2312" w:eastAsia="仿宋_GB2312"/>
          <w:b w:val="0"/>
          <w:sz w:val="32"/>
        </w:rPr>
        <w:t>4.卫生健康支出(类)行政事业单位医疗(款)行政单位医疗(项):支出决算数为26.42万元，比上年决算减少0.25万元，下降0.94%,主要原因是：本年度单位因机构改革，调出6人至昌吉市交通运输局，导致单位医疗缴费减少。</w:t>
      </w:r>
    </w:p>
    <w:p w14:paraId="35E8F8EB">
      <w:pPr>
        <w:spacing w:line="580" w:lineRule="exact"/>
        <w:ind w:firstLine="640"/>
        <w:jc w:val="both"/>
      </w:pPr>
      <w:r>
        <w:rPr>
          <w:rFonts w:ascii="仿宋_GB2312" w:hAnsi="仿宋_GB2312" w:eastAsia="仿宋_GB2312"/>
          <w:b w:val="0"/>
          <w:sz w:val="32"/>
        </w:rPr>
        <w:t>5.卫生健康支出(类)行政事业单位医疗(款)公务员医疗补助(项):支出决算数为1.65万元，比上年决算减少0.02万元，下降1.20%,主要原因是：本年度单位因机构改革，调出6人至昌吉市交通运输局，导致单位医疗缴费减少。</w:t>
      </w:r>
    </w:p>
    <w:p w14:paraId="1DEA1A60">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0.18万元，比上年决算减少0.01万元，下降5.26%,主要原因是：本年度单位因机构改革，调出6人至昌吉市交通运输局，导致单位医疗缴费减少。</w:t>
      </w:r>
    </w:p>
    <w:p w14:paraId="2A31C276">
      <w:pPr>
        <w:spacing w:line="580" w:lineRule="exact"/>
        <w:ind w:firstLine="640"/>
        <w:jc w:val="both"/>
      </w:pPr>
      <w:r>
        <w:rPr>
          <w:rFonts w:ascii="仿宋_GB2312" w:hAnsi="仿宋_GB2312" w:eastAsia="仿宋_GB2312"/>
          <w:b w:val="0"/>
          <w:sz w:val="32"/>
        </w:rPr>
        <w:t>7.交通运输支出(类)公路水路运输(款)行政运行(项):支出决算数为330.06万元，比上年决算减少68.25万元，下降17.13%,主要原因是：本年度单位因机构改革，调出6人至昌吉市交通运输局，导致人员经费减少。</w:t>
      </w:r>
    </w:p>
    <w:p w14:paraId="36DBC6BA">
      <w:pPr>
        <w:spacing w:line="580" w:lineRule="exact"/>
        <w:ind w:firstLine="640"/>
        <w:jc w:val="both"/>
      </w:pPr>
      <w:r>
        <w:rPr>
          <w:rFonts w:ascii="仿宋_GB2312" w:hAnsi="仿宋_GB2312" w:eastAsia="仿宋_GB2312"/>
          <w:b w:val="0"/>
          <w:sz w:val="32"/>
        </w:rPr>
        <w:t>8.住房保障支出(类)住房改革支出(款)住房公积金(项):支出决算数为42.55万元，比上年决算增加0.45万元，增长1.07%,主要原因是：本年在职人员工资基数调增，公积金缴费基数上涨，相应支出增加。</w:t>
      </w:r>
    </w:p>
    <w:p w14:paraId="78E238EF">
      <w:pPr>
        <w:spacing w:line="580" w:lineRule="exact"/>
        <w:ind w:firstLine="640"/>
        <w:jc w:val="both"/>
      </w:pPr>
      <w:r>
        <w:rPr>
          <w:rFonts w:ascii="仿宋_GB2312" w:hAnsi="仿宋_GB2312" w:eastAsia="仿宋_GB2312"/>
          <w:b w:val="0"/>
          <w:sz w:val="32"/>
        </w:rPr>
        <w:t>9.其他支出(类)其他支出(款)其他支出(项):支出决算数为8.63万元，比上年决算减少8.16万元，下降48.60%,主要原因是：本年减少为民办实事</w:t>
      </w:r>
      <w:r>
        <w:rPr>
          <w:rFonts w:hint="eastAsia" w:ascii="仿宋_GB2312" w:hAnsi="仿宋_GB2312" w:eastAsia="仿宋_GB2312"/>
          <w:b w:val="0"/>
          <w:sz w:val="32"/>
          <w:lang w:val="en-US" w:eastAsia="zh-CN"/>
        </w:rPr>
        <w:t>经费</w:t>
      </w:r>
      <w:r>
        <w:rPr>
          <w:rFonts w:ascii="仿宋_GB2312" w:hAnsi="仿宋_GB2312" w:eastAsia="仿宋_GB2312"/>
          <w:b w:val="0"/>
          <w:sz w:val="32"/>
        </w:rPr>
        <w:t>。</w:t>
      </w:r>
    </w:p>
    <w:p w14:paraId="3213BE1F">
      <w:pPr>
        <w:spacing w:line="640" w:lineRule="exact"/>
        <w:ind w:firstLine="640"/>
        <w:jc w:val="both"/>
        <w:outlineLvl w:val="2"/>
      </w:pPr>
      <w:r>
        <w:rPr>
          <w:rFonts w:ascii="黑体" w:hAnsi="黑体" w:eastAsia="黑体"/>
          <w:sz w:val="32"/>
        </w:rPr>
        <w:t>六、一般公共预算财政拨款基本支出决算情况说明</w:t>
      </w:r>
    </w:p>
    <w:p w14:paraId="7AC96049">
      <w:pPr>
        <w:spacing w:line="580" w:lineRule="exact"/>
        <w:ind w:firstLine="640"/>
        <w:jc w:val="both"/>
      </w:pPr>
      <w:r>
        <w:rPr>
          <w:rFonts w:ascii="仿宋_GB2312" w:hAnsi="仿宋_GB2312" w:eastAsia="仿宋_GB2312"/>
          <w:b w:val="0"/>
          <w:sz w:val="32"/>
        </w:rPr>
        <w:t>2024年度一般公共预算财政拨款基本支出490.37万元，其中：</w:t>
      </w:r>
      <w:r>
        <w:rPr>
          <w:rFonts w:ascii="仿宋_GB2312" w:hAnsi="仿宋_GB2312" w:eastAsia="仿宋_GB2312"/>
          <w:b/>
          <w:sz w:val="32"/>
        </w:rPr>
        <w:t>人员经费443.28万元，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包括：基本工资、津贴补贴、奖金、机关事业单位基本养老保险缴费、职业年金缴费、职工基本医疗保险缴费、公务员医疗补助缴费、其他社会保障缴费、住房公积金、退休费、奖励金。</w:t>
      </w:r>
    </w:p>
    <w:p w14:paraId="3934FCAD">
      <w:pPr>
        <w:spacing w:line="580" w:lineRule="exact"/>
        <w:ind w:firstLine="640"/>
        <w:jc w:val="both"/>
      </w:pPr>
      <w:r>
        <w:rPr>
          <w:rFonts w:ascii="仿宋_GB2312" w:hAnsi="仿宋_GB2312" w:eastAsia="仿宋_GB2312"/>
          <w:b/>
          <w:sz w:val="32"/>
        </w:rPr>
        <w:t>公用经费47.09万元，</w:t>
      </w:r>
      <w:r>
        <w:rPr>
          <w:rFonts w:ascii="仿宋_GB2312" w:hAnsi="仿宋_GB2312" w:eastAsia="仿宋_GB2312"/>
          <w:b w:val="0"/>
          <w:sz w:val="32"/>
        </w:rPr>
        <w:t>包括：办公费、印刷费、水费、电费、邮电费、差旅费、维修（护）费、培训费、公务接待费、劳务费、工会经费、福利费、公务用车运行维护费、其他商品和服务支出。</w:t>
      </w:r>
    </w:p>
    <w:p w14:paraId="19F17530">
      <w:pPr>
        <w:spacing w:line="640" w:lineRule="exact"/>
        <w:ind w:firstLine="640"/>
        <w:jc w:val="both"/>
        <w:outlineLvl w:val="2"/>
      </w:pPr>
      <w:r>
        <w:rPr>
          <w:rFonts w:ascii="黑体" w:hAnsi="黑体" w:eastAsia="黑体"/>
          <w:sz w:val="32"/>
        </w:rPr>
        <w:t>七、政府性基金预算财政拨款收入支出决算情况说明</w:t>
      </w:r>
    </w:p>
    <w:p w14:paraId="1F5218C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A85C535">
      <w:pPr>
        <w:spacing w:line="640" w:lineRule="exact"/>
        <w:ind w:firstLine="640"/>
        <w:jc w:val="both"/>
        <w:outlineLvl w:val="2"/>
      </w:pPr>
      <w:r>
        <w:rPr>
          <w:rFonts w:ascii="黑体" w:hAnsi="黑体" w:eastAsia="黑体"/>
          <w:sz w:val="32"/>
        </w:rPr>
        <w:t>八、国有资本经营预算财政拨款收入支出决算情况说明</w:t>
      </w:r>
    </w:p>
    <w:p w14:paraId="238443E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8207579">
      <w:pPr>
        <w:spacing w:line="640" w:lineRule="exact"/>
        <w:ind w:firstLine="640"/>
        <w:jc w:val="both"/>
        <w:outlineLvl w:val="2"/>
      </w:pPr>
      <w:r>
        <w:rPr>
          <w:rFonts w:ascii="黑体" w:hAnsi="黑体" w:eastAsia="黑体"/>
          <w:sz w:val="32"/>
        </w:rPr>
        <w:t>九、财政拨款“三公”经费支出决算情况说明</w:t>
      </w:r>
    </w:p>
    <w:p w14:paraId="4DB81B1D">
      <w:pPr>
        <w:spacing w:line="580" w:lineRule="exact"/>
        <w:ind w:firstLine="640"/>
        <w:jc w:val="both"/>
      </w:pPr>
      <w:r>
        <w:rPr>
          <w:rFonts w:ascii="仿宋_GB2312" w:hAnsi="仿宋_GB2312" w:eastAsia="仿宋_GB2312"/>
          <w:b/>
          <w:sz w:val="32"/>
        </w:rPr>
        <w:t>2024年度财政拨款“三公”经费支出15.30万元，</w:t>
      </w:r>
      <w:r>
        <w:rPr>
          <w:rFonts w:ascii="仿宋_GB2312" w:hAnsi="仿宋_GB2312" w:eastAsia="仿宋_GB2312"/>
          <w:b w:val="0"/>
          <w:sz w:val="32"/>
        </w:rPr>
        <w:t>比上年增加0.25万元，增长1.66%，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15.00万元，占98.04%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公务用车运行维护费与上年一致无变化。公务接待费支出0.30万元，占1.96%，比上年增加0.25万元，增长500.00%，主要原因是：本年因业务需求，增加公务接待工作，导致公务接待费较上年增加。</w:t>
      </w:r>
    </w:p>
    <w:p w14:paraId="45765646">
      <w:pPr>
        <w:spacing w:line="580" w:lineRule="exact"/>
        <w:ind w:firstLine="640"/>
        <w:jc w:val="both"/>
      </w:pPr>
      <w:r>
        <w:rPr>
          <w:rFonts w:ascii="仿宋_GB2312" w:hAnsi="仿宋_GB2312" w:eastAsia="仿宋_GB2312"/>
          <w:b/>
          <w:sz w:val="32"/>
        </w:rPr>
        <w:t>具体情况如下：</w:t>
      </w:r>
    </w:p>
    <w:p w14:paraId="3D182B1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900C803">
      <w:pPr>
        <w:spacing w:line="580" w:lineRule="exact"/>
        <w:ind w:firstLine="640"/>
        <w:jc w:val="both"/>
      </w:pPr>
      <w:r>
        <w:rPr>
          <w:rFonts w:ascii="仿宋_GB2312" w:hAnsi="仿宋_GB2312" w:eastAsia="仿宋_GB2312"/>
          <w:b w:val="0"/>
          <w:sz w:val="32"/>
        </w:rPr>
        <w:t>公务用车购置及运行维护费15.00万元，其中：公务用车购置费0.00万元，公务用车运行维护费15.00万元。公务用车运行维护费开支内容包括车辆加油费、维修费、保险费、审车费、过路费等。公务用车购置数0辆，公务用车保有量14辆。国有资产占用情况中固定资产车辆14辆，与公务用车保有量差异原因是：本单位固定资产车辆与公务用车保有量一致无差异。</w:t>
      </w:r>
    </w:p>
    <w:p w14:paraId="4BBFAA9B">
      <w:pPr>
        <w:spacing w:line="580" w:lineRule="exact"/>
        <w:ind w:firstLine="640"/>
        <w:jc w:val="both"/>
      </w:pPr>
      <w:r>
        <w:rPr>
          <w:rFonts w:ascii="仿宋_GB2312" w:hAnsi="仿宋_GB2312" w:eastAsia="仿宋_GB2312"/>
          <w:b w:val="0"/>
          <w:sz w:val="32"/>
        </w:rPr>
        <w:t>公务接待费0.30万元，开支内容包括</w:t>
      </w:r>
      <w:r>
        <w:rPr>
          <w:rFonts w:hint="eastAsia" w:ascii="仿宋_GB2312" w:hAnsi="仿宋_GB2312" w:eastAsia="仿宋_GB2312"/>
          <w:b w:val="0"/>
          <w:sz w:val="32"/>
          <w:lang w:val="en-US" w:eastAsia="zh-CN"/>
        </w:rPr>
        <w:t>接待</w:t>
      </w:r>
      <w:r>
        <w:rPr>
          <w:rFonts w:ascii="仿宋_GB2312" w:hAnsi="仿宋_GB2312" w:eastAsia="仿宋_GB2312"/>
          <w:b w:val="0"/>
          <w:sz w:val="32"/>
        </w:rPr>
        <w:t>中建集团赴昌拜访、云南省建设</w:t>
      </w:r>
      <w:r>
        <w:rPr>
          <w:rFonts w:hint="eastAsia" w:ascii="仿宋_GB2312" w:hAnsi="仿宋_GB2312" w:eastAsia="仿宋_GB2312"/>
          <w:b w:val="0"/>
          <w:sz w:val="32"/>
          <w:lang w:eastAsia="zh-CN"/>
        </w:rPr>
        <w:t>控股</w:t>
      </w:r>
      <w:r>
        <w:rPr>
          <w:rFonts w:ascii="仿宋_GB2312" w:hAnsi="仿宋_GB2312" w:eastAsia="仿宋_GB2312"/>
          <w:b w:val="0"/>
          <w:sz w:val="32"/>
        </w:rPr>
        <w:t>集团赴昌拜访产生的就餐费。单位全年安排的国内公务接待2批次，18人次。</w:t>
      </w:r>
    </w:p>
    <w:p w14:paraId="628D3F3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15.30万元，决算数15.30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15.00万元，决算数15.00万元，预决算差异率0.00%，主要原因是：严格按照预算执行，预决算无差异。公务接待费全年预算数0.30万元，决算数0.30万元，预决算差异率0.00%，主要原因是：严格按照预算执行，预决算无差异。</w:t>
      </w:r>
    </w:p>
    <w:p w14:paraId="05C71BF6">
      <w:pPr>
        <w:spacing w:line="640" w:lineRule="exact"/>
        <w:ind w:firstLine="640"/>
        <w:jc w:val="both"/>
        <w:outlineLvl w:val="2"/>
      </w:pPr>
      <w:r>
        <w:rPr>
          <w:rFonts w:ascii="黑体" w:hAnsi="黑体" w:eastAsia="黑体"/>
          <w:sz w:val="32"/>
        </w:rPr>
        <w:t>十、其他重要事项的情况说明</w:t>
      </w:r>
    </w:p>
    <w:p w14:paraId="205819E7">
      <w:pPr>
        <w:spacing w:line="640" w:lineRule="exact"/>
        <w:ind w:firstLine="640"/>
        <w:jc w:val="both"/>
        <w:outlineLvl w:val="3"/>
      </w:pPr>
      <w:r>
        <w:rPr>
          <w:rFonts w:ascii="楷体_GB2312" w:hAnsi="楷体_GB2312" w:eastAsia="楷体_GB2312"/>
          <w:b/>
          <w:sz w:val="32"/>
        </w:rPr>
        <w:t>（一）机关运行经费及公用经费支出情况</w:t>
      </w:r>
    </w:p>
    <w:p w14:paraId="314E2DB0">
      <w:pPr>
        <w:spacing w:line="580" w:lineRule="exact"/>
        <w:ind w:firstLine="640"/>
        <w:jc w:val="both"/>
      </w:pPr>
      <w:r>
        <w:rPr>
          <w:rFonts w:ascii="仿宋_GB2312" w:hAnsi="仿宋_GB2312" w:eastAsia="仿宋_GB2312"/>
          <w:b w:val="0"/>
          <w:sz w:val="32"/>
        </w:rPr>
        <w:t>2024年度昌吉回族自治州交通运输综合行政执法局（行政单位和参照公务员法管理事业单位）机关运行经费支出47.09万元，比上年减少1.87万元，下降3.82%，主要原因是：本年度单位因机构改革，调出6人至昌吉市交通运输局，办公费减少，导致机关运行经费减少。</w:t>
      </w:r>
    </w:p>
    <w:p w14:paraId="176EAEDF">
      <w:pPr>
        <w:spacing w:line="640" w:lineRule="exact"/>
        <w:ind w:firstLine="640"/>
        <w:jc w:val="both"/>
        <w:outlineLvl w:val="3"/>
      </w:pPr>
      <w:r>
        <w:rPr>
          <w:rFonts w:ascii="楷体_GB2312" w:hAnsi="楷体_GB2312" w:eastAsia="楷体_GB2312"/>
          <w:b/>
          <w:sz w:val="32"/>
        </w:rPr>
        <w:t>（二）政府采购情况</w:t>
      </w:r>
    </w:p>
    <w:p w14:paraId="20AE623C">
      <w:pPr>
        <w:spacing w:line="580" w:lineRule="exact"/>
        <w:ind w:firstLine="640"/>
        <w:jc w:val="both"/>
      </w:pPr>
      <w:r>
        <w:rPr>
          <w:rFonts w:ascii="仿宋_GB2312" w:hAnsi="仿宋_GB2312" w:eastAsia="仿宋_GB2312"/>
          <w:b w:val="0"/>
          <w:sz w:val="32"/>
        </w:rPr>
        <w:t>2024年度政府采购支出总额7.86万元，其中：政府采购货物支出0.93万元、政府采购工程支出0.00万元、政府采购服务支出6.94万元。</w:t>
      </w:r>
    </w:p>
    <w:p w14:paraId="3C75ED87">
      <w:pPr>
        <w:spacing w:line="580" w:lineRule="exact"/>
        <w:ind w:firstLine="640"/>
        <w:jc w:val="both"/>
      </w:pPr>
      <w:r>
        <w:rPr>
          <w:rFonts w:ascii="仿宋_GB2312" w:hAnsi="仿宋_GB2312" w:eastAsia="仿宋_GB2312"/>
          <w:b w:val="0"/>
          <w:sz w:val="32"/>
        </w:rPr>
        <w:t>授予中小企业合同金额7.86万元，占政府采购支出总额的100.00%，其中：授予小微企业合同金额0.93万元，占政府采购支出总额的11.83%。</w:t>
      </w:r>
    </w:p>
    <w:p w14:paraId="5F5059B0">
      <w:pPr>
        <w:spacing w:line="640" w:lineRule="exact"/>
        <w:ind w:firstLine="640"/>
        <w:jc w:val="both"/>
        <w:outlineLvl w:val="3"/>
      </w:pPr>
      <w:r>
        <w:rPr>
          <w:rFonts w:ascii="楷体_GB2312" w:hAnsi="楷体_GB2312" w:eastAsia="楷体_GB2312"/>
          <w:b/>
          <w:sz w:val="32"/>
        </w:rPr>
        <w:t>（三）国有资产占用情况说明</w:t>
      </w:r>
    </w:p>
    <w:p w14:paraId="1441E012">
      <w:pPr>
        <w:spacing w:line="580" w:lineRule="exact"/>
        <w:ind w:firstLine="640"/>
        <w:jc w:val="both"/>
      </w:pPr>
      <w:r>
        <w:rPr>
          <w:rFonts w:ascii="仿宋_GB2312" w:hAnsi="仿宋_GB2312" w:eastAsia="仿宋_GB2312"/>
          <w:b w:val="0"/>
          <w:sz w:val="32"/>
        </w:rPr>
        <w:t>截至2024年12月31日，房屋9,694.72平方米，价值611.40万元。车辆14辆，价值277.74万元，其中：副部（省）级及以上领导用车0辆、主要负责人用车0辆、机要通信用车0辆、应急保障用车0辆、执法执勤用车10辆、特种专业技术用车0辆、离退休干部服务用车0辆、其他用车4辆，其他用车主要是：业务用车（报废车辆）。单价100万元（含）以上设备（不含车辆）0台（套）。</w:t>
      </w:r>
    </w:p>
    <w:p w14:paraId="6F7D2871">
      <w:pPr>
        <w:spacing w:line="640" w:lineRule="exact"/>
        <w:ind w:firstLine="640"/>
        <w:jc w:val="both"/>
        <w:outlineLvl w:val="2"/>
      </w:pPr>
      <w:r>
        <w:rPr>
          <w:rFonts w:ascii="黑体" w:hAnsi="黑体" w:eastAsia="黑体"/>
          <w:sz w:val="32"/>
        </w:rPr>
        <w:t>十一、预算绩效的情况说明</w:t>
      </w:r>
    </w:p>
    <w:p w14:paraId="71F2CF1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518.46万元，实际执行总额512.68万元；预算绩效评价项目1个，全年预算数17.02万元，全年执行数17.02万元。预算绩效管理取得的成效：一是通过绩效管理，单位领导及同事对预算管理的认识更加深刻，凡事需要先计划，资金确定来源后方可实施；二是对单位整体及项目的进展情况更加明晰，能够更加明确的掌握整体及项目情况，推进项目实施。发现的问题及原因：一是虽然按照程序，</w:t>
      </w:r>
      <w:r>
        <w:rPr>
          <w:rFonts w:hint="eastAsia" w:ascii="仿宋_GB2312" w:hAnsi="仿宋_GB2312" w:eastAsia="仿宋_GB2312"/>
          <w:b w:val="0"/>
          <w:sz w:val="32"/>
          <w:lang w:eastAsia="zh-CN"/>
        </w:rPr>
        <w:t>本单位</w:t>
      </w:r>
      <w:r>
        <w:rPr>
          <w:rFonts w:ascii="仿宋_GB2312" w:hAnsi="仿宋_GB2312" w:eastAsia="仿宋_GB2312"/>
          <w:b w:val="0"/>
          <w:sz w:val="32"/>
        </w:rPr>
        <w:t>基本顺利完成绩效监控，但由于办公室工作繁杂琐碎，常常监控工作不能做到细致化，粗线条，质量有待提高。二是各业务科室对绩效监控工作的重要性认识不足，不清楚如何正确开展这项工作，有畏难情绪。下一步改进措施：一是加强项目负责人员和财务人员的沟通，建立良好的沟通机制，统一思想认识，共同做好项目绩效工作。二是加强项目绩效业务知识学习，真正了解项目绩效工作实质，准确填报相关信息，促进相关工作同步进行。具体附整体支出绩效自评表，项目支出绩效自评表。</w:t>
      </w:r>
    </w:p>
    <w:p w14:paraId="269D29E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01D9D28">
        <w:tblPrEx>
          <w:tblCellMar>
            <w:top w:w="0" w:type="dxa"/>
            <w:left w:w="108" w:type="dxa"/>
            <w:bottom w:w="0" w:type="dxa"/>
            <w:right w:w="108" w:type="dxa"/>
          </w:tblCellMar>
        </w:tblPrEx>
        <w:tc>
          <w:tcPr>
            <w:tcW w:w="8847" w:type="dxa"/>
            <w:gridSpan w:val="9"/>
            <w:vAlign w:val="center"/>
          </w:tcPr>
          <w:p w14:paraId="640D7DBB">
            <w:pPr>
              <w:jc w:val="center"/>
            </w:pPr>
            <w:r>
              <w:rPr>
                <w:rFonts w:ascii="宋体" w:hAnsi="宋体" w:eastAsia="宋体"/>
                <w:sz w:val="24"/>
              </w:rPr>
              <w:t>单位整体支出绩效自评表</w:t>
            </w:r>
          </w:p>
        </w:tc>
      </w:tr>
      <w:tr w14:paraId="2F6D7655">
        <w:tblPrEx>
          <w:tblCellMar>
            <w:top w:w="0" w:type="dxa"/>
            <w:left w:w="108" w:type="dxa"/>
            <w:bottom w:w="0" w:type="dxa"/>
            <w:right w:w="108" w:type="dxa"/>
          </w:tblCellMar>
        </w:tblPrEx>
        <w:tc>
          <w:tcPr>
            <w:tcW w:w="8847" w:type="dxa"/>
            <w:gridSpan w:val="9"/>
            <w:vAlign w:val="center"/>
          </w:tcPr>
          <w:p w14:paraId="199155E4">
            <w:pPr>
              <w:jc w:val="center"/>
            </w:pPr>
            <w:r>
              <w:rPr>
                <w:rFonts w:ascii="宋体" w:hAnsi="宋体" w:eastAsia="宋体"/>
                <w:sz w:val="24"/>
              </w:rPr>
              <w:t>（2024年度）</w:t>
            </w:r>
          </w:p>
        </w:tc>
      </w:tr>
      <w:tr w14:paraId="0C53A23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33A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7D3691">
            <w:pPr>
              <w:jc w:val="center"/>
            </w:pPr>
            <w:r>
              <w:rPr>
                <w:rFonts w:ascii="宋体" w:hAnsi="宋体" w:eastAsia="宋体"/>
                <w:sz w:val="16"/>
              </w:rPr>
              <w:t>昌吉回族自治州交通运输综合行政执法局</w:t>
            </w:r>
          </w:p>
        </w:tc>
      </w:tr>
      <w:tr w14:paraId="5F32BDB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5ED19">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AF00C">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04D51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E997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03D8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367F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FA2D8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36C04">
            <w:pPr>
              <w:jc w:val="center"/>
            </w:pPr>
            <w:r>
              <w:rPr>
                <w:rFonts w:ascii="宋体" w:hAnsi="宋体" w:eastAsia="宋体"/>
                <w:sz w:val="16"/>
              </w:rPr>
              <w:t>得分</w:t>
            </w:r>
          </w:p>
        </w:tc>
      </w:tr>
      <w:tr w14:paraId="5F86B5C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BB99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F5E14">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9F0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4B3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FEE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8D5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94C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044C15">
            <w:pPr>
              <w:jc w:val="center"/>
            </w:pPr>
            <w:r>
              <w:rPr>
                <w:rFonts w:ascii="宋体" w:hAnsi="宋体" w:eastAsia="宋体"/>
                <w:sz w:val="16"/>
              </w:rPr>
              <w:t>-</w:t>
            </w:r>
          </w:p>
        </w:tc>
      </w:tr>
      <w:tr w14:paraId="20B2F69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06D8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6BDF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5EF40">
            <w:pPr>
              <w:jc w:val="center"/>
            </w:pPr>
            <w:r>
              <w:rPr>
                <w:rFonts w:ascii="宋体" w:hAnsi="宋体" w:eastAsia="宋体"/>
                <w:sz w:val="16"/>
              </w:rPr>
              <w:t>530.05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3B30B">
            <w:pPr>
              <w:jc w:val="center"/>
            </w:pPr>
            <w:r>
              <w:rPr>
                <w:rFonts w:ascii="宋体" w:hAnsi="宋体" w:eastAsia="宋体"/>
                <w:sz w:val="16"/>
              </w:rPr>
              <w:t>495.36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39AAC">
            <w:pPr>
              <w:jc w:val="center"/>
            </w:pPr>
            <w:r>
              <w:rPr>
                <w:rFonts w:ascii="宋体" w:hAnsi="宋体" w:eastAsia="宋体"/>
                <w:sz w:val="16"/>
              </w:rPr>
              <w:t>495.36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40A3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C440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0A278">
            <w:pPr>
              <w:jc w:val="center"/>
            </w:pPr>
            <w:r>
              <w:rPr>
                <w:rFonts w:ascii="宋体" w:hAnsi="宋体" w:eastAsia="宋体"/>
                <w:sz w:val="16"/>
              </w:rPr>
              <w:t>-</w:t>
            </w:r>
          </w:p>
        </w:tc>
      </w:tr>
      <w:tr w14:paraId="39F1E1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ADEAF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3FF9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174E3">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0F214">
            <w:pPr>
              <w:jc w:val="center"/>
            </w:pPr>
            <w:r>
              <w:rPr>
                <w:rFonts w:ascii="宋体" w:hAnsi="宋体" w:eastAsia="宋体"/>
                <w:sz w:val="16"/>
              </w:rPr>
              <w:t>23.10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0FA0E2">
            <w:pPr>
              <w:jc w:val="center"/>
            </w:pPr>
            <w:r>
              <w:rPr>
                <w:rFonts w:ascii="宋体" w:hAnsi="宋体" w:eastAsia="宋体"/>
                <w:sz w:val="16"/>
              </w:rPr>
              <w:t>17.32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F17A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B9F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F3E7E">
            <w:pPr>
              <w:jc w:val="center"/>
            </w:pPr>
            <w:r>
              <w:rPr>
                <w:rFonts w:ascii="宋体" w:hAnsi="宋体" w:eastAsia="宋体"/>
                <w:sz w:val="16"/>
              </w:rPr>
              <w:t>-</w:t>
            </w:r>
          </w:p>
        </w:tc>
      </w:tr>
      <w:tr w14:paraId="44EF97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F9CC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16E71">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BEC2E">
            <w:pPr>
              <w:jc w:val="center"/>
            </w:pPr>
            <w:r>
              <w:rPr>
                <w:rFonts w:ascii="宋体" w:hAnsi="宋体" w:eastAsia="宋体"/>
                <w:sz w:val="16"/>
              </w:rPr>
              <w:t>550.05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50638">
            <w:pPr>
              <w:jc w:val="center"/>
            </w:pPr>
            <w:r>
              <w:rPr>
                <w:rFonts w:ascii="宋体" w:hAnsi="宋体" w:eastAsia="宋体"/>
                <w:sz w:val="16"/>
              </w:rPr>
              <w:t>518.46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D4CC35">
            <w:pPr>
              <w:jc w:val="center"/>
            </w:pPr>
            <w:r>
              <w:rPr>
                <w:rFonts w:ascii="宋体" w:hAnsi="宋体" w:eastAsia="宋体"/>
                <w:sz w:val="16"/>
              </w:rPr>
              <w:t>512.68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9BD9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B69BB">
            <w:pPr>
              <w:jc w:val="center"/>
            </w:pPr>
            <w:r>
              <w:rPr>
                <w:rFonts w:ascii="宋体" w:hAnsi="宋体" w:eastAsia="宋体"/>
                <w:sz w:val="16"/>
              </w:rPr>
              <w:t>98.89%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4FA2F">
            <w:pPr>
              <w:jc w:val="center"/>
            </w:pPr>
            <w:r>
              <w:rPr>
                <w:rFonts w:ascii="宋体" w:hAnsi="宋体" w:eastAsia="宋体"/>
                <w:sz w:val="16"/>
              </w:rPr>
              <w:t>9.89</w:t>
            </w:r>
          </w:p>
        </w:tc>
      </w:tr>
      <w:tr w14:paraId="30E2C24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3496F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2589F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68A33F">
            <w:pPr>
              <w:jc w:val="center"/>
            </w:pPr>
            <w:r>
              <w:rPr>
                <w:rFonts w:ascii="宋体" w:hAnsi="宋体" w:eastAsia="宋体"/>
                <w:sz w:val="16"/>
              </w:rPr>
              <w:t>实际完成情况</w:t>
            </w:r>
          </w:p>
        </w:tc>
      </w:tr>
      <w:tr w14:paraId="2C768A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8EC29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641ED0">
            <w:pPr>
              <w:jc w:val="both"/>
            </w:pPr>
            <w:r>
              <w:rPr>
                <w:rFonts w:ascii="宋体" w:hAnsi="宋体" w:eastAsia="宋体"/>
                <w:sz w:val="16"/>
              </w:rPr>
              <w:t>在自治区、州党委、人民政府的坚强领导下，紧紧围绕以习近平同志为核心的党中央治疆方略、特别是社会稳定和长治久安总目标，扎实推进各项重点工作任务。紧扣行政执法管理的中心工作，落实行政执法责任制，严肃执法纪律，规范执法行为，不断提高</w:t>
            </w:r>
            <w:r>
              <w:rPr>
                <w:rFonts w:hint="eastAsia" w:ascii="宋体" w:hAnsi="宋体"/>
                <w:sz w:val="16"/>
                <w:lang w:eastAsia="zh-CN"/>
              </w:rPr>
              <w:t>法治观念</w:t>
            </w:r>
            <w:r>
              <w:rPr>
                <w:rFonts w:ascii="宋体" w:hAnsi="宋体" w:eastAsia="宋体"/>
                <w:sz w:val="16"/>
              </w:rPr>
              <w:t>和依法行政能力，不断</w:t>
            </w:r>
            <w:r>
              <w:rPr>
                <w:rFonts w:hint="eastAsia" w:ascii="宋体" w:hAnsi="宋体"/>
                <w:sz w:val="16"/>
                <w:lang w:eastAsia="zh-CN"/>
              </w:rPr>
              <w:t>提升</w:t>
            </w:r>
            <w:r>
              <w:rPr>
                <w:rFonts w:ascii="宋体" w:hAnsi="宋体" w:eastAsia="宋体"/>
                <w:sz w:val="16"/>
              </w:rPr>
              <w:t>交通运输行政执法水平。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C5A2DF">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全年预算数518.47万元，全年执行数512.69万元，总预算执行率98.89%。2024年</w:t>
            </w:r>
            <w:r>
              <w:rPr>
                <w:rFonts w:hint="eastAsia" w:ascii="宋体" w:hAnsi="宋体"/>
                <w:sz w:val="16"/>
                <w:lang w:eastAsia="zh-CN"/>
              </w:rPr>
              <w:t>本单位</w:t>
            </w:r>
            <w:r>
              <w:rPr>
                <w:rFonts w:ascii="宋体" w:hAnsi="宋体" w:eastAsia="宋体"/>
                <w:sz w:val="16"/>
              </w:rPr>
              <w:t>完成以下工作内容：将道路运输企业纳入交通运输部联网直报系统数量45家，州本级开展应急救援演练1次，自建政务服务应用在新疆政务服务网或“吉速办”微信小程序接入率98%，下县市开展执法检查指导2次，将道路运输企业纳入交通运输部联网直报系统数量，“两客一危”企业执法检查覆盖率98%，按要求办理12328交通运输服务监督电话工单办结率。通过以上工作的实施，在全疆率先采用全社会投资特许经营模式；获评</w:t>
            </w:r>
            <w:r>
              <w:rPr>
                <w:rFonts w:hint="eastAsia" w:ascii="宋体" w:hAnsi="宋体"/>
                <w:sz w:val="16"/>
                <w:lang w:eastAsia="zh-CN"/>
              </w:rPr>
              <w:t>首批</w:t>
            </w:r>
            <w:r>
              <w:rPr>
                <w:rFonts w:ascii="宋体" w:hAnsi="宋体" w:eastAsia="宋体"/>
                <w:sz w:val="16"/>
              </w:rPr>
              <w:t>自治区“四好农村路”示范地（州、市）荣誉称号，成功举办“自治区创新引领全面推动公路养护高质量发展”现场会；在全疆率先建成首个州域“数字交通”平台；坚持民生为本，服务水平稳步提升。</w:t>
            </w:r>
          </w:p>
        </w:tc>
      </w:tr>
      <w:tr w14:paraId="4F6B2D5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7792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4890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B301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33FB7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B3652">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3881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57117">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AB36B">
            <w:pPr>
              <w:jc w:val="center"/>
            </w:pPr>
            <w:r>
              <w:rPr>
                <w:rFonts w:ascii="宋体" w:hAnsi="宋体" w:eastAsia="宋体"/>
                <w:sz w:val="16"/>
              </w:rPr>
              <w:t>得分</w:t>
            </w:r>
          </w:p>
        </w:tc>
      </w:tr>
      <w:tr w14:paraId="6A8A055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BB9E5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B346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D4E2A">
            <w:pPr>
              <w:jc w:val="center"/>
            </w:pPr>
            <w:r>
              <w:rPr>
                <w:rFonts w:ascii="宋体" w:hAnsi="宋体" w:eastAsia="宋体"/>
                <w:sz w:val="16"/>
              </w:rPr>
              <w:t>下县市开展执法检查指导次数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567E7">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26A676">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6337A">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0053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58329">
            <w:pPr>
              <w:jc w:val="center"/>
            </w:pPr>
            <w:r>
              <w:rPr>
                <w:rFonts w:ascii="宋体" w:hAnsi="宋体" w:eastAsia="宋体"/>
                <w:sz w:val="16"/>
              </w:rPr>
              <w:t>15</w:t>
            </w:r>
          </w:p>
        </w:tc>
      </w:tr>
      <w:tr w14:paraId="57E2DE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2D9A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4592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8724D">
            <w:pPr>
              <w:jc w:val="center"/>
            </w:pPr>
            <w:r>
              <w:rPr>
                <w:rFonts w:ascii="宋体" w:hAnsi="宋体" w:eastAsia="宋体"/>
                <w:sz w:val="16"/>
              </w:rPr>
              <w:t>定期组织开展案件评查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85AAA">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44C0F">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4D90E">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30202">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1395F">
            <w:pPr>
              <w:jc w:val="center"/>
            </w:pPr>
            <w:r>
              <w:rPr>
                <w:rFonts w:ascii="宋体" w:hAnsi="宋体" w:eastAsia="宋体"/>
                <w:sz w:val="16"/>
              </w:rPr>
              <w:t>15</w:t>
            </w:r>
          </w:p>
        </w:tc>
      </w:tr>
      <w:tr w14:paraId="7706AF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6FEC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94637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F4832">
            <w:pPr>
              <w:jc w:val="center"/>
            </w:pPr>
            <w:r>
              <w:rPr>
                <w:rFonts w:ascii="宋体" w:hAnsi="宋体" w:eastAsia="宋体"/>
                <w:sz w:val="16"/>
              </w:rPr>
              <w:t>做好联合执法工作，加强行业执法力度，重点打击“黑车”非法营运行为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4FE40">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BEE79">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3244AF">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81EA9">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B4EAE0">
            <w:pPr>
              <w:jc w:val="center"/>
            </w:pPr>
            <w:r>
              <w:rPr>
                <w:rFonts w:ascii="宋体" w:hAnsi="宋体" w:eastAsia="宋体"/>
                <w:sz w:val="16"/>
              </w:rPr>
              <w:t>15</w:t>
            </w:r>
          </w:p>
        </w:tc>
      </w:tr>
      <w:tr w14:paraId="35836D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66541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4EC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0F250">
            <w:pPr>
              <w:jc w:val="center"/>
            </w:pPr>
            <w:r>
              <w:rPr>
                <w:rFonts w:ascii="宋体" w:hAnsi="宋体" w:eastAsia="宋体"/>
                <w:sz w:val="16"/>
              </w:rPr>
              <w:t>组织交通运输行政执法培训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41D4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3880ED">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6902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BD3DA">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13767">
            <w:pPr>
              <w:jc w:val="center"/>
            </w:pPr>
            <w:r>
              <w:rPr>
                <w:rFonts w:ascii="宋体" w:hAnsi="宋体" w:eastAsia="宋体"/>
                <w:sz w:val="16"/>
              </w:rPr>
              <w:t>15</w:t>
            </w:r>
          </w:p>
        </w:tc>
      </w:tr>
      <w:tr w14:paraId="2681AC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87B8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EB28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DD198">
            <w:pPr>
              <w:jc w:val="center"/>
            </w:pPr>
            <w:r>
              <w:rPr>
                <w:rFonts w:ascii="宋体" w:hAnsi="宋体" w:eastAsia="宋体"/>
                <w:sz w:val="16"/>
              </w:rPr>
              <w:t>组织执法人员交流考察学习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E2183">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D13C6">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5E1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14A8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8D0EA">
            <w:pPr>
              <w:jc w:val="center"/>
            </w:pPr>
            <w:r>
              <w:rPr>
                <w:rFonts w:ascii="宋体" w:hAnsi="宋体" w:eastAsia="宋体"/>
                <w:sz w:val="16"/>
              </w:rPr>
              <w:t>10</w:t>
            </w:r>
          </w:p>
        </w:tc>
      </w:tr>
      <w:tr w14:paraId="7A8731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494F3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6D97B">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6E3BF">
            <w:pPr>
              <w:jc w:val="center"/>
            </w:pPr>
            <w:r>
              <w:rPr>
                <w:rFonts w:ascii="宋体" w:hAnsi="宋体" w:eastAsia="宋体"/>
                <w:sz w:val="16"/>
              </w:rPr>
              <w:t>“两客一危”企业执法检查覆盖率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587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869C79">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393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0651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11DD6">
            <w:pPr>
              <w:jc w:val="center"/>
            </w:pPr>
            <w:r>
              <w:rPr>
                <w:rFonts w:ascii="宋体" w:hAnsi="宋体" w:eastAsia="宋体"/>
                <w:sz w:val="16"/>
              </w:rPr>
              <w:t>10</w:t>
            </w:r>
          </w:p>
        </w:tc>
      </w:tr>
      <w:tr w14:paraId="331954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8671A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ED2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1551F">
            <w:pPr>
              <w:jc w:val="center"/>
            </w:pPr>
            <w:r>
              <w:rPr>
                <w:rFonts w:ascii="宋体" w:hAnsi="宋体" w:eastAsia="宋体"/>
                <w:sz w:val="16"/>
              </w:rPr>
              <w:t>指导县市交通运输局落实“一超四罚”工作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9ADA4">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721209">
            <w:pPr>
              <w:jc w:val="center"/>
            </w:pPr>
            <w:r>
              <w:rPr>
                <w:rFonts w:ascii="宋体" w:hAnsi="宋体" w:eastAsia="宋体"/>
                <w:sz w:val="16"/>
              </w:rPr>
              <w:t>昌吉州交通运输综合行政执法局2024年重点工作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25A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82D2B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81EC2">
            <w:pPr>
              <w:jc w:val="center"/>
            </w:pPr>
            <w:r>
              <w:rPr>
                <w:rFonts w:ascii="宋体" w:hAnsi="宋体" w:eastAsia="宋体"/>
                <w:sz w:val="16"/>
              </w:rPr>
              <w:t>10</w:t>
            </w:r>
          </w:p>
        </w:tc>
      </w:tr>
    </w:tbl>
    <w:p w14:paraId="2FC39A0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39"/>
        <w:gridCol w:w="525"/>
        <w:gridCol w:w="776"/>
        <w:gridCol w:w="632"/>
        <w:gridCol w:w="632"/>
        <w:gridCol w:w="632"/>
        <w:gridCol w:w="632"/>
        <w:gridCol w:w="632"/>
        <w:gridCol w:w="632"/>
        <w:gridCol w:w="632"/>
        <w:gridCol w:w="632"/>
      </w:tblGrid>
      <w:tr w14:paraId="3150C5C0">
        <w:tblPrEx>
          <w:tblCellMar>
            <w:top w:w="0" w:type="dxa"/>
            <w:left w:w="108" w:type="dxa"/>
            <w:bottom w:w="0" w:type="dxa"/>
            <w:right w:w="108" w:type="dxa"/>
          </w:tblCellMar>
        </w:tblPrEx>
        <w:tc>
          <w:tcPr>
            <w:tcW w:w="8992" w:type="dxa"/>
            <w:gridSpan w:val="14"/>
            <w:vAlign w:val="center"/>
          </w:tcPr>
          <w:p w14:paraId="3DE78172">
            <w:pPr>
              <w:jc w:val="center"/>
            </w:pPr>
            <w:r>
              <w:rPr>
                <w:rFonts w:ascii="宋体" w:hAnsi="宋体" w:eastAsia="宋体"/>
                <w:sz w:val="24"/>
              </w:rPr>
              <w:t>项目支出绩效自评表</w:t>
            </w:r>
          </w:p>
        </w:tc>
      </w:tr>
      <w:tr w14:paraId="28841B0A">
        <w:tblPrEx>
          <w:tblCellMar>
            <w:top w:w="0" w:type="dxa"/>
            <w:left w:w="108" w:type="dxa"/>
            <w:bottom w:w="0" w:type="dxa"/>
            <w:right w:w="108" w:type="dxa"/>
          </w:tblCellMar>
        </w:tblPrEx>
        <w:tc>
          <w:tcPr>
            <w:tcW w:w="899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36CB4D">
            <w:pPr>
              <w:jc w:val="center"/>
            </w:pPr>
            <w:r>
              <w:rPr>
                <w:rFonts w:ascii="宋体" w:hAnsi="宋体" w:eastAsia="宋体"/>
                <w:sz w:val="24"/>
              </w:rPr>
              <w:t>(2024年度)</w:t>
            </w:r>
          </w:p>
        </w:tc>
      </w:tr>
      <w:tr w14:paraId="72B745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FF6B7">
            <w:pPr>
              <w:jc w:val="center"/>
            </w:pPr>
            <w:r>
              <w:rPr>
                <w:rFonts w:ascii="宋体" w:hAnsi="宋体" w:eastAsia="宋体"/>
                <w:sz w:val="16"/>
              </w:rPr>
              <w:t>项目名称</w:t>
            </w:r>
          </w:p>
        </w:tc>
        <w:tc>
          <w:tcPr>
            <w:tcW w:w="836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4A067C">
            <w:pPr>
              <w:jc w:val="center"/>
            </w:pPr>
            <w:r>
              <w:rPr>
                <w:rFonts w:ascii="宋体" w:hAnsi="宋体" w:eastAsia="宋体"/>
                <w:sz w:val="16"/>
              </w:rPr>
              <w:t>机关运行保障经费</w:t>
            </w:r>
          </w:p>
        </w:tc>
      </w:tr>
      <w:tr w14:paraId="399F20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5367">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547ACE">
            <w:pPr>
              <w:jc w:val="center"/>
            </w:pPr>
            <w:r>
              <w:rPr>
                <w:rFonts w:ascii="宋体" w:hAnsi="宋体" w:eastAsia="宋体"/>
                <w:sz w:val="16"/>
              </w:rPr>
              <w:t>昌吉回族自治州交通运输综合行政执法局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FEE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B02C1C2">
            <w:pPr>
              <w:jc w:val="center"/>
            </w:pPr>
            <w:r>
              <w:rPr>
                <w:rFonts w:ascii="宋体" w:hAnsi="宋体" w:eastAsia="宋体"/>
                <w:sz w:val="16"/>
              </w:rPr>
              <w:t>昌吉回族自治州交通运输综合行政执法局</w:t>
            </w:r>
          </w:p>
        </w:tc>
      </w:tr>
      <w:tr w14:paraId="0A2325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87C21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06A5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6CF19">
            <w:pPr>
              <w:jc w:val="center"/>
            </w:pPr>
            <w:r>
              <w:rPr>
                <w:rFonts w:ascii="宋体" w:hAnsi="宋体" w:eastAsia="宋体"/>
                <w:sz w:val="16"/>
              </w:rPr>
              <w:t>年初预算数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B4B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770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85EB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B0E1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61A9">
            <w:pPr>
              <w:jc w:val="center"/>
            </w:pPr>
            <w:r>
              <w:rPr>
                <w:rFonts w:ascii="宋体" w:hAnsi="宋体" w:eastAsia="宋体"/>
                <w:sz w:val="16"/>
              </w:rPr>
              <w:t>得分</w:t>
            </w:r>
          </w:p>
        </w:tc>
      </w:tr>
      <w:tr w14:paraId="6B879A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04D9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E40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AB43D">
            <w:pPr>
              <w:jc w:val="center"/>
            </w:pPr>
            <w:r>
              <w:rPr>
                <w:rFonts w:ascii="宋体" w:hAnsi="宋体" w:eastAsia="宋体"/>
                <w:sz w:val="16"/>
              </w:rPr>
              <w:t>20.00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BE97C">
            <w:pPr>
              <w:jc w:val="center"/>
            </w:pPr>
            <w:r>
              <w:rPr>
                <w:rFonts w:ascii="宋体" w:hAnsi="宋体" w:eastAsia="宋体"/>
                <w:sz w:val="16"/>
              </w:rPr>
              <w:t>17.02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052BB">
            <w:pPr>
              <w:jc w:val="center"/>
            </w:pPr>
            <w:r>
              <w:rPr>
                <w:rFonts w:ascii="宋体" w:hAnsi="宋体" w:eastAsia="宋体"/>
                <w:sz w:val="16"/>
              </w:rPr>
              <w:t>17.02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619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A13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916E">
            <w:pPr>
              <w:jc w:val="center"/>
            </w:pPr>
            <w:r>
              <w:rPr>
                <w:rFonts w:ascii="宋体" w:hAnsi="宋体" w:eastAsia="宋体"/>
                <w:sz w:val="16"/>
              </w:rPr>
              <w:t>10.00</w:t>
            </w:r>
          </w:p>
        </w:tc>
      </w:tr>
      <w:tr w14:paraId="418B81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E123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FC82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A2C8D">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37D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309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02C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52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F86F">
            <w:pPr>
              <w:jc w:val="center"/>
            </w:pPr>
            <w:r>
              <w:rPr>
                <w:rFonts w:ascii="宋体" w:hAnsi="宋体" w:eastAsia="宋体"/>
                <w:sz w:val="16"/>
              </w:rPr>
              <w:t>—</w:t>
            </w:r>
          </w:p>
        </w:tc>
      </w:tr>
      <w:tr w14:paraId="02F93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8A24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ADD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D22DF">
            <w:pPr>
              <w:jc w:val="center"/>
            </w:pPr>
            <w:r>
              <w:rPr>
                <w:rFonts w:ascii="宋体" w:hAnsi="宋体" w:eastAsia="宋体"/>
                <w:sz w:val="16"/>
              </w:rPr>
              <w:t>20.00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4EEEE">
            <w:pPr>
              <w:jc w:val="center"/>
            </w:pPr>
            <w:r>
              <w:rPr>
                <w:rFonts w:ascii="宋体" w:hAnsi="宋体" w:eastAsia="宋体"/>
                <w:sz w:val="16"/>
              </w:rPr>
              <w:t>17.02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F3D2A">
            <w:pPr>
              <w:jc w:val="center"/>
            </w:pPr>
            <w:r>
              <w:rPr>
                <w:rFonts w:ascii="宋体" w:hAnsi="宋体" w:eastAsia="宋体"/>
                <w:sz w:val="16"/>
              </w:rPr>
              <w:t>17.02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A82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196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53D22">
            <w:pPr>
              <w:jc w:val="center"/>
            </w:pPr>
            <w:r>
              <w:rPr>
                <w:rFonts w:ascii="宋体" w:hAnsi="宋体" w:eastAsia="宋体"/>
                <w:sz w:val="16"/>
              </w:rPr>
              <w:t>—</w:t>
            </w:r>
          </w:p>
        </w:tc>
      </w:tr>
      <w:tr w14:paraId="2A6866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96066F">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3556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D5C9B6">
            <w:pPr>
              <w:jc w:val="center"/>
            </w:pPr>
            <w:r>
              <w:rPr>
                <w:rFonts w:ascii="宋体" w:hAnsi="宋体" w:eastAsia="宋体"/>
                <w:sz w:val="16"/>
              </w:rPr>
              <w:t>实际完成情况</w:t>
            </w:r>
          </w:p>
        </w:tc>
      </w:tr>
      <w:tr w14:paraId="19E09B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ED1F5"/>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E8C865">
            <w:pPr>
              <w:jc w:val="both"/>
            </w:pPr>
            <w:r>
              <w:rPr>
                <w:rFonts w:ascii="宋体" w:hAnsi="宋体" w:eastAsia="宋体"/>
                <w:sz w:val="16"/>
              </w:rPr>
              <w:t>完成自治州交通运输行政执法的监督指导和组织协调等工作，保障交通运输系统公路路政、道路运政、地方海事行政、工程质量监督管</w:t>
            </w:r>
            <w:r>
              <w:rPr>
                <w:rFonts w:hint="eastAsia" w:ascii="宋体" w:hAnsi="宋体"/>
                <w:sz w:val="16"/>
                <w:lang w:eastAsia="zh-CN"/>
              </w:rPr>
              <w:t>理等</w:t>
            </w:r>
            <w:r>
              <w:rPr>
                <w:rFonts w:ascii="宋体" w:hAnsi="宋体" w:eastAsia="宋体"/>
                <w:sz w:val="16"/>
              </w:rPr>
              <w:t>执法门类的行政处罚以及与行政处罚相关的行政检查、行政强制等工作正常开展。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536DCF">
            <w:pPr>
              <w:jc w:val="both"/>
            </w:pPr>
            <w:r>
              <w:rPr>
                <w:rFonts w:hint="eastAsia" w:ascii="宋体" w:hAnsi="宋体"/>
                <w:sz w:val="16"/>
                <w:lang w:eastAsia="zh-CN"/>
              </w:rPr>
              <w:t>截至</w:t>
            </w:r>
            <w:r>
              <w:rPr>
                <w:rFonts w:ascii="宋体" w:hAnsi="宋体" w:eastAsia="宋体"/>
                <w:sz w:val="16"/>
              </w:rPr>
              <w:t>2024年12月31日，该项目已</w:t>
            </w:r>
            <w:r>
              <w:rPr>
                <w:rFonts w:hint="eastAsia" w:ascii="宋体" w:hAnsi="宋体"/>
                <w:sz w:val="16"/>
                <w:lang w:eastAsia="zh-CN"/>
              </w:rPr>
              <w:t>规范</w:t>
            </w:r>
            <w:r>
              <w:rPr>
                <w:rFonts w:ascii="宋体" w:hAnsi="宋体" w:eastAsia="宋体"/>
                <w:sz w:val="16"/>
              </w:rPr>
              <w:t>统一执法执勤用车标识，改造执法车1辆，执法检查县市7个，联合执法开展2次，交通运输行政执法基础装备及技术要求达标率100%，执法工作规范化建设程度有所提高。</w:t>
            </w:r>
          </w:p>
        </w:tc>
      </w:tr>
      <w:tr w14:paraId="16ABF67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FDADC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FA2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7CB31">
            <w:pPr>
              <w:jc w:val="center"/>
            </w:pPr>
            <w:r>
              <w:rPr>
                <w:rFonts w:ascii="宋体" w:hAnsi="宋体" w:eastAsia="宋体"/>
                <w:sz w:val="16"/>
              </w:rPr>
              <w:t>二级指标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4A769B34">
            <w:pPr>
              <w:jc w:val="center"/>
            </w:pPr>
            <w:r>
              <w:rPr>
                <w:rFonts w:ascii="宋体" w:hAnsi="宋体" w:eastAsia="宋体"/>
                <w:sz w:val="16"/>
              </w:rPr>
              <w:t>三级指标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5BA741A3">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D7D7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90B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84B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69C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A7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7B6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0BCA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1ED1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A9BE">
            <w:pPr>
              <w:jc w:val="center"/>
            </w:pPr>
            <w:r>
              <w:rPr>
                <w:rFonts w:ascii="宋体" w:hAnsi="宋体" w:eastAsia="宋体"/>
                <w:sz w:val="16"/>
              </w:rPr>
              <w:t>偏差原因分析及改进措施</w:t>
            </w:r>
          </w:p>
        </w:tc>
      </w:tr>
      <w:tr w14:paraId="25BEB5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EE58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965E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E5DEE8">
            <w:pPr>
              <w:jc w:val="center"/>
            </w:pPr>
            <w:r>
              <w:rPr>
                <w:rFonts w:ascii="宋体" w:hAnsi="宋体" w:eastAsia="宋体"/>
                <w:sz w:val="16"/>
              </w:rPr>
              <w:t>数量指标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16ECACDB">
            <w:pPr>
              <w:jc w:val="center"/>
            </w:pPr>
            <w:r>
              <w:rPr>
                <w:rFonts w:ascii="宋体" w:hAnsi="宋体" w:eastAsia="宋体"/>
                <w:sz w:val="16"/>
              </w:rPr>
              <w:t>规范统一执法执勤用车标识，改造执法车辆数</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3DD0DD8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9011E2">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590CB">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E1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367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FD85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E1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C15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8D4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B153">
            <w:pPr>
              <w:jc w:val="center"/>
            </w:pPr>
          </w:p>
        </w:tc>
      </w:tr>
      <w:tr w14:paraId="5D5E7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959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446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670C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03DF063B">
            <w:pPr>
              <w:jc w:val="center"/>
            </w:pPr>
            <w:r>
              <w:rPr>
                <w:rFonts w:ascii="宋体" w:hAnsi="宋体" w:eastAsia="宋体"/>
                <w:sz w:val="16"/>
              </w:rPr>
              <w:t>执法检查覆盖县市数量</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2844A11">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DE38B1">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1D4E5">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4D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A9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A9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DD1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20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17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1496">
            <w:pPr>
              <w:jc w:val="center"/>
            </w:pPr>
          </w:p>
        </w:tc>
      </w:tr>
      <w:tr w14:paraId="1FF5A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9F2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BE1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855046"/>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D59EA10">
            <w:pPr>
              <w:jc w:val="center"/>
            </w:pPr>
            <w:r>
              <w:rPr>
                <w:rFonts w:ascii="宋体" w:hAnsi="宋体" w:eastAsia="宋体"/>
                <w:sz w:val="16"/>
              </w:rPr>
              <w:t>联合执法开展次数</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2D45085">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903E2B">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74D9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9EF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C6A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318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EFC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65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9D2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E6C2">
            <w:pPr>
              <w:jc w:val="center"/>
            </w:pPr>
          </w:p>
        </w:tc>
      </w:tr>
      <w:tr w14:paraId="537337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64A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86B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5A022">
            <w:pPr>
              <w:jc w:val="center"/>
            </w:pPr>
            <w:r>
              <w:rPr>
                <w:rFonts w:ascii="宋体" w:hAnsi="宋体" w:eastAsia="宋体"/>
                <w:sz w:val="16"/>
              </w:rPr>
              <w:t>质量指标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2BF01703">
            <w:pPr>
              <w:jc w:val="center"/>
            </w:pPr>
            <w:r>
              <w:rPr>
                <w:rFonts w:ascii="宋体" w:hAnsi="宋体" w:eastAsia="宋体"/>
                <w:sz w:val="16"/>
              </w:rPr>
              <w:t>交通运输行政执法基础装备及技术要求达标</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1D815727">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E5A3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CF4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B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A3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7F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569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533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B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064E">
            <w:pPr>
              <w:jc w:val="center"/>
            </w:pPr>
          </w:p>
        </w:tc>
      </w:tr>
      <w:tr w14:paraId="607D51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9BB1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79FF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7C85B">
            <w:pPr>
              <w:jc w:val="center"/>
            </w:pPr>
            <w:r>
              <w:rPr>
                <w:rFonts w:ascii="宋体" w:hAnsi="宋体" w:eastAsia="宋体"/>
                <w:sz w:val="16"/>
              </w:rPr>
              <w:t>经济成本指标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EDBA739">
            <w:pPr>
              <w:jc w:val="center"/>
            </w:pPr>
            <w:r>
              <w:rPr>
                <w:rFonts w:ascii="宋体" w:hAnsi="宋体" w:eastAsia="宋体"/>
                <w:sz w:val="16"/>
              </w:rPr>
              <w:t>补充公务用车运行费用成本</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6C9CA693">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78BE64C">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2EE9D">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C9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47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F42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E4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25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5A10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22988">
            <w:pPr>
              <w:jc w:val="center"/>
            </w:pPr>
          </w:p>
        </w:tc>
      </w:tr>
      <w:tr w14:paraId="4CE0FB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159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8EE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ACCE3"/>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5E20D4D9">
            <w:pPr>
              <w:jc w:val="center"/>
            </w:pPr>
            <w:r>
              <w:rPr>
                <w:rFonts w:ascii="宋体" w:hAnsi="宋体" w:eastAsia="宋体"/>
                <w:sz w:val="16"/>
              </w:rPr>
              <w:t>补充业务经费成本</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0F3C34F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1DCB5D">
            <w:pPr>
              <w:jc w:val="center"/>
            </w:pPr>
            <w:r>
              <w:rPr>
                <w:rFonts w:ascii="宋体" w:hAnsi="宋体" w:eastAsia="宋体"/>
                <w:sz w:val="16"/>
              </w:rPr>
              <w:t>&lt;=10.02万元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B34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A6454">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F34C">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90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60D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51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93B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DA32D">
            <w:pPr>
              <w:jc w:val="center"/>
            </w:pPr>
            <w:r>
              <w:rPr>
                <w:rFonts w:ascii="宋体" w:hAnsi="宋体" w:eastAsia="宋体"/>
                <w:sz w:val="16"/>
              </w:rPr>
              <w:t>补充业务成本指标按照年初设置目标基本全部完成。</w:t>
            </w:r>
          </w:p>
        </w:tc>
      </w:tr>
      <w:tr w14:paraId="2751C6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69A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8C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45076">
            <w:pPr>
              <w:jc w:val="center"/>
            </w:pPr>
            <w:r>
              <w:rPr>
                <w:rFonts w:ascii="宋体" w:hAnsi="宋体" w:eastAsia="宋体"/>
                <w:sz w:val="16"/>
              </w:rPr>
              <w:t>社会效益指标</w:t>
            </w:r>
          </w:p>
        </w:tc>
        <w:tc>
          <w:tcPr>
            <w:tcW w:w="739" w:type="dxa"/>
            <w:tcBorders>
              <w:top w:val="single" w:color="auto" w:sz="10" w:space="0"/>
              <w:left w:val="single" w:color="auto" w:sz="10" w:space="0"/>
              <w:bottom w:val="single" w:color="auto" w:sz="10" w:space="0"/>
              <w:right w:val="single" w:color="auto" w:sz="10" w:space="0"/>
              <w:insideV w:val="single" w:sz="10" w:space="0"/>
            </w:tcBorders>
            <w:vAlign w:val="center"/>
          </w:tcPr>
          <w:p w14:paraId="3CCC632A">
            <w:pPr>
              <w:jc w:val="center"/>
            </w:pPr>
            <w:r>
              <w:rPr>
                <w:rFonts w:ascii="宋体" w:hAnsi="宋体" w:eastAsia="宋体"/>
                <w:sz w:val="16"/>
              </w:rPr>
              <w:t>执法工作规范化建设程度有所提高</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75B6E6AE">
            <w:pPr>
              <w:jc w:val="center"/>
            </w:pPr>
            <w:r>
              <w:rPr>
                <w:rFonts w:ascii="宋体" w:hAnsi="宋体" w:eastAsia="宋体"/>
                <w:sz w:val="16"/>
              </w:rPr>
              <w:t>30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2ECAC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578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7DA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C80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D8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C0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25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84A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4DD4">
            <w:pPr>
              <w:jc w:val="center"/>
            </w:pPr>
          </w:p>
        </w:tc>
      </w:tr>
      <w:tr w14:paraId="0D3D1762">
        <w:tblPrEx>
          <w:tblCellMar>
            <w:top w:w="0" w:type="dxa"/>
            <w:left w:w="108" w:type="dxa"/>
            <w:bottom w:w="0" w:type="dxa"/>
            <w:right w:w="108" w:type="dxa"/>
          </w:tblCellMar>
        </w:tblPrEx>
        <w:tc>
          <w:tcPr>
            <w:tcW w:w="263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B5B621E">
            <w:pPr>
              <w:jc w:val="center"/>
            </w:pPr>
            <w:r>
              <w:rPr>
                <w:rFonts w:ascii="宋体" w:hAnsi="宋体" w:eastAsia="宋体"/>
                <w:sz w:val="16"/>
              </w:rPr>
              <w:t>总分</w:t>
            </w:r>
          </w:p>
        </w:tc>
        <w:tc>
          <w:tcPr>
            <w:tcW w:w="525" w:type="dxa"/>
            <w:tcBorders>
              <w:top w:val="single" w:color="auto" w:sz="10" w:space="0"/>
              <w:left w:val="single" w:color="auto" w:sz="10" w:space="0"/>
              <w:bottom w:val="single" w:color="auto" w:sz="10" w:space="0"/>
              <w:right w:val="single" w:color="auto" w:sz="10" w:space="0"/>
              <w:insideV w:val="single" w:sz="10" w:space="0"/>
            </w:tcBorders>
            <w:vAlign w:val="center"/>
          </w:tcPr>
          <w:p w14:paraId="0A40E23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553BF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F568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4140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75243">
            <w:pPr>
              <w:jc w:val="center"/>
            </w:pPr>
            <w:r>
              <w:rPr>
                <w:rFonts w:ascii="宋体" w:hAnsi="宋体" w:eastAsia="宋体"/>
                <w:sz w:val="16"/>
              </w:rPr>
              <w:t>99.95分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13C7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CBA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6C88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934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50ADB"/>
        </w:tc>
      </w:tr>
    </w:tbl>
    <w:p w14:paraId="724B0282">
      <w:r>
        <w:br w:type="page"/>
      </w:r>
    </w:p>
    <w:p w14:paraId="22D41BD8">
      <w:pPr>
        <w:spacing w:line="640" w:lineRule="exact"/>
        <w:ind w:firstLine="640"/>
        <w:jc w:val="both"/>
        <w:outlineLvl w:val="2"/>
      </w:pPr>
      <w:r>
        <w:rPr>
          <w:rFonts w:ascii="黑体" w:hAnsi="黑体" w:eastAsia="黑体"/>
          <w:sz w:val="32"/>
        </w:rPr>
        <w:t>十二、其他需说明的事项</w:t>
      </w:r>
      <w:bookmarkStart w:id="0" w:name="_GoBack"/>
      <w:bookmarkEnd w:id="0"/>
    </w:p>
    <w:p w14:paraId="533930D2">
      <w:pPr>
        <w:spacing w:line="580" w:lineRule="exact"/>
        <w:ind w:firstLine="640"/>
        <w:jc w:val="both"/>
      </w:pPr>
      <w:r>
        <w:rPr>
          <w:rFonts w:ascii="仿宋_GB2312" w:hAnsi="仿宋_GB2312" w:eastAsia="仿宋_GB2312"/>
          <w:b w:val="0"/>
          <w:sz w:val="32"/>
        </w:rPr>
        <w:t>本单位无其他需说明的事项。</w:t>
      </w:r>
    </w:p>
    <w:p w14:paraId="6AC3128F">
      <w:r>
        <w:br w:type="page"/>
      </w:r>
    </w:p>
    <w:p w14:paraId="43E99A33">
      <w:pPr>
        <w:spacing w:line="240" w:lineRule="auto"/>
        <w:jc w:val="center"/>
        <w:outlineLvl w:val="1"/>
      </w:pPr>
      <w:r>
        <w:rPr>
          <w:rFonts w:ascii="黑体" w:hAnsi="黑体" w:eastAsia="黑体"/>
          <w:sz w:val="32"/>
        </w:rPr>
        <w:t>第三部分 专业名词解释</w:t>
      </w:r>
    </w:p>
    <w:p w14:paraId="5CA9EAD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696290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7A1734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384426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8C3E9A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C14F11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13DCCD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0056232">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61CE20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E93704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E52804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9F5D25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7F47CD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6A1612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CF90A36">
      <w:r>
        <w:br w:type="page"/>
      </w:r>
    </w:p>
    <w:p w14:paraId="431EC57F">
      <w:pPr>
        <w:spacing w:line="240" w:lineRule="auto"/>
        <w:jc w:val="center"/>
        <w:outlineLvl w:val="1"/>
      </w:pPr>
      <w:r>
        <w:rPr>
          <w:rFonts w:ascii="黑体" w:hAnsi="黑体" w:eastAsia="黑体"/>
          <w:sz w:val="32"/>
        </w:rPr>
        <w:t>第四部分 部门决算报表（见附表）</w:t>
      </w:r>
    </w:p>
    <w:p w14:paraId="51F09F7A">
      <w:pPr>
        <w:spacing w:line="240" w:lineRule="auto"/>
        <w:ind w:firstLine="640"/>
        <w:jc w:val="both"/>
      </w:pPr>
      <w:r>
        <w:rPr>
          <w:rFonts w:ascii="仿宋_GB2312" w:hAnsi="仿宋_GB2312" w:eastAsia="仿宋_GB2312"/>
          <w:b w:val="0"/>
          <w:sz w:val="32"/>
        </w:rPr>
        <w:t>一、《收入支出决算总表》</w:t>
      </w:r>
    </w:p>
    <w:p w14:paraId="47D77645">
      <w:pPr>
        <w:spacing w:line="240" w:lineRule="auto"/>
        <w:ind w:firstLine="640"/>
        <w:jc w:val="both"/>
      </w:pPr>
      <w:r>
        <w:rPr>
          <w:rFonts w:ascii="仿宋_GB2312" w:hAnsi="仿宋_GB2312" w:eastAsia="仿宋_GB2312"/>
          <w:b w:val="0"/>
          <w:sz w:val="32"/>
        </w:rPr>
        <w:t>二、《收入决算表》</w:t>
      </w:r>
    </w:p>
    <w:p w14:paraId="2B365932">
      <w:pPr>
        <w:spacing w:line="240" w:lineRule="auto"/>
        <w:ind w:firstLine="640"/>
        <w:jc w:val="both"/>
      </w:pPr>
      <w:r>
        <w:rPr>
          <w:rFonts w:ascii="仿宋_GB2312" w:hAnsi="仿宋_GB2312" w:eastAsia="仿宋_GB2312"/>
          <w:b w:val="0"/>
          <w:sz w:val="32"/>
        </w:rPr>
        <w:t>三、《支出决算表》</w:t>
      </w:r>
    </w:p>
    <w:p w14:paraId="082CD7A6">
      <w:pPr>
        <w:spacing w:line="240" w:lineRule="auto"/>
        <w:ind w:firstLine="640"/>
        <w:jc w:val="both"/>
      </w:pPr>
      <w:r>
        <w:rPr>
          <w:rFonts w:ascii="仿宋_GB2312" w:hAnsi="仿宋_GB2312" w:eastAsia="仿宋_GB2312"/>
          <w:b w:val="0"/>
          <w:sz w:val="32"/>
        </w:rPr>
        <w:t>四、《财政拨款收入支出决算总表》</w:t>
      </w:r>
    </w:p>
    <w:p w14:paraId="2157A062">
      <w:pPr>
        <w:spacing w:line="240" w:lineRule="auto"/>
        <w:ind w:firstLine="640"/>
        <w:jc w:val="both"/>
      </w:pPr>
      <w:r>
        <w:rPr>
          <w:rFonts w:ascii="仿宋_GB2312" w:hAnsi="仿宋_GB2312" w:eastAsia="仿宋_GB2312"/>
          <w:b w:val="0"/>
          <w:sz w:val="32"/>
        </w:rPr>
        <w:t>五、《一般公共预算财政拨款支出决算表》</w:t>
      </w:r>
    </w:p>
    <w:p w14:paraId="0215DCDD">
      <w:pPr>
        <w:spacing w:line="240" w:lineRule="auto"/>
        <w:ind w:firstLine="640"/>
        <w:jc w:val="both"/>
      </w:pPr>
      <w:r>
        <w:rPr>
          <w:rFonts w:ascii="仿宋_GB2312" w:hAnsi="仿宋_GB2312" w:eastAsia="仿宋_GB2312"/>
          <w:b w:val="0"/>
          <w:sz w:val="32"/>
        </w:rPr>
        <w:t>六、《一般公共预算财政拨款基本支出决算表》</w:t>
      </w:r>
    </w:p>
    <w:p w14:paraId="1C9883D7">
      <w:pPr>
        <w:spacing w:line="240" w:lineRule="auto"/>
        <w:ind w:firstLine="640"/>
        <w:jc w:val="both"/>
      </w:pPr>
      <w:r>
        <w:rPr>
          <w:rFonts w:ascii="仿宋_GB2312" w:hAnsi="仿宋_GB2312" w:eastAsia="仿宋_GB2312"/>
          <w:b w:val="0"/>
          <w:sz w:val="32"/>
        </w:rPr>
        <w:t>七、《政府性基金预算财政拨款收入支出决算表》</w:t>
      </w:r>
    </w:p>
    <w:p w14:paraId="0A04FCBA">
      <w:pPr>
        <w:spacing w:line="240" w:lineRule="auto"/>
        <w:ind w:firstLine="640"/>
        <w:jc w:val="both"/>
      </w:pPr>
      <w:r>
        <w:rPr>
          <w:rFonts w:ascii="仿宋_GB2312" w:hAnsi="仿宋_GB2312" w:eastAsia="仿宋_GB2312"/>
          <w:b w:val="0"/>
          <w:sz w:val="32"/>
        </w:rPr>
        <w:t>八、《国有资本经营预算财政拨款收入支出决算表》</w:t>
      </w:r>
    </w:p>
    <w:p w14:paraId="2AA4135B">
      <w:pPr>
        <w:spacing w:line="240" w:lineRule="auto"/>
        <w:ind w:firstLine="640"/>
        <w:jc w:val="both"/>
      </w:pPr>
      <w:r>
        <w:rPr>
          <w:rFonts w:ascii="仿宋_GB2312" w:hAnsi="仿宋_GB2312" w:eastAsia="仿宋_GB2312"/>
          <w:b w:val="0"/>
          <w:sz w:val="32"/>
        </w:rPr>
        <w:t>九、《财政拨款“三公”经费支出决算表》</w:t>
      </w:r>
    </w:p>
    <w:p w14:paraId="7C66851C">
      <w:pPr>
        <w:spacing w:line="240" w:lineRule="auto"/>
        <w:ind w:firstLine="640"/>
        <w:jc w:val="both"/>
      </w:pPr>
    </w:p>
    <w:p w14:paraId="0A4FA2A8">
      <w:pPr>
        <w:spacing w:line="240" w:lineRule="auto"/>
        <w:ind w:firstLine="640"/>
        <w:jc w:val="both"/>
      </w:pPr>
    </w:p>
    <w:p w14:paraId="38552608">
      <w:pPr>
        <w:spacing w:line="240" w:lineRule="auto"/>
        <w:ind w:firstLine="640"/>
        <w:jc w:val="both"/>
      </w:pPr>
    </w:p>
    <w:p w14:paraId="23F00552">
      <w:pPr>
        <w:spacing w:line="240" w:lineRule="auto"/>
        <w:ind w:firstLine="640"/>
        <w:jc w:val="both"/>
      </w:pPr>
    </w:p>
    <w:p w14:paraId="0CF7EE7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EA4EE-A4C8-42A3-B265-12B25E76D3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D6C52D0-0399-460C-993C-5B40AE0BB415}"/>
  </w:font>
  <w:font w:name="仿宋_GB2312">
    <w:altName w:val="仿宋"/>
    <w:panose1 w:val="02010609030101010101"/>
    <w:charset w:val="86"/>
    <w:family w:val="modern"/>
    <w:pitch w:val="default"/>
    <w:sig w:usb0="00000000" w:usb1="00000000" w:usb2="00000000" w:usb3="00000000" w:csb0="00040000" w:csb1="00000000"/>
    <w:embedRegular r:id="rId3" w:fontKey="{1873019E-EC44-48A5-B214-4E8AD48117E9}"/>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0A026071-532A-48E8-AE14-76974680DBA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D42847"/>
    <w:rsid w:val="71473612"/>
    <w:rsid w:val="718F7F65"/>
    <w:rsid w:val="73423603"/>
    <w:rsid w:val="737A5923"/>
    <w:rsid w:val="73DE4104"/>
    <w:rsid w:val="73FB6630"/>
    <w:rsid w:val="74CE04EC"/>
    <w:rsid w:val="74E76DCD"/>
    <w:rsid w:val="765839A9"/>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4743</Words>
  <Characters>5416</Characters>
  <Lines>0</Lines>
  <Paragraphs>0</Paragraphs>
  <TotalTime>5</TotalTime>
  <ScaleCrop>false</ScaleCrop>
  <LinksUpToDate>false</LinksUpToDate>
  <CharactersWithSpaces>5424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48E63F4F9B114433A63807DD98C363BD_13</vt:lpwstr>
  </property>
  <property fmtid="{D5CDD505-2E9C-101B-9397-08002B2CF9AE}" pid="4" name="KSOTemplateDocerSaveRecord">
    <vt:lpwstr>eyJoZGlkIjoiZjZjY2YzNDY3YWM4YThjNjdkZTk2MDAwYjE2OGQzNDQiLCJ1c2VySWQiOiIzNzI2MDMzNTYifQ==</vt:lpwstr>
  </property>
</Properties>
</file>