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57F05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昌吉回族自治州机关事务管理局2024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EBFCC25">
      <w:r>
        <w:br w:type="page"/>
      </w:r>
    </w:p>
    <w:p w14:paraId="77033045">
      <w:pPr>
        <w:spacing w:line="640" w:lineRule="exact"/>
        <w:jc w:val="center"/>
        <w:outlineLvl w:val="1"/>
      </w:pPr>
      <w:r>
        <w:rPr>
          <w:rFonts w:ascii="黑体" w:hAnsi="黑体" w:eastAsia="黑体"/>
          <w:sz w:val="32"/>
        </w:rPr>
        <w:t>第一部分 单位概况</w:t>
      </w:r>
    </w:p>
    <w:p w14:paraId="37902DEF">
      <w:pPr>
        <w:spacing w:line="640" w:lineRule="exact"/>
        <w:ind w:firstLine="640"/>
        <w:jc w:val="both"/>
        <w:outlineLvl w:val="2"/>
      </w:pPr>
      <w:r>
        <w:rPr>
          <w:rFonts w:ascii="黑体" w:hAnsi="黑体" w:eastAsia="黑体"/>
          <w:sz w:val="32"/>
        </w:rPr>
        <w:t>一、主要职能</w:t>
      </w:r>
    </w:p>
    <w:p w14:paraId="01624C28">
      <w:pPr>
        <w:spacing w:line="580" w:lineRule="exact"/>
        <w:ind w:firstLine="640"/>
        <w:jc w:val="both"/>
      </w:pPr>
      <w:r>
        <w:rPr>
          <w:rFonts w:ascii="仿宋_GB2312" w:hAnsi="仿宋_GB2312" w:eastAsia="仿宋_GB2312"/>
          <w:sz w:val="32"/>
        </w:rPr>
        <w:t>(一)按规定负责州本级机关</w:t>
      </w:r>
      <w:r>
        <w:rPr>
          <w:rFonts w:hint="eastAsia" w:ascii="仿宋_GB2312" w:hAnsi="仿宋_GB2312" w:eastAsia="仿宋_GB2312"/>
          <w:sz w:val="32"/>
          <w:lang w:eastAsia="zh-CN"/>
        </w:rPr>
        <w:t>公用</w:t>
      </w:r>
      <w:r>
        <w:rPr>
          <w:rFonts w:ascii="仿宋_GB2312" w:hAnsi="仿宋_GB2312" w:eastAsia="仿宋_GB2312"/>
          <w:sz w:val="32"/>
        </w:rPr>
        <w:t>资产管理工作,制定具体制度和管理办法,承担产权界定、清查登记、资产处置工作。</w:t>
      </w:r>
    </w:p>
    <w:p w14:paraId="67E05A0A">
      <w:pPr>
        <w:spacing w:line="580" w:lineRule="exact"/>
        <w:ind w:firstLine="640"/>
        <w:jc w:val="both"/>
      </w:pPr>
      <w:r>
        <w:rPr>
          <w:rFonts w:ascii="仿宋_GB2312" w:hAnsi="仿宋_GB2312" w:eastAsia="仿宋_GB2312"/>
          <w:sz w:val="32"/>
        </w:rPr>
        <w:t>(二)负责州本级机关房产管理工作,制定规章制度并组织实施</w:t>
      </w:r>
      <w:r>
        <w:rPr>
          <w:rFonts w:hint="eastAsia" w:ascii="仿宋_GB2312" w:hAnsi="仿宋_GB2312" w:eastAsia="仿宋_GB2312"/>
          <w:sz w:val="32"/>
          <w:lang w:eastAsia="zh-CN"/>
        </w:rPr>
        <w:t>；</w:t>
      </w:r>
      <w:r>
        <w:rPr>
          <w:rFonts w:ascii="仿宋_GB2312" w:hAnsi="仿宋_GB2312" w:eastAsia="仿宋_GB2312"/>
          <w:sz w:val="32"/>
        </w:rPr>
        <w:t>按规定负责行政办公用房权属、配置、建设、使用、维修、处置利用管理。负责州本级机关及所属事业单位用地管理工作。指导、监督县(市)机关办公用房管理。</w:t>
      </w:r>
    </w:p>
    <w:p w14:paraId="0B14CF13">
      <w:pPr>
        <w:spacing w:line="580" w:lineRule="exact"/>
        <w:ind w:firstLine="640"/>
        <w:jc w:val="both"/>
      </w:pPr>
      <w:r>
        <w:rPr>
          <w:rFonts w:ascii="仿宋_GB2312" w:hAnsi="仿宋_GB2312" w:eastAsia="仿宋_GB2312"/>
          <w:sz w:val="32"/>
        </w:rPr>
        <w:t>(三)统一管理州本级机关公务用车,拟定自治州公务用车管理办法并组织实施</w:t>
      </w:r>
      <w:r>
        <w:rPr>
          <w:rFonts w:hint="eastAsia" w:ascii="仿宋_GB2312" w:hAnsi="仿宋_GB2312" w:eastAsia="仿宋_GB2312"/>
          <w:sz w:val="32"/>
          <w:lang w:eastAsia="zh-CN"/>
        </w:rPr>
        <w:t>；</w:t>
      </w:r>
      <w:r>
        <w:rPr>
          <w:rFonts w:ascii="仿宋_GB2312" w:hAnsi="仿宋_GB2312" w:eastAsia="仿宋_GB2312"/>
          <w:sz w:val="32"/>
        </w:rPr>
        <w:t>指导监督县(市)机关公务用车管理。</w:t>
      </w:r>
    </w:p>
    <w:p w14:paraId="0AE10E42">
      <w:pPr>
        <w:spacing w:line="580" w:lineRule="exact"/>
        <w:ind w:firstLine="640"/>
        <w:jc w:val="both"/>
      </w:pPr>
      <w:r>
        <w:rPr>
          <w:rFonts w:ascii="仿宋_GB2312" w:hAnsi="仿宋_GB2312" w:eastAsia="仿宋_GB2312"/>
          <w:sz w:val="32"/>
        </w:rPr>
        <w:t>(四)承担自治州公共机构节能推进、指导、协调、监督的具体工作</w:t>
      </w:r>
      <w:r>
        <w:rPr>
          <w:rFonts w:hint="eastAsia" w:ascii="仿宋_GB2312" w:hAnsi="仿宋_GB2312" w:eastAsia="仿宋_GB2312"/>
          <w:sz w:val="32"/>
          <w:lang w:eastAsia="zh-CN"/>
        </w:rPr>
        <w:t>；</w:t>
      </w:r>
      <w:r>
        <w:rPr>
          <w:rFonts w:ascii="仿宋_GB2312" w:hAnsi="仿宋_GB2312" w:eastAsia="仿宋_GB2312"/>
          <w:sz w:val="32"/>
        </w:rPr>
        <w:t>监督管理自治州本级公共机构节能工作</w:t>
      </w:r>
      <w:r>
        <w:rPr>
          <w:rFonts w:hint="eastAsia" w:ascii="仿宋_GB2312" w:hAnsi="仿宋_GB2312" w:eastAsia="仿宋_GB2312"/>
          <w:sz w:val="32"/>
          <w:lang w:eastAsia="zh-CN"/>
        </w:rPr>
        <w:t>；</w:t>
      </w:r>
      <w:r>
        <w:rPr>
          <w:rFonts w:ascii="仿宋_GB2312" w:hAnsi="仿宋_GB2312" w:eastAsia="仿宋_GB2312"/>
          <w:sz w:val="32"/>
        </w:rPr>
        <w:t>指导州本级有关行政主管部门开展本系统公共机构节能有关工作</w:t>
      </w:r>
      <w:r>
        <w:rPr>
          <w:rFonts w:hint="eastAsia" w:ascii="仿宋_GB2312" w:hAnsi="仿宋_GB2312" w:eastAsia="仿宋_GB2312"/>
          <w:sz w:val="32"/>
          <w:lang w:eastAsia="zh-CN"/>
        </w:rPr>
        <w:t>；</w:t>
      </w:r>
      <w:r>
        <w:rPr>
          <w:rFonts w:ascii="仿宋_GB2312" w:hAnsi="仿宋_GB2312" w:eastAsia="仿宋_GB2312"/>
          <w:sz w:val="32"/>
        </w:rPr>
        <w:t>会同有关方面开展公共机构节能宣传、教育和培训等工作。指导监督县(市)公共机构节能工作。</w:t>
      </w:r>
    </w:p>
    <w:p w14:paraId="618EB57B">
      <w:pPr>
        <w:spacing w:line="580" w:lineRule="exact"/>
        <w:ind w:firstLine="640"/>
        <w:jc w:val="both"/>
      </w:pPr>
      <w:r>
        <w:rPr>
          <w:rFonts w:ascii="仿宋_GB2312" w:hAnsi="仿宋_GB2312" w:eastAsia="仿宋_GB2312"/>
          <w:sz w:val="32"/>
        </w:rPr>
        <w:t>(五)负责自治州“四套班子”办公楼、州政府综合办公楼、州(市)政务中心和州文化事业发展新区大楼的管理工作。</w:t>
      </w:r>
    </w:p>
    <w:p w14:paraId="1D661ABC">
      <w:pPr>
        <w:spacing w:line="580" w:lineRule="exact"/>
        <w:ind w:firstLine="640"/>
        <w:jc w:val="both"/>
      </w:pPr>
      <w:r>
        <w:rPr>
          <w:rFonts w:ascii="仿宋_GB2312" w:hAnsi="仿宋_GB2312" w:eastAsia="仿宋_GB2312"/>
          <w:sz w:val="32"/>
        </w:rPr>
        <w:t>(六)完成自治州党委、自治州人民政府交办的其他任务。</w:t>
      </w:r>
    </w:p>
    <w:p w14:paraId="04264756">
      <w:pPr>
        <w:spacing w:line="640" w:lineRule="exact"/>
        <w:ind w:firstLine="640"/>
        <w:jc w:val="both"/>
        <w:outlineLvl w:val="2"/>
      </w:pPr>
      <w:r>
        <w:rPr>
          <w:rFonts w:ascii="黑体" w:hAnsi="黑体" w:eastAsia="黑体"/>
          <w:sz w:val="32"/>
        </w:rPr>
        <w:t>二、机构设置及人员情况</w:t>
      </w:r>
    </w:p>
    <w:p w14:paraId="6CB01A75">
      <w:pPr>
        <w:spacing w:line="580" w:lineRule="exact"/>
        <w:ind w:firstLine="640"/>
        <w:jc w:val="both"/>
      </w:pPr>
      <w:r>
        <w:rPr>
          <w:rFonts w:ascii="仿宋_GB2312" w:hAnsi="仿宋_GB2312" w:eastAsia="仿宋_GB2312"/>
          <w:sz w:val="32"/>
        </w:rPr>
        <w:t>昌吉回族自治州机关事务管理局2024年度，实有人数27人，其中：在职人员22人，增加3人；离休人员0人，增加0人；退休人员5人,增加1人。</w:t>
      </w:r>
    </w:p>
    <w:p w14:paraId="5EAB23EF">
      <w:pPr>
        <w:spacing w:line="580" w:lineRule="exact"/>
        <w:ind w:firstLine="640"/>
        <w:jc w:val="both"/>
      </w:pPr>
      <w:r>
        <w:rPr>
          <w:rFonts w:ascii="仿宋_GB2312" w:hAnsi="仿宋_GB2312" w:eastAsia="仿宋_GB2312"/>
          <w:sz w:val="32"/>
        </w:rPr>
        <w:t>昌吉回族自治州机关事务管理局无下属预算单位，下设6个科室，分别是：办公室、财务审计科、公车管理科、资产管理科、房产管理科、公共机构节能管理科。</w:t>
      </w:r>
    </w:p>
    <w:p w14:paraId="3AB72ABE">
      <w:r>
        <w:br w:type="page"/>
      </w:r>
    </w:p>
    <w:p w14:paraId="4F0AF7AD">
      <w:pPr>
        <w:spacing w:line="240" w:lineRule="auto"/>
        <w:jc w:val="center"/>
        <w:outlineLvl w:val="1"/>
      </w:pPr>
      <w:r>
        <w:rPr>
          <w:rFonts w:ascii="黑体" w:hAnsi="黑体" w:eastAsia="黑体"/>
          <w:sz w:val="32"/>
        </w:rPr>
        <w:t>第二部分 部门决算情况说明</w:t>
      </w:r>
    </w:p>
    <w:p w14:paraId="570792AF">
      <w:pPr>
        <w:spacing w:line="640" w:lineRule="exact"/>
        <w:ind w:firstLine="640"/>
        <w:jc w:val="both"/>
        <w:outlineLvl w:val="2"/>
      </w:pPr>
      <w:r>
        <w:rPr>
          <w:rFonts w:ascii="黑体" w:hAnsi="黑体" w:eastAsia="黑体"/>
          <w:sz w:val="32"/>
        </w:rPr>
        <w:t>一、收入支出决算总体情况说明</w:t>
      </w:r>
    </w:p>
    <w:p w14:paraId="10E1A065">
      <w:pPr>
        <w:spacing w:line="580" w:lineRule="exact"/>
        <w:ind w:firstLine="640"/>
        <w:jc w:val="both"/>
      </w:pPr>
      <w:r>
        <w:rPr>
          <w:rFonts w:ascii="仿宋_GB2312" w:hAnsi="仿宋_GB2312" w:eastAsia="仿宋_GB2312"/>
          <w:b/>
          <w:sz w:val="32"/>
        </w:rPr>
        <w:t>2024年度收入总计3,057.23万元，</w:t>
      </w:r>
      <w:r>
        <w:rPr>
          <w:rFonts w:ascii="仿宋_GB2312" w:hAnsi="仿宋_GB2312" w:eastAsia="仿宋_GB2312"/>
          <w:b w:val="0"/>
          <w:sz w:val="32"/>
        </w:rPr>
        <w:t>其中：本年收入合计3,004.62万元，使用非财政拨款结余（含专用结余）0.00万元，年初结转和结余52.61万元。</w:t>
      </w:r>
    </w:p>
    <w:p w14:paraId="0D9402C2">
      <w:pPr>
        <w:spacing w:line="580" w:lineRule="exact"/>
        <w:ind w:firstLine="640"/>
        <w:jc w:val="both"/>
      </w:pPr>
      <w:r>
        <w:rPr>
          <w:rFonts w:ascii="仿宋_GB2312" w:hAnsi="仿宋_GB2312" w:eastAsia="仿宋_GB2312"/>
          <w:b/>
          <w:sz w:val="32"/>
        </w:rPr>
        <w:t>2024年度支出总计3,057.23万元，</w:t>
      </w:r>
      <w:r>
        <w:rPr>
          <w:rFonts w:ascii="仿宋_GB2312" w:hAnsi="仿宋_GB2312" w:eastAsia="仿宋_GB2312"/>
          <w:b w:val="0"/>
          <w:sz w:val="32"/>
        </w:rPr>
        <w:t>其中：本年支出合计</w:t>
      </w:r>
      <w:r>
        <w:rPr>
          <w:rFonts w:ascii="仿宋_GB2312" w:hAnsi="仿宋_GB2312" w:eastAsia="仿宋_GB2312"/>
          <w:b w:val="0"/>
          <w:w w:val="97"/>
          <w:sz w:val="32"/>
        </w:rPr>
        <w:t>3,005.51万元，结余分配0.00万元，年末结转和结余51.72万元。</w:t>
      </w:r>
    </w:p>
    <w:p w14:paraId="20B2ADC8">
      <w:pPr>
        <w:spacing w:line="580" w:lineRule="exact"/>
        <w:ind w:firstLine="640"/>
        <w:jc w:val="both"/>
      </w:pPr>
      <w:r>
        <w:rPr>
          <w:rFonts w:ascii="仿宋_GB2312" w:hAnsi="仿宋_GB2312" w:eastAsia="仿宋_GB2312"/>
          <w:b w:val="0"/>
          <w:sz w:val="32"/>
        </w:rPr>
        <w:t>收入支出总体与上年相比，减少1,605.86万元，下降34.44%，主要原因是：本年减少厅级干部周转房项目、公共机构节能项目。</w:t>
      </w:r>
    </w:p>
    <w:p w14:paraId="74396A92">
      <w:pPr>
        <w:spacing w:line="640" w:lineRule="exact"/>
        <w:ind w:firstLine="640"/>
        <w:jc w:val="both"/>
        <w:outlineLvl w:val="2"/>
      </w:pPr>
      <w:r>
        <w:rPr>
          <w:rFonts w:ascii="黑体" w:hAnsi="黑体" w:eastAsia="黑体"/>
          <w:sz w:val="32"/>
        </w:rPr>
        <w:t>二、收入决算情况说明</w:t>
      </w:r>
    </w:p>
    <w:p w14:paraId="5206FEFB">
      <w:pPr>
        <w:spacing w:line="580" w:lineRule="exact"/>
        <w:ind w:firstLine="640"/>
        <w:jc w:val="both"/>
      </w:pPr>
      <w:r>
        <w:rPr>
          <w:rFonts w:ascii="仿宋_GB2312" w:hAnsi="仿宋_GB2312" w:eastAsia="仿宋_GB2312"/>
          <w:b/>
          <w:sz w:val="32"/>
        </w:rPr>
        <w:t>本年收入3,004.62万元，</w:t>
      </w:r>
      <w:r>
        <w:rPr>
          <w:rFonts w:ascii="仿宋_GB2312" w:hAnsi="仿宋_GB2312" w:eastAsia="仿宋_GB2312"/>
          <w:b w:val="0"/>
          <w:sz w:val="32"/>
        </w:rPr>
        <w:t>其中：财政拨款收入3,003.71万元，占99.97%；上级补助收入0.00万元，占0.00%；事业收入0.00万元，占0.00%；经营收入0.00万元，占0.00%；附属单位上缴收入0.00万元，占0.00%；其他收入0.91万元，占0.03%。</w:t>
      </w:r>
    </w:p>
    <w:p w14:paraId="44AD55F3">
      <w:pPr>
        <w:spacing w:line="640" w:lineRule="exact"/>
        <w:ind w:firstLine="640"/>
        <w:jc w:val="both"/>
        <w:outlineLvl w:val="2"/>
      </w:pPr>
      <w:r>
        <w:rPr>
          <w:rFonts w:ascii="黑体" w:hAnsi="黑体" w:eastAsia="黑体"/>
          <w:sz w:val="32"/>
        </w:rPr>
        <w:t>三、支出决算情况说明</w:t>
      </w:r>
    </w:p>
    <w:p w14:paraId="3E268880">
      <w:pPr>
        <w:spacing w:line="580" w:lineRule="exact"/>
        <w:ind w:firstLine="640"/>
        <w:jc w:val="both"/>
      </w:pPr>
      <w:r>
        <w:rPr>
          <w:rFonts w:ascii="仿宋_GB2312" w:hAnsi="仿宋_GB2312" w:eastAsia="仿宋_GB2312"/>
          <w:b/>
          <w:sz w:val="32"/>
        </w:rPr>
        <w:t>本年支出3,005.51万元，</w:t>
      </w:r>
      <w:r>
        <w:rPr>
          <w:rFonts w:ascii="仿宋_GB2312" w:hAnsi="仿宋_GB2312" w:eastAsia="仿宋_GB2312"/>
          <w:b w:val="0"/>
          <w:sz w:val="32"/>
        </w:rPr>
        <w:t>其中：基本支出499.13万元，占16.61%；项目支出2,506.37万元，占83.39%；上缴上级支出0.00万元，占0.00%；经营支出0.00万元，占0.00%；对附属单位补助支出0.00万元，占0.00%。</w:t>
      </w:r>
    </w:p>
    <w:p w14:paraId="34BE0AEB">
      <w:pPr>
        <w:spacing w:line="640" w:lineRule="exact"/>
        <w:ind w:firstLine="640"/>
        <w:jc w:val="both"/>
        <w:outlineLvl w:val="2"/>
      </w:pPr>
      <w:r>
        <w:rPr>
          <w:rFonts w:ascii="黑体" w:hAnsi="黑体" w:eastAsia="黑体"/>
          <w:sz w:val="32"/>
        </w:rPr>
        <w:t>四、财政拨款收入支出决算总体情况说明</w:t>
      </w:r>
    </w:p>
    <w:p w14:paraId="5564DC2D">
      <w:pPr>
        <w:spacing w:line="580" w:lineRule="exact"/>
        <w:ind w:firstLine="640"/>
        <w:jc w:val="both"/>
      </w:pPr>
      <w:r>
        <w:rPr>
          <w:rFonts w:ascii="仿宋_GB2312" w:hAnsi="仿宋_GB2312" w:eastAsia="仿宋_GB2312"/>
          <w:b/>
          <w:sz w:val="32"/>
        </w:rPr>
        <w:t>2024年度财政拨款收入总计3,003.71万元，</w:t>
      </w:r>
      <w:r>
        <w:rPr>
          <w:rFonts w:ascii="仿宋_GB2312" w:hAnsi="仿宋_GB2312" w:eastAsia="仿宋_GB2312"/>
          <w:b w:val="0"/>
          <w:sz w:val="32"/>
        </w:rPr>
        <w:t>其中：年初财政拨款结转和结余0.00万元，本年财政拨款收入3,003.71万元。</w:t>
      </w:r>
      <w:r>
        <w:rPr>
          <w:rFonts w:ascii="仿宋_GB2312" w:hAnsi="仿宋_GB2312" w:eastAsia="仿宋_GB2312"/>
          <w:b/>
          <w:sz w:val="32"/>
        </w:rPr>
        <w:t>财政拨款支出总计3,003.71万元，</w:t>
      </w:r>
      <w:r>
        <w:rPr>
          <w:rFonts w:ascii="仿宋_GB2312" w:hAnsi="仿宋_GB2312" w:eastAsia="仿宋_GB2312"/>
          <w:b w:val="0"/>
          <w:sz w:val="32"/>
        </w:rPr>
        <w:t>其中：年末财政拨款结转和结余0.00万元，本年财政拨款支出3,003.71万元。</w:t>
      </w:r>
    </w:p>
    <w:p w14:paraId="6B0A2D8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减少1,619.92万元，下降35.04%，主要原因是：本年减少厅级干部周转房项目、公共机构节能项目。</w:t>
      </w:r>
      <w:r>
        <w:rPr>
          <w:rFonts w:ascii="仿宋_GB2312" w:hAnsi="仿宋_GB2312" w:eastAsia="仿宋_GB2312"/>
          <w:b/>
          <w:sz w:val="32"/>
        </w:rPr>
        <w:t>与年初预算相比，</w:t>
      </w:r>
      <w:r>
        <w:rPr>
          <w:rFonts w:ascii="仿宋_GB2312" w:hAnsi="仿宋_GB2312" w:eastAsia="仿宋_GB2312"/>
          <w:b w:val="0"/>
          <w:sz w:val="32"/>
        </w:rPr>
        <w:t>年初预算数2,155.66万元，决算数3,003.71万元，预决算差异率39.34%，主要原因是：年中追加人员工资、社保、公积金基数调增部分资金及文化宣传项目、昌吉州成立70周年庆祝活动项目、考斯特面包车购置项目，导致预决算存在差异。</w:t>
      </w:r>
    </w:p>
    <w:p w14:paraId="2535C6D0">
      <w:pPr>
        <w:spacing w:line="640" w:lineRule="exact"/>
        <w:ind w:firstLine="640"/>
        <w:jc w:val="both"/>
        <w:outlineLvl w:val="2"/>
      </w:pPr>
      <w:r>
        <w:rPr>
          <w:rFonts w:ascii="黑体" w:hAnsi="黑体" w:eastAsia="黑体"/>
          <w:sz w:val="32"/>
        </w:rPr>
        <w:t>五、一般公共预算财政拨款支出决算情况说明</w:t>
      </w:r>
    </w:p>
    <w:p w14:paraId="73B42E8D">
      <w:pPr>
        <w:spacing w:line="640" w:lineRule="exact"/>
        <w:ind w:firstLine="640"/>
        <w:jc w:val="both"/>
        <w:outlineLvl w:val="3"/>
      </w:pPr>
      <w:r>
        <w:rPr>
          <w:rFonts w:ascii="楷体_GB2312" w:hAnsi="楷体_GB2312" w:eastAsia="楷体_GB2312"/>
          <w:b/>
          <w:sz w:val="32"/>
        </w:rPr>
        <w:t>（一）一般公共预算财政拨款支出决算总体情况</w:t>
      </w:r>
    </w:p>
    <w:p w14:paraId="13A46EF7">
      <w:pPr>
        <w:spacing w:line="580" w:lineRule="exact"/>
        <w:ind w:firstLine="640"/>
        <w:jc w:val="both"/>
      </w:pPr>
      <w:r>
        <w:rPr>
          <w:rFonts w:ascii="仿宋_GB2312" w:hAnsi="仿宋_GB2312" w:eastAsia="仿宋_GB2312"/>
          <w:b/>
          <w:sz w:val="32"/>
        </w:rPr>
        <w:t>2024年度一般公共预算财政拨款支出3,003.71万元，</w:t>
      </w:r>
      <w:r>
        <w:rPr>
          <w:rFonts w:ascii="仿宋_GB2312" w:hAnsi="仿宋_GB2312" w:eastAsia="仿宋_GB2312"/>
          <w:b w:val="0"/>
          <w:sz w:val="32"/>
        </w:rPr>
        <w:t>占本年支出合计的99.94%。</w:t>
      </w:r>
      <w:r>
        <w:rPr>
          <w:rFonts w:ascii="仿宋_GB2312" w:hAnsi="仿宋_GB2312" w:eastAsia="仿宋_GB2312"/>
          <w:b/>
          <w:sz w:val="32"/>
        </w:rPr>
        <w:t>与上年相比，</w:t>
      </w:r>
      <w:r>
        <w:rPr>
          <w:rFonts w:ascii="仿宋_GB2312" w:hAnsi="仿宋_GB2312" w:eastAsia="仿宋_GB2312"/>
          <w:b w:val="0"/>
          <w:sz w:val="32"/>
        </w:rPr>
        <w:t>减少1,619.92万元，下降35.04%，主要原因是：本年减少厅级干部周转房项目、公共机构节能项目。</w:t>
      </w:r>
      <w:r>
        <w:rPr>
          <w:rFonts w:ascii="仿宋_GB2312" w:hAnsi="仿宋_GB2312" w:eastAsia="仿宋_GB2312"/>
          <w:b/>
          <w:sz w:val="32"/>
        </w:rPr>
        <w:t>与年初预算相比,</w:t>
      </w:r>
      <w:r>
        <w:rPr>
          <w:rFonts w:ascii="仿宋_GB2312" w:hAnsi="仿宋_GB2312" w:eastAsia="仿宋_GB2312"/>
          <w:b w:val="0"/>
          <w:sz w:val="32"/>
        </w:rPr>
        <w:t>年初预算数2,155.66万元，决算数3,003.71万元，预决算差异率39.34%，主要原因是：年中追加人员工资、社保、公积金基数调增部分资金及文化宣传项目、昌吉州成立70周年庆祝活动项目、考斯特面包车购置项目，导致预决算存在差异。</w:t>
      </w:r>
    </w:p>
    <w:p w14:paraId="595E3A6D">
      <w:pPr>
        <w:spacing w:line="640" w:lineRule="exact"/>
        <w:ind w:firstLine="640"/>
        <w:jc w:val="both"/>
        <w:outlineLvl w:val="3"/>
      </w:pPr>
      <w:r>
        <w:rPr>
          <w:rFonts w:ascii="楷体_GB2312" w:hAnsi="楷体_GB2312" w:eastAsia="楷体_GB2312"/>
          <w:b/>
          <w:sz w:val="32"/>
        </w:rPr>
        <w:t>（二）一般公共预算财政拨款支出决算结构情况</w:t>
      </w:r>
    </w:p>
    <w:p w14:paraId="10F03DB3">
      <w:pPr>
        <w:spacing w:line="580" w:lineRule="exact"/>
        <w:ind w:firstLine="640"/>
        <w:jc w:val="both"/>
      </w:pPr>
      <w:r>
        <w:rPr>
          <w:rFonts w:ascii="仿宋_GB2312" w:hAnsi="仿宋_GB2312" w:eastAsia="仿宋_GB2312"/>
          <w:b w:val="0"/>
          <w:sz w:val="32"/>
        </w:rPr>
        <w:t>1.一般公共服务支出(类)2,864.91万元,占95.38%。</w:t>
      </w:r>
    </w:p>
    <w:p w14:paraId="7763C664">
      <w:pPr>
        <w:spacing w:line="580" w:lineRule="exact"/>
        <w:ind w:firstLine="640"/>
        <w:jc w:val="both"/>
      </w:pPr>
      <w:r>
        <w:rPr>
          <w:rFonts w:ascii="仿宋_GB2312" w:hAnsi="仿宋_GB2312" w:eastAsia="仿宋_GB2312"/>
          <w:b w:val="0"/>
          <w:sz w:val="32"/>
        </w:rPr>
        <w:t>2.社会保障和就业支出(类)78.40万元,占2.61%。</w:t>
      </w:r>
    </w:p>
    <w:p w14:paraId="46300903">
      <w:pPr>
        <w:spacing w:line="580" w:lineRule="exact"/>
        <w:ind w:firstLine="640"/>
        <w:jc w:val="both"/>
      </w:pPr>
      <w:r>
        <w:rPr>
          <w:rFonts w:ascii="仿宋_GB2312" w:hAnsi="仿宋_GB2312" w:eastAsia="仿宋_GB2312"/>
          <w:b w:val="0"/>
          <w:sz w:val="32"/>
        </w:rPr>
        <w:t>3.卫生健康支出(类)21.94万元,占0.73%。</w:t>
      </w:r>
    </w:p>
    <w:p w14:paraId="5AAA7677">
      <w:pPr>
        <w:spacing w:line="580" w:lineRule="exact"/>
        <w:ind w:firstLine="640"/>
        <w:jc w:val="both"/>
      </w:pPr>
      <w:r>
        <w:rPr>
          <w:rFonts w:ascii="仿宋_GB2312" w:hAnsi="仿宋_GB2312" w:eastAsia="仿宋_GB2312"/>
          <w:b w:val="0"/>
          <w:sz w:val="32"/>
        </w:rPr>
        <w:t>4.住房保障支出(类)32.90万元,占1.10%。</w:t>
      </w:r>
    </w:p>
    <w:p w14:paraId="40998BC1">
      <w:pPr>
        <w:spacing w:line="580" w:lineRule="exact"/>
        <w:ind w:firstLine="640"/>
        <w:jc w:val="both"/>
      </w:pPr>
      <w:r>
        <w:rPr>
          <w:rFonts w:ascii="仿宋_GB2312" w:hAnsi="仿宋_GB2312" w:eastAsia="仿宋_GB2312"/>
          <w:b w:val="0"/>
          <w:sz w:val="32"/>
        </w:rPr>
        <w:t>5.其他支出(类)5.56万元,占0.19%。</w:t>
      </w:r>
    </w:p>
    <w:p w14:paraId="13432FE9">
      <w:pPr>
        <w:spacing w:line="640" w:lineRule="exact"/>
        <w:ind w:firstLine="640"/>
        <w:jc w:val="both"/>
        <w:outlineLvl w:val="3"/>
      </w:pPr>
      <w:r>
        <w:rPr>
          <w:rFonts w:ascii="楷体_GB2312" w:hAnsi="楷体_GB2312" w:eastAsia="楷体_GB2312"/>
          <w:b/>
          <w:sz w:val="32"/>
        </w:rPr>
        <w:t>（三）一般公共预算财政拨款支出决算具体情况</w:t>
      </w:r>
    </w:p>
    <w:p w14:paraId="59BBFE0E">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1.一般公共服务支出(类)政府办公厅（室）及相关机构事务(款)行政运行(项):支出决算数为333.78万元，比上年决算减少6.17万元，下降1.81%,主要原因是：本年</w:t>
      </w:r>
      <w:r>
        <w:rPr>
          <w:rFonts w:hint="eastAsia" w:ascii="仿宋_GB2312" w:hAnsi="仿宋_GB2312" w:eastAsia="仿宋_GB2312"/>
          <w:b w:val="0"/>
          <w:sz w:val="32"/>
          <w:lang w:val="en-US" w:eastAsia="zh-CN"/>
        </w:rPr>
        <w:t>行政</w:t>
      </w:r>
      <w:r>
        <w:rPr>
          <w:rFonts w:ascii="仿宋_GB2312" w:hAnsi="仿宋_GB2312" w:eastAsia="仿宋_GB2312"/>
          <w:b w:val="0"/>
          <w:sz w:val="32"/>
        </w:rPr>
        <w:t>在职人员调入，退休，人员职级不同，工资基数不同，导致人员经费较上年减少。</w:t>
      </w:r>
    </w:p>
    <w:p w14:paraId="79B61EDA">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2,499.02万元，比上年决算减少1,658.90万元，下降39.90%,主要原因是：本年减少厅级干部周转房项目、公共机构节能项目。</w:t>
      </w:r>
    </w:p>
    <w:p w14:paraId="3B5E79FD">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32.12万元，比上年决算增加32.12万元，增长100.00%,主要原因是：本年新增事业在职人员，人员经费增加，导致经费较上年有所增加。</w:t>
      </w:r>
    </w:p>
    <w:p w14:paraId="0049BF9A">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4.社会保障和就业支出(类)行政事业单位养老支出(款)行政单位离退休(项):支出决算数为2.35万元，比上年决算增加0.96万元，增长69.06%,主要原因是：本年退休人员增加，退休费支出增加。</w:t>
      </w:r>
    </w:p>
    <w:p w14:paraId="278AC3F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41.04万元，比上年决算增加4.82万元，增长13.31%,主要原因是：本年在职人员增加，工资基数调增，养老缴费基数上涨，相应支出增加。</w:t>
      </w:r>
    </w:p>
    <w:p w14:paraId="15506B77">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6.社会保障和就业支出(类)行政事业单位养老支出(款)机关事业单位职业年金缴费支出(项):支出决算数为34.94万元，比上年决算增加10.35万元，增长42.09%,主要原因是：本年新增退休人员，职业年金缴费支出增加。</w:t>
      </w:r>
    </w:p>
    <w:p w14:paraId="47C351A5">
      <w:pPr>
        <w:spacing w:line="580" w:lineRule="exact"/>
        <w:ind w:firstLine="640"/>
        <w:jc w:val="both"/>
      </w:pPr>
      <w:r>
        <w:rPr>
          <w:rFonts w:ascii="仿宋_GB2312" w:hAnsi="仿宋_GB2312" w:eastAsia="仿宋_GB2312"/>
          <w:b w:val="0"/>
          <w:sz w:val="32"/>
        </w:rPr>
        <w:t>7.社会保障和就业支出(类)其他社会保障和就业支出(款)其他社会保障和就业支出(项):支出决算数为0.07万元，比上年决算增加0.07万元，增长100.00%,主要原因是：本年在职人员增加，失</w:t>
      </w:r>
      <w:r>
        <w:rPr>
          <w:rFonts w:hint="eastAsia" w:ascii="仿宋_GB2312" w:hAnsi="仿宋_GB2312" w:eastAsia="仿宋_GB2312"/>
          <w:b w:val="0"/>
          <w:sz w:val="32"/>
          <w:lang w:eastAsia="zh-CN"/>
        </w:rPr>
        <w:t>业保</w:t>
      </w:r>
      <w:r>
        <w:rPr>
          <w:rFonts w:ascii="仿宋_GB2312" w:hAnsi="仿宋_GB2312" w:eastAsia="仿宋_GB2312"/>
          <w:b w:val="0"/>
          <w:sz w:val="32"/>
        </w:rPr>
        <w:t>险和工</w:t>
      </w:r>
      <w:r>
        <w:rPr>
          <w:rFonts w:hint="eastAsia" w:ascii="仿宋_GB2312" w:hAnsi="仿宋_GB2312" w:eastAsia="仿宋_GB2312"/>
          <w:b w:val="0"/>
          <w:sz w:val="32"/>
          <w:lang w:eastAsia="zh-CN"/>
        </w:rPr>
        <w:t>伤保</w:t>
      </w:r>
      <w:r>
        <w:rPr>
          <w:rFonts w:ascii="仿宋_GB2312" w:hAnsi="仿宋_GB2312" w:eastAsia="仿宋_GB2312"/>
          <w:b w:val="0"/>
          <w:sz w:val="32"/>
        </w:rPr>
        <w:t>险等缴费较上年增加。</w:t>
      </w:r>
    </w:p>
    <w:p w14:paraId="02264A65">
      <w:pPr>
        <w:spacing w:line="580" w:lineRule="exact"/>
        <w:ind w:firstLine="640"/>
        <w:jc w:val="both"/>
      </w:pPr>
      <w:r>
        <w:rPr>
          <w:rFonts w:ascii="仿宋_GB2312" w:hAnsi="仿宋_GB2312" w:eastAsia="仿宋_GB2312"/>
          <w:b w:val="0"/>
          <w:sz w:val="32"/>
        </w:rPr>
        <w:t>8.卫生健康支出(类)行政事业单位医疗(款)行政单位医疗(项):支出决算数为19.75万元，比上年决算增加1.37万元，增长7.45%,主要原因是：本年在职人员工资基数调增，医疗缴费基数上涨，相应支出增加。</w:t>
      </w:r>
    </w:p>
    <w:p w14:paraId="760CA1F4">
      <w:pPr>
        <w:spacing w:line="580" w:lineRule="exact"/>
        <w:ind w:firstLine="640"/>
        <w:jc w:val="both"/>
      </w:pPr>
      <w:r>
        <w:rPr>
          <w:rFonts w:ascii="仿宋_GB2312" w:hAnsi="仿宋_GB2312" w:eastAsia="仿宋_GB2312"/>
          <w:b w:val="0"/>
          <w:sz w:val="32"/>
        </w:rPr>
        <w:t>9.卫生健康支出(类)行政事业单位医疗(款)事业单位医疗(项):支出决算数为0.77万元，比上年决算增加0.77万元，增长100.00%,主要原因是：本年在职人员增加，事业单位医疗支出较上年增加。</w:t>
      </w:r>
    </w:p>
    <w:p w14:paraId="7397DDA6">
      <w:pPr>
        <w:spacing w:line="580" w:lineRule="exact"/>
        <w:ind w:firstLine="640"/>
        <w:jc w:val="both"/>
      </w:pPr>
      <w:r>
        <w:rPr>
          <w:rFonts w:ascii="仿宋_GB2312" w:hAnsi="仿宋_GB2312" w:eastAsia="仿宋_GB2312"/>
          <w:b w:val="0"/>
          <w:sz w:val="32"/>
        </w:rPr>
        <w:t>10.卫生健康支出(类)行政事业单位医疗(款)公务员医疗补助(项):支出决算数为1.28万元，比上年决算增加0.26万元，增长25.49%,主要原因是：本年在职人员增加，公务员医疗补助支出较上年增加。</w:t>
      </w:r>
    </w:p>
    <w:p w14:paraId="56307D4E">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11.卫生健康支出(类)行政事业单位医疗(款)其他行政事业单位医疗支出(项):支出决算数为0.14万元，比上年决算增加0.02万元，增长16.67%,主要原因是：本年在职人员增加，其他行政事业单位医疗支出较上年增加。</w:t>
      </w:r>
    </w:p>
    <w:p w14:paraId="34BB5572">
      <w:pPr>
        <w:spacing w:line="580" w:lineRule="exact"/>
        <w:ind w:firstLine="640"/>
        <w:jc w:val="both"/>
      </w:pPr>
      <w:r>
        <w:rPr>
          <w:rFonts w:ascii="仿宋_GB2312" w:hAnsi="仿宋_GB2312" w:eastAsia="仿宋_GB2312"/>
          <w:b w:val="0"/>
          <w:sz w:val="32"/>
        </w:rPr>
        <w:t>12.住房保障支出(类)住房改革支出(款)住房公积金(项):支出决算数为32.90万元，比上年决算增加4.49万元，增长15.80%,主要原因是：本年在职人员增加，住房公积金支出较上年增加。</w:t>
      </w:r>
    </w:p>
    <w:p w14:paraId="0B40A931">
      <w:pPr>
        <w:spacing w:line="580" w:lineRule="exact"/>
        <w:ind w:firstLine="640"/>
        <w:jc w:val="both"/>
      </w:pPr>
      <w:r>
        <w:rPr>
          <w:rFonts w:ascii="仿宋_GB2312" w:hAnsi="仿宋_GB2312" w:eastAsia="仿宋_GB2312"/>
          <w:b w:val="0"/>
          <w:sz w:val="32"/>
        </w:rPr>
        <w:t>13.其他支出(类)其他支出(款)其他支出(项):支出决算数为5.56万元，比上年决算减少10.07万元，下降64.43%,主要原因是：本年为民办实事工作经费减少，相应工作经费支出减少。</w:t>
      </w:r>
    </w:p>
    <w:p w14:paraId="27F89B03">
      <w:pPr>
        <w:spacing w:line="640" w:lineRule="exact"/>
        <w:ind w:firstLine="640"/>
        <w:jc w:val="both"/>
        <w:outlineLvl w:val="2"/>
      </w:pPr>
      <w:r>
        <w:rPr>
          <w:rFonts w:ascii="黑体" w:hAnsi="黑体" w:eastAsia="黑体"/>
          <w:sz w:val="32"/>
        </w:rPr>
        <w:t>六、一般公共预算财政拨款基本支出决算情况说明</w:t>
      </w:r>
    </w:p>
    <w:p w14:paraId="58FCB88D">
      <w:pPr>
        <w:spacing w:line="580" w:lineRule="exact"/>
        <w:ind w:firstLine="640"/>
        <w:jc w:val="both"/>
      </w:pPr>
      <w:r>
        <w:rPr>
          <w:rFonts w:ascii="仿宋_GB2312" w:hAnsi="仿宋_GB2312" w:eastAsia="仿宋_GB2312"/>
          <w:b w:val="0"/>
          <w:sz w:val="32"/>
        </w:rPr>
        <w:t>2024年度一般公共预算财政拨款基本支出499.13万元，其中：</w:t>
      </w:r>
      <w:r>
        <w:rPr>
          <w:rFonts w:ascii="仿宋_GB2312" w:hAnsi="仿宋_GB2312" w:eastAsia="仿宋_GB2312"/>
          <w:b/>
          <w:sz w:val="32"/>
        </w:rPr>
        <w:t>人员经费431.36万元，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3A9D5B82">
      <w:pPr>
        <w:spacing w:line="580" w:lineRule="exact"/>
        <w:ind w:firstLine="640"/>
        <w:jc w:val="both"/>
      </w:pPr>
      <w:r>
        <w:rPr>
          <w:rFonts w:ascii="仿宋_GB2312" w:hAnsi="仿宋_GB2312" w:eastAsia="仿宋_GB2312"/>
          <w:b/>
          <w:sz w:val="32"/>
        </w:rPr>
        <w:t>公用经费67.77万元，</w:t>
      </w:r>
      <w:r>
        <w:rPr>
          <w:rFonts w:ascii="仿宋_GB2312" w:hAnsi="仿宋_GB2312" w:eastAsia="仿宋_GB2312"/>
          <w:b w:val="0"/>
          <w:sz w:val="32"/>
        </w:rPr>
        <w:t>包括：办公费、印刷费、咨询费、手续费、邮电费、取暖费、差旅费、租赁费、公务接待费、委托业务费、工会经费、福利费、公务用车运行维护费、其他交通费用、其他商品和服务支出。</w:t>
      </w:r>
    </w:p>
    <w:p w14:paraId="69652086">
      <w:pPr>
        <w:spacing w:line="640" w:lineRule="exact"/>
        <w:ind w:firstLine="640"/>
        <w:jc w:val="both"/>
        <w:outlineLvl w:val="2"/>
      </w:pPr>
      <w:r>
        <w:rPr>
          <w:rFonts w:ascii="黑体" w:hAnsi="黑体" w:eastAsia="黑体"/>
          <w:sz w:val="32"/>
        </w:rPr>
        <w:t>七、政府性基金预算财政拨款收入支出决算情况说明</w:t>
      </w:r>
    </w:p>
    <w:p w14:paraId="107F669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F03098B">
      <w:pPr>
        <w:spacing w:line="640" w:lineRule="exact"/>
        <w:ind w:firstLine="640"/>
        <w:jc w:val="both"/>
        <w:outlineLvl w:val="2"/>
      </w:pPr>
      <w:r>
        <w:rPr>
          <w:rFonts w:ascii="黑体" w:hAnsi="黑体" w:eastAsia="黑体"/>
          <w:sz w:val="32"/>
        </w:rPr>
        <w:t>八、国有资本经营预算财政拨款收入支出决算情况说明</w:t>
      </w:r>
    </w:p>
    <w:p w14:paraId="729FBCB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D693D73">
      <w:pPr>
        <w:spacing w:line="640" w:lineRule="exact"/>
        <w:ind w:firstLine="640"/>
        <w:jc w:val="both"/>
        <w:outlineLvl w:val="2"/>
      </w:pPr>
      <w:r>
        <w:rPr>
          <w:rFonts w:ascii="黑体" w:hAnsi="黑体" w:eastAsia="黑体"/>
          <w:sz w:val="32"/>
        </w:rPr>
        <w:t>九、财政拨款“三公”经费支出决算情况说明</w:t>
      </w:r>
    </w:p>
    <w:p w14:paraId="45B1961B">
      <w:pPr>
        <w:spacing w:line="580" w:lineRule="exact"/>
        <w:ind w:firstLine="640"/>
        <w:jc w:val="both"/>
      </w:pPr>
      <w:r>
        <w:rPr>
          <w:rFonts w:ascii="仿宋_GB2312" w:hAnsi="仿宋_GB2312" w:eastAsia="仿宋_GB2312"/>
          <w:b/>
          <w:sz w:val="32"/>
        </w:rPr>
        <w:t>2024年度财政拨款“三公”经费支出118.63万元，</w:t>
      </w:r>
      <w:r>
        <w:rPr>
          <w:rFonts w:ascii="仿宋_GB2312" w:hAnsi="仿宋_GB2312" w:eastAsia="仿宋_GB2312"/>
          <w:b w:val="0"/>
          <w:sz w:val="32"/>
        </w:rPr>
        <w:t>比上年增加36.92万元，增长45.18%，主要原因是：1.本年新购入公务用车，公务用车购置费较上年增加。2.本年度</w:t>
      </w:r>
      <w:r>
        <w:rPr>
          <w:rFonts w:hint="eastAsia" w:ascii="仿宋_GB2312" w:hAnsi="仿宋_GB2312" w:eastAsia="仿宋_GB2312"/>
          <w:b w:val="0"/>
          <w:sz w:val="32"/>
          <w:lang w:eastAsia="zh-CN"/>
        </w:rPr>
        <w:t>本单位</w:t>
      </w:r>
      <w:r>
        <w:rPr>
          <w:rFonts w:ascii="仿宋_GB2312" w:hAnsi="仿宋_GB2312" w:eastAsia="仿宋_GB2312"/>
          <w:b w:val="0"/>
          <w:sz w:val="32"/>
        </w:rPr>
        <w:t>新增公务用车保障服务中心，统一集中管理闲置或超标公务用车，导致公务用车运行维护费较上年增加。其中：因公出国（境）费支出0.00万元，占0.00%，比上年增加0.00万元，增长0.00%，主要原因是：2023年与2024年均未安排因公出国（境）费支出。公务用车购置及运行维护费支出118.44万元，占99.84%，比上年增加36.92万元，增长45.29%，主要原因是：1.本年新购入公务用车，公务用车购置费较上年增加。2.本年度</w:t>
      </w:r>
      <w:r>
        <w:rPr>
          <w:rFonts w:hint="eastAsia" w:ascii="仿宋_GB2312" w:hAnsi="仿宋_GB2312" w:eastAsia="仿宋_GB2312"/>
          <w:b w:val="0"/>
          <w:sz w:val="32"/>
          <w:lang w:eastAsia="zh-CN"/>
        </w:rPr>
        <w:t>本单位</w:t>
      </w:r>
      <w:r>
        <w:rPr>
          <w:rFonts w:ascii="仿宋_GB2312" w:hAnsi="仿宋_GB2312" w:eastAsia="仿宋_GB2312"/>
          <w:b w:val="0"/>
          <w:sz w:val="32"/>
        </w:rPr>
        <w:t>新增公务用车保障服务中心，统一集中管理闲置或超标公务用车，导致公务用车运行维护费较上年增加。公务接待费支出0.19万元，占0.16%，比上年增加0.00万元，增长0.00%，主要原因是：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24F20164">
      <w:pPr>
        <w:spacing w:line="580" w:lineRule="exact"/>
        <w:ind w:firstLine="640"/>
        <w:jc w:val="both"/>
      </w:pPr>
      <w:r>
        <w:rPr>
          <w:rFonts w:ascii="仿宋_GB2312" w:hAnsi="仿宋_GB2312" w:eastAsia="仿宋_GB2312"/>
          <w:b/>
          <w:sz w:val="32"/>
        </w:rPr>
        <w:t>具体情况如下：</w:t>
      </w:r>
    </w:p>
    <w:p w14:paraId="0019033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7C076B3">
      <w:pPr>
        <w:spacing w:line="580" w:lineRule="exact"/>
        <w:ind w:firstLine="640"/>
        <w:jc w:val="both"/>
      </w:pPr>
      <w:r>
        <w:rPr>
          <w:rFonts w:ascii="仿宋_GB2312" w:hAnsi="仿宋_GB2312" w:eastAsia="仿宋_GB2312"/>
          <w:b w:val="0"/>
          <w:sz w:val="32"/>
        </w:rPr>
        <w:t>公务用车购置及运行维护费118.44万元，其中：公务用车购置费49.94万元，公务用车运行维护费68.50万元。公务用车运行维护费开支内容包括车辆加油费、维修费、保险费、审车费、过路费等。公务用车购置数1辆，公务用车保有量27辆。国有资产占用情况中固定资产车辆27辆，与公务用车保有量差异原因是：本单位固定资产车辆与公务用车保有量一致无差异。</w:t>
      </w:r>
    </w:p>
    <w:p w14:paraId="6DF5AFDD">
      <w:pPr>
        <w:spacing w:line="580" w:lineRule="exact"/>
        <w:ind w:firstLine="640"/>
        <w:jc w:val="both"/>
      </w:pPr>
      <w:r>
        <w:rPr>
          <w:rFonts w:ascii="仿宋_GB2312" w:hAnsi="仿宋_GB2312" w:eastAsia="仿宋_GB2312"/>
          <w:b w:val="0"/>
          <w:sz w:val="32"/>
        </w:rPr>
        <w:t>公务接待费0.19万元，开支内容包括因工作安排，接待上级领导检查产生的就餐费。单位全年安排的国内公务接待4批次，38人次。</w:t>
      </w:r>
    </w:p>
    <w:p w14:paraId="492F7CD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118.63万元，决算数118.63万元，预决算差异率0.00%，主要原因是：严格按照预算执行，预决算无差异。其中：因公出国（境）费全年预算数0.00万元，决算数0.00万元，预决算差异率0.00%，主要原因是：本单位无因公出国（境）费。公务用车购置费全年预算数49.94万元，决算数49.94万元，预决算差异率0.00%，主要原因是：严格按照预算执行，预决算无差异。公务用车运行维护费全年预算数68.50万元，决算数68.50万元，预决算差异率0.00%，主要原因是：严格按照预算执行，预决算无差异。公务接待费全年预算数0.19万元，决算数0.19万元，预决算差异率0.00%，主要原因是：严格按照预算执行，预决算无差异。</w:t>
      </w:r>
    </w:p>
    <w:p w14:paraId="36FEAFEF">
      <w:pPr>
        <w:spacing w:line="640" w:lineRule="exact"/>
        <w:ind w:firstLine="640"/>
        <w:jc w:val="both"/>
        <w:outlineLvl w:val="2"/>
      </w:pPr>
      <w:r>
        <w:rPr>
          <w:rFonts w:ascii="黑体" w:hAnsi="黑体" w:eastAsia="黑体"/>
          <w:sz w:val="32"/>
        </w:rPr>
        <w:t>十、其他重要事项的情况说明</w:t>
      </w:r>
    </w:p>
    <w:p w14:paraId="25DFFAB6">
      <w:pPr>
        <w:spacing w:line="640" w:lineRule="exact"/>
        <w:ind w:firstLine="640"/>
        <w:jc w:val="both"/>
        <w:outlineLvl w:val="3"/>
      </w:pPr>
      <w:r>
        <w:rPr>
          <w:rFonts w:ascii="楷体_GB2312" w:hAnsi="楷体_GB2312" w:eastAsia="楷体_GB2312"/>
          <w:b/>
          <w:sz w:val="32"/>
        </w:rPr>
        <w:t>（一）机关运行经费及公用经费支出情况</w:t>
      </w:r>
    </w:p>
    <w:p w14:paraId="2BE3C17F">
      <w:pPr>
        <w:spacing w:line="580" w:lineRule="exact"/>
        <w:ind w:firstLine="640"/>
        <w:jc w:val="both"/>
      </w:pPr>
      <w:r>
        <w:rPr>
          <w:rFonts w:ascii="仿宋_GB2312" w:hAnsi="仿宋_GB2312" w:eastAsia="仿宋_GB2312"/>
          <w:b w:val="0"/>
          <w:sz w:val="32"/>
        </w:rPr>
        <w:t>2024年度昌吉回族自治州机关事务管理局（行政单位和参照公务员法管理事业单位）机关运行经费支出67.77万元，比上年增加5.89万元，增长9.52%，主要原因是：本年在职人员增加，办公费用增加。</w:t>
      </w:r>
    </w:p>
    <w:p w14:paraId="1714860C">
      <w:pPr>
        <w:spacing w:line="640" w:lineRule="exact"/>
        <w:ind w:firstLine="640"/>
        <w:jc w:val="both"/>
        <w:outlineLvl w:val="3"/>
      </w:pPr>
      <w:r>
        <w:rPr>
          <w:rFonts w:ascii="楷体_GB2312" w:hAnsi="楷体_GB2312" w:eastAsia="楷体_GB2312"/>
          <w:b/>
          <w:sz w:val="32"/>
        </w:rPr>
        <w:t>（二）政府采购情况</w:t>
      </w:r>
    </w:p>
    <w:p w14:paraId="4A4F7586">
      <w:pPr>
        <w:spacing w:line="580" w:lineRule="exact"/>
        <w:ind w:firstLine="640"/>
        <w:jc w:val="both"/>
      </w:pPr>
      <w:r>
        <w:rPr>
          <w:rFonts w:ascii="仿宋_GB2312" w:hAnsi="仿宋_GB2312" w:eastAsia="仿宋_GB2312"/>
          <w:b w:val="0"/>
          <w:sz w:val="32"/>
        </w:rPr>
        <w:t>2024年度政府采购支出总额78.89万元，其中：政府采购货物支出14.03万元、政府采购工程支出0.00万元、政府采购服务支出64.86万元。</w:t>
      </w:r>
    </w:p>
    <w:p w14:paraId="12ED2788">
      <w:pPr>
        <w:spacing w:line="580" w:lineRule="exact"/>
        <w:ind w:firstLine="640"/>
        <w:jc w:val="both"/>
      </w:pPr>
      <w:r>
        <w:rPr>
          <w:rFonts w:ascii="仿宋_GB2312" w:hAnsi="仿宋_GB2312" w:eastAsia="仿宋_GB2312"/>
          <w:b w:val="0"/>
          <w:sz w:val="32"/>
        </w:rPr>
        <w:t>授予中小企业合同金额78.89万元，占政府采购支出总额的100.00%，其中：授予小微企业合同金额78.89万元，占政府采购支出总额的100.00%。</w:t>
      </w:r>
    </w:p>
    <w:p w14:paraId="4520B76E">
      <w:pPr>
        <w:spacing w:line="640" w:lineRule="exact"/>
        <w:ind w:firstLine="640"/>
        <w:jc w:val="both"/>
        <w:outlineLvl w:val="3"/>
      </w:pPr>
      <w:r>
        <w:rPr>
          <w:rFonts w:ascii="楷体_GB2312" w:hAnsi="楷体_GB2312" w:eastAsia="楷体_GB2312"/>
          <w:b/>
          <w:sz w:val="32"/>
        </w:rPr>
        <w:t>（三）国有资产占用情况说明</w:t>
      </w:r>
    </w:p>
    <w:p w14:paraId="3C7890F7">
      <w:pPr>
        <w:spacing w:line="580" w:lineRule="exact"/>
        <w:ind w:firstLine="640"/>
        <w:jc w:val="both"/>
      </w:pPr>
      <w:r>
        <w:rPr>
          <w:rFonts w:ascii="仿宋_GB2312" w:hAnsi="仿宋_GB2312" w:eastAsia="仿宋_GB2312"/>
          <w:b w:val="0"/>
          <w:sz w:val="32"/>
        </w:rPr>
        <w:t>截至2024年12月31日，房屋3,103.06平方米，价值650.63万元。车辆27辆，价值1,178.50万元，其中：副部（省）级及以上领导用车0辆、主要负责人用车0辆、机要通信用车0辆、应急保障用车0辆、执法执勤用车0辆、特种专业技术用车0辆、离退休干部服务用车0辆、其他用车27辆，其他用车主要是：一般公务用车。单价100万元（含）以上设备（不含车辆）0台（套）。</w:t>
      </w:r>
    </w:p>
    <w:p w14:paraId="53637233">
      <w:pPr>
        <w:spacing w:line="640" w:lineRule="exact"/>
        <w:ind w:firstLine="640"/>
        <w:jc w:val="both"/>
        <w:outlineLvl w:val="2"/>
      </w:pPr>
      <w:r>
        <w:rPr>
          <w:rFonts w:ascii="黑体" w:hAnsi="黑体" w:eastAsia="黑体"/>
          <w:sz w:val="32"/>
        </w:rPr>
        <w:t>十一、预算绩效的情况说明</w:t>
      </w:r>
    </w:p>
    <w:p w14:paraId="0969208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3,057.23万元，实际执行总额3,005.51万元；预算绩效评价项目8个，全年预算数2,855.96万元，全年执行数2,660.15万元。预算绩效管理取得的成效：一是资金使用效益高，保障了各项工作的正常运转,资金支付正常；资金使用无虚列支出及随意使用现象,无大额现金支付现象；二是资金使用社会效益好，项目资金按时足额到位，各项工作进度推进有序，保质保量完成工作任务。发现的问题及原因：一是绩效目标设定不科学</w:t>
      </w:r>
      <w:r>
        <w:rPr>
          <w:rFonts w:hint="eastAsia" w:ascii="仿宋_GB2312" w:hAnsi="仿宋_GB2312" w:eastAsia="仿宋_GB2312"/>
          <w:b w:val="0"/>
          <w:sz w:val="32"/>
          <w:lang w:eastAsia="zh-CN"/>
        </w:rPr>
        <w:t>，</w:t>
      </w:r>
      <w:r>
        <w:rPr>
          <w:rFonts w:ascii="仿宋_GB2312" w:hAnsi="仿宋_GB2312" w:eastAsia="仿宋_GB2312"/>
          <w:b w:val="0"/>
          <w:sz w:val="32"/>
        </w:rPr>
        <w:t>对工作计划不精准，绩效目标缺乏细化、量化、与实际工作任务不匹配。二是工作机制有待进一步完善，在平时工作中需要加</w:t>
      </w:r>
      <w:r>
        <w:rPr>
          <w:rFonts w:hint="eastAsia" w:ascii="仿宋_GB2312" w:hAnsi="仿宋_GB2312" w:eastAsia="仿宋_GB2312"/>
          <w:b w:val="0"/>
          <w:sz w:val="32"/>
          <w:lang w:eastAsia="zh-CN"/>
        </w:rPr>
        <w:t>强对</w:t>
      </w:r>
      <w:r>
        <w:rPr>
          <w:rFonts w:ascii="仿宋_GB2312" w:hAnsi="仿宋_GB2312" w:eastAsia="仿宋_GB2312"/>
          <w:b w:val="0"/>
          <w:sz w:val="32"/>
        </w:rPr>
        <w:t>绩效监控工作的重视，绩效监控工作容易滞后，未形成对绩效目标进行监控的习惯。下一步改进措施：一是在今后的工作一方面要严格预算编制，做到细化精确，争取一些费用纳入财政预算中；二是要严格落实专项经费使用管理规定，做到专款专用；三是在平时工作中进一步加强对绩效目标监控的重视，定期对预算执行情况进行监督，使绩效目标监控与政府工作、财务工作挂钩，做到及时监控，及时控制，避免疏忽。具体附整体支出绩效自评表，项目支出绩效自评表和评价报告。</w:t>
      </w:r>
    </w:p>
    <w:p w14:paraId="5D63D62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F14947">
        <w:tblPrEx>
          <w:tblCellMar>
            <w:top w:w="0" w:type="dxa"/>
            <w:left w:w="108" w:type="dxa"/>
            <w:bottom w:w="0" w:type="dxa"/>
            <w:right w:w="108" w:type="dxa"/>
          </w:tblCellMar>
        </w:tblPrEx>
        <w:tc>
          <w:tcPr>
            <w:tcW w:w="8847" w:type="dxa"/>
            <w:gridSpan w:val="9"/>
            <w:vAlign w:val="center"/>
          </w:tcPr>
          <w:p w14:paraId="11D6E16E">
            <w:pPr>
              <w:jc w:val="center"/>
            </w:pPr>
            <w:r>
              <w:rPr>
                <w:rFonts w:ascii="宋体" w:hAnsi="宋体" w:eastAsia="宋体"/>
                <w:sz w:val="24"/>
              </w:rPr>
              <w:t>单位整体支出绩效自评表</w:t>
            </w:r>
          </w:p>
        </w:tc>
      </w:tr>
      <w:tr w14:paraId="2A1B2FE4">
        <w:tblPrEx>
          <w:tblCellMar>
            <w:top w:w="0" w:type="dxa"/>
            <w:left w:w="108" w:type="dxa"/>
            <w:bottom w:w="0" w:type="dxa"/>
            <w:right w:w="108" w:type="dxa"/>
          </w:tblCellMar>
        </w:tblPrEx>
        <w:tc>
          <w:tcPr>
            <w:tcW w:w="8847" w:type="dxa"/>
            <w:gridSpan w:val="9"/>
            <w:vAlign w:val="center"/>
          </w:tcPr>
          <w:p w14:paraId="70837F69">
            <w:pPr>
              <w:jc w:val="center"/>
            </w:pPr>
            <w:r>
              <w:rPr>
                <w:rFonts w:ascii="宋体" w:hAnsi="宋体" w:eastAsia="宋体"/>
                <w:sz w:val="24"/>
              </w:rPr>
              <w:t>（2024年度）</w:t>
            </w:r>
          </w:p>
        </w:tc>
      </w:tr>
      <w:tr w14:paraId="3E322E4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604D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548FA21">
            <w:pPr>
              <w:jc w:val="center"/>
            </w:pPr>
            <w:r>
              <w:rPr>
                <w:rFonts w:ascii="宋体" w:hAnsi="宋体" w:eastAsia="宋体"/>
                <w:sz w:val="16"/>
              </w:rPr>
              <w:t>昌吉回族自治州机关事务管理局</w:t>
            </w:r>
          </w:p>
        </w:tc>
      </w:tr>
      <w:tr w14:paraId="5ABFCE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338E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5C89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983A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0E35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4823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5786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8A63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98A18">
            <w:pPr>
              <w:jc w:val="center"/>
            </w:pPr>
            <w:r>
              <w:rPr>
                <w:rFonts w:ascii="宋体" w:hAnsi="宋体" w:eastAsia="宋体"/>
                <w:sz w:val="16"/>
              </w:rPr>
              <w:t>得分</w:t>
            </w:r>
          </w:p>
        </w:tc>
      </w:tr>
      <w:tr w14:paraId="473A43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6851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4A2D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6B49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9E1D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EA2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DCC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E708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07077">
            <w:pPr>
              <w:jc w:val="center"/>
            </w:pPr>
            <w:r>
              <w:rPr>
                <w:rFonts w:ascii="宋体" w:hAnsi="宋体" w:eastAsia="宋体"/>
                <w:sz w:val="16"/>
              </w:rPr>
              <w:t>-</w:t>
            </w:r>
          </w:p>
        </w:tc>
      </w:tr>
      <w:tr w14:paraId="776899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18F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3350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216E4">
            <w:pPr>
              <w:jc w:val="center"/>
            </w:pPr>
            <w:r>
              <w:rPr>
                <w:rFonts w:ascii="宋体" w:hAnsi="宋体" w:eastAsia="宋体"/>
                <w:sz w:val="16"/>
              </w:rPr>
              <w:t>2,135.66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1B6D0">
            <w:pPr>
              <w:jc w:val="center"/>
            </w:pPr>
            <w:r>
              <w:rPr>
                <w:rFonts w:ascii="宋体" w:hAnsi="宋体" w:eastAsia="宋体"/>
                <w:sz w:val="16"/>
              </w:rPr>
              <w:t>3,003.71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B517D">
            <w:pPr>
              <w:jc w:val="center"/>
            </w:pPr>
            <w:r>
              <w:rPr>
                <w:rFonts w:ascii="宋体" w:hAnsi="宋体" w:eastAsia="宋体"/>
                <w:sz w:val="16"/>
              </w:rPr>
              <w:t>3,003.71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96E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D22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A4BD5">
            <w:pPr>
              <w:jc w:val="center"/>
            </w:pPr>
            <w:r>
              <w:rPr>
                <w:rFonts w:ascii="宋体" w:hAnsi="宋体" w:eastAsia="宋体"/>
                <w:sz w:val="16"/>
              </w:rPr>
              <w:t>-</w:t>
            </w:r>
          </w:p>
        </w:tc>
      </w:tr>
      <w:tr w14:paraId="016ABF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9FF3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FBE7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A4883">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E9F7F">
            <w:pPr>
              <w:jc w:val="center"/>
            </w:pPr>
            <w:r>
              <w:rPr>
                <w:rFonts w:ascii="宋体" w:hAnsi="宋体" w:eastAsia="宋体"/>
                <w:sz w:val="16"/>
              </w:rPr>
              <w:t>53.52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12109">
            <w:pPr>
              <w:jc w:val="center"/>
            </w:pPr>
            <w:r>
              <w:rPr>
                <w:rFonts w:ascii="宋体" w:hAnsi="宋体" w:eastAsia="宋体"/>
                <w:sz w:val="16"/>
              </w:rPr>
              <w:t>1.80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06D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C49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AE8AB">
            <w:pPr>
              <w:jc w:val="center"/>
            </w:pPr>
            <w:r>
              <w:rPr>
                <w:rFonts w:ascii="宋体" w:hAnsi="宋体" w:eastAsia="宋体"/>
                <w:sz w:val="16"/>
              </w:rPr>
              <w:t>-</w:t>
            </w:r>
          </w:p>
        </w:tc>
      </w:tr>
      <w:tr w14:paraId="62F263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1F8A9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616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40898">
            <w:pPr>
              <w:jc w:val="center"/>
            </w:pPr>
            <w:r>
              <w:rPr>
                <w:rFonts w:ascii="宋体" w:hAnsi="宋体" w:eastAsia="宋体"/>
                <w:sz w:val="16"/>
              </w:rPr>
              <w:t>2,155.66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AE192">
            <w:pPr>
              <w:jc w:val="center"/>
            </w:pPr>
            <w:r>
              <w:rPr>
                <w:rFonts w:ascii="宋体" w:hAnsi="宋体" w:eastAsia="宋体"/>
                <w:sz w:val="16"/>
              </w:rPr>
              <w:t>3,057.23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C3716">
            <w:pPr>
              <w:jc w:val="center"/>
            </w:pPr>
            <w:r>
              <w:rPr>
                <w:rFonts w:ascii="宋体" w:hAnsi="宋体" w:eastAsia="宋体"/>
                <w:sz w:val="16"/>
              </w:rPr>
              <w:t>3,005.51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0A5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FEFFA">
            <w:pPr>
              <w:jc w:val="center"/>
            </w:pPr>
            <w:r>
              <w:rPr>
                <w:rFonts w:ascii="宋体" w:hAnsi="宋体" w:eastAsia="宋体"/>
                <w:sz w:val="16"/>
              </w:rPr>
              <w:t>98.31%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0D72F">
            <w:pPr>
              <w:jc w:val="center"/>
            </w:pPr>
            <w:r>
              <w:rPr>
                <w:rFonts w:ascii="宋体" w:hAnsi="宋体" w:eastAsia="宋体"/>
                <w:sz w:val="16"/>
              </w:rPr>
              <w:t>9.8</w:t>
            </w:r>
          </w:p>
        </w:tc>
      </w:tr>
      <w:tr w14:paraId="330F6D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8879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4AE5A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A8201A">
            <w:pPr>
              <w:jc w:val="center"/>
            </w:pPr>
            <w:r>
              <w:rPr>
                <w:rFonts w:ascii="宋体" w:hAnsi="宋体" w:eastAsia="宋体"/>
                <w:sz w:val="16"/>
              </w:rPr>
              <w:t>实际完成情况</w:t>
            </w:r>
          </w:p>
        </w:tc>
      </w:tr>
      <w:tr w14:paraId="2E0BAE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43D4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91B4C2">
            <w:pPr>
              <w:jc w:val="both"/>
            </w:pPr>
            <w:r>
              <w:rPr>
                <w:rFonts w:ascii="宋体" w:hAnsi="宋体" w:eastAsia="宋体"/>
                <w:sz w:val="16"/>
              </w:rPr>
              <w:t>坚持以习近平新时代中国特色社会主义思想为引领，深入学习宣传贯彻落实党的二十大精神，贯彻落实习近平总书记对机关事务工作指示精神，贯彻落实《新疆维吾尔自治区机关事务管理办法》，贯彻落实自治州党委决策部署，持续巩固深化“一体三化”现代机关事务管理体制，着力推进昌吉州机关事务高质量发展，为建设推进中国式现代化新疆实践的典范地州做出贡献。根据《州党委财经委员会2021年第四次会议纪要》（昌州党财〔2021〕4号）文件精神，落实“管事分离”和“管理与经营分开”的改革要求，充分发挥国有企业经营优势、市场优势、资源优势，最大限度盘活闲置办公用房，实现国有资产保值增值，将州直党政机关闲置办公用房（经营性）144处委托州国投集团管理，最大限度发挥管理水平和能力；按照《新疆维吾尔自治区公共机构节能“十四五”规划》《新疆维吾尔自治区“十四五”时期节约能源资源消费工作评价标准》《昌吉州公共机构机构节能“十四五”规划》开展重点用能单位能源审计</w:t>
            </w:r>
            <w:r>
              <w:rPr>
                <w:rFonts w:hint="eastAsia" w:ascii="宋体" w:hAnsi="宋体"/>
                <w:sz w:val="16"/>
                <w:lang w:eastAsia="zh-CN"/>
              </w:rPr>
              <w:t>；</w:t>
            </w:r>
            <w:r>
              <w:rPr>
                <w:rFonts w:ascii="宋体" w:hAnsi="宋体" w:eastAsia="宋体"/>
                <w:sz w:val="16"/>
              </w:rPr>
              <w:t>开展公共机构生活垃圾强制分类工作推进</w:t>
            </w:r>
            <w:r>
              <w:rPr>
                <w:rFonts w:hint="eastAsia" w:ascii="宋体" w:hAnsi="宋体"/>
                <w:sz w:val="16"/>
                <w:lang w:eastAsia="zh-CN"/>
              </w:rPr>
              <w:t>；</w:t>
            </w:r>
            <w:r>
              <w:rPr>
                <w:rFonts w:ascii="宋体" w:hAnsi="宋体" w:eastAsia="宋体"/>
                <w:sz w:val="16"/>
              </w:rPr>
              <w:t>开展能耗定额标准执行推进</w:t>
            </w:r>
            <w:r>
              <w:rPr>
                <w:rFonts w:hint="eastAsia" w:ascii="宋体" w:hAnsi="宋体"/>
                <w:sz w:val="16"/>
                <w:lang w:eastAsia="zh-CN"/>
              </w:rPr>
              <w:t>；</w:t>
            </w:r>
            <w:r>
              <w:rPr>
                <w:rFonts w:ascii="宋体" w:hAnsi="宋体" w:eastAsia="宋体"/>
                <w:sz w:val="16"/>
              </w:rPr>
              <w:t>开展制止餐饮浪费专项行动</w:t>
            </w:r>
            <w:r>
              <w:rPr>
                <w:rFonts w:hint="eastAsia" w:ascii="宋体" w:hAnsi="宋体"/>
                <w:sz w:val="16"/>
                <w:lang w:eastAsia="zh-CN"/>
              </w:rPr>
              <w:t>；</w:t>
            </w:r>
            <w:r>
              <w:rPr>
                <w:rFonts w:ascii="宋体" w:hAnsi="宋体" w:eastAsia="宋体"/>
                <w:sz w:val="16"/>
              </w:rPr>
              <w:t>推进绿色食堂建设、能耗监测平台建设、合同能源管理、电采暖等节能项目</w:t>
            </w:r>
            <w:r>
              <w:rPr>
                <w:rFonts w:hint="eastAsia" w:ascii="宋体" w:hAnsi="宋体"/>
                <w:sz w:val="16"/>
                <w:lang w:eastAsia="zh-CN"/>
              </w:rPr>
              <w:t>；</w:t>
            </w:r>
            <w:r>
              <w:rPr>
                <w:rFonts w:ascii="宋体" w:hAnsi="宋体" w:eastAsia="宋体"/>
                <w:sz w:val="16"/>
              </w:rPr>
              <w:t>开展绿色出行活动，推广新能源汽车，推进充电基础设施建设。提高了节能意识，营造了良好的节能减排氛围。根据《党政机关用房管理办法》负责行政办公用房权属、配置、建设、使用、维修、处置利用管理。以及州本级机关及所属事业单位用地管理工作。完成自治州“四套班子”办公楼、州政府综合办公楼、州(市)政务中心和州文化事业发展新区大楼的管理工作。进一步规范了党政机关办公用房管理，保障正常办公，降低行政成本，促进党风廉政建设和节约型机关建设。进一步贯彻落实州党委关于“厉行节约、反对浪费”、过“紧日子”要求，对闲置资产进行集中统一管理，盘活资源，优化配置，集约节约降低运行成本，提升保障效能提高资产使用效益，发挥公物仓资产共享平台作用，进一步完善基础设施，开展信息化管理，加强设备常态化维护维修，对涉密设备进行脱密技术处理。落实加快转变传统后勤的思维定式和思想认识，依法落实机关事务部门管资产、管经费、管节能、管服务的集中统一管理体制和与之相适应的机构职能体系。切实解决合规专业、效率公平，权责匹配、有效履职等现实问题，真正做到事权统一、权责明晰、运行顺畅、保障有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517586">
            <w:pPr>
              <w:jc w:val="both"/>
            </w:pPr>
            <w:r>
              <w:rPr>
                <w:rFonts w:hint="eastAsia" w:ascii="宋体" w:hAnsi="宋体"/>
                <w:sz w:val="16"/>
                <w:lang w:eastAsia="zh-CN"/>
              </w:rPr>
              <w:t>截至</w:t>
            </w:r>
            <w:r>
              <w:rPr>
                <w:rFonts w:ascii="宋体" w:hAnsi="宋体" w:eastAsia="宋体"/>
                <w:sz w:val="16"/>
              </w:rPr>
              <w:t>2024年12月，</w:t>
            </w:r>
            <w:r>
              <w:rPr>
                <w:rFonts w:hint="eastAsia" w:ascii="宋体" w:hAnsi="宋体"/>
                <w:sz w:val="16"/>
                <w:lang w:eastAsia="zh-CN"/>
              </w:rPr>
              <w:t>本单位</w:t>
            </w:r>
            <w:r>
              <w:rPr>
                <w:rFonts w:ascii="宋体" w:hAnsi="宋体" w:eastAsia="宋体"/>
                <w:sz w:val="16"/>
              </w:rPr>
              <w:t>实际完成党政机关办公用房进行零星维修11处，委托管理闲置办公用房总面积15529.04平方米，入仓维修维护资产3次，委托第三方对公共机构开展节能监察15家，统管公务用车维修和保养次数35次，公务车辆维修合格率100%，闲置办公用房委托管理费支付及时率100%，落实加快转变传统后勤的思维定式和思想认识，依法落实机关事务部门管资产、管经费、管节能、管服务的集中统一管理体制和与之相适应的机构职能体系。切实解决合规专业、效率公平，权责匹配、有效履职等现实问题，真正做到事权统一、权责明晰、运行顺畅、保障有力。</w:t>
            </w:r>
          </w:p>
        </w:tc>
      </w:tr>
      <w:tr w14:paraId="5FE1B88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5EAC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26EB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8762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8036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0DE3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0F95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90F1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E94E6">
            <w:pPr>
              <w:jc w:val="center"/>
            </w:pPr>
            <w:r>
              <w:rPr>
                <w:rFonts w:ascii="宋体" w:hAnsi="宋体" w:eastAsia="宋体"/>
                <w:sz w:val="16"/>
              </w:rPr>
              <w:t>得分</w:t>
            </w:r>
          </w:p>
        </w:tc>
      </w:tr>
      <w:tr w14:paraId="64FE1B7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91AD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BD9F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AE237">
            <w:pPr>
              <w:jc w:val="center"/>
            </w:pPr>
            <w:r>
              <w:rPr>
                <w:rFonts w:ascii="宋体" w:hAnsi="宋体" w:eastAsia="宋体"/>
                <w:sz w:val="16"/>
              </w:rPr>
              <w:t>党政机关办公用房进行零星维修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D5EBE">
            <w:pPr>
              <w:jc w:val="center"/>
            </w:pPr>
            <w:r>
              <w:rPr>
                <w:rFonts w:ascii="宋体" w:hAnsi="宋体" w:eastAsia="宋体"/>
                <w:sz w:val="16"/>
              </w:rPr>
              <w:t>&gt;=2处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58A09">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25A0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E85ED">
            <w:pPr>
              <w:jc w:val="center"/>
            </w:pPr>
            <w:r>
              <w:rPr>
                <w:rFonts w:ascii="宋体" w:hAnsi="宋体" w:eastAsia="宋体"/>
                <w:sz w:val="16"/>
              </w:rPr>
              <w:t>11处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E9025">
            <w:pPr>
              <w:jc w:val="center"/>
            </w:pPr>
            <w:r>
              <w:rPr>
                <w:rFonts w:ascii="宋体" w:hAnsi="宋体" w:eastAsia="宋体"/>
                <w:sz w:val="16"/>
              </w:rPr>
              <w:t>15</w:t>
            </w:r>
          </w:p>
        </w:tc>
      </w:tr>
      <w:tr w14:paraId="4B4589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D74B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AB8D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B6E5B">
            <w:pPr>
              <w:jc w:val="center"/>
            </w:pPr>
            <w:r>
              <w:rPr>
                <w:rFonts w:ascii="宋体" w:hAnsi="宋体" w:eastAsia="宋体"/>
                <w:sz w:val="16"/>
              </w:rPr>
              <w:t>委托管理闲置办公用房总面积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3134E">
            <w:pPr>
              <w:jc w:val="center"/>
            </w:pPr>
            <w:r>
              <w:rPr>
                <w:rFonts w:ascii="宋体" w:hAnsi="宋体" w:eastAsia="宋体"/>
                <w:sz w:val="16"/>
              </w:rPr>
              <w:t>&gt;=15000平方米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34472">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518C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A7BE7">
            <w:pPr>
              <w:jc w:val="center"/>
            </w:pPr>
            <w:r>
              <w:rPr>
                <w:rFonts w:ascii="宋体" w:hAnsi="宋体" w:eastAsia="宋体"/>
                <w:sz w:val="16"/>
              </w:rPr>
              <w:t>15529.04平方米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84542">
            <w:pPr>
              <w:jc w:val="center"/>
            </w:pPr>
            <w:r>
              <w:rPr>
                <w:rFonts w:ascii="宋体" w:hAnsi="宋体" w:eastAsia="宋体"/>
                <w:sz w:val="16"/>
              </w:rPr>
              <w:t>15</w:t>
            </w:r>
          </w:p>
        </w:tc>
      </w:tr>
      <w:tr w14:paraId="7867E1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5525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5853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5AAEA">
            <w:pPr>
              <w:jc w:val="center"/>
            </w:pPr>
            <w:r>
              <w:rPr>
                <w:rFonts w:ascii="宋体" w:hAnsi="宋体" w:eastAsia="宋体"/>
                <w:sz w:val="16"/>
              </w:rPr>
              <w:t>入仓维修维护资产数量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C1CA6">
            <w:pPr>
              <w:jc w:val="center"/>
            </w:pPr>
            <w:r>
              <w:rPr>
                <w:rFonts w:ascii="宋体" w:hAnsi="宋体" w:eastAsia="宋体"/>
                <w:sz w:val="16"/>
              </w:rPr>
              <w:t>&gt;=2件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7654D">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1A55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9EF26">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1ED31">
            <w:pPr>
              <w:jc w:val="center"/>
            </w:pPr>
            <w:r>
              <w:rPr>
                <w:rFonts w:ascii="宋体" w:hAnsi="宋体" w:eastAsia="宋体"/>
                <w:sz w:val="16"/>
              </w:rPr>
              <w:t>15</w:t>
            </w:r>
          </w:p>
        </w:tc>
      </w:tr>
      <w:tr w14:paraId="2C07F0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9BA8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8FBB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7AE1B">
            <w:pPr>
              <w:jc w:val="center"/>
            </w:pPr>
            <w:r>
              <w:rPr>
                <w:rFonts w:ascii="宋体" w:hAnsi="宋体" w:eastAsia="宋体"/>
                <w:sz w:val="16"/>
              </w:rPr>
              <w:t>委托第三方对公共机构开展节能监察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F8DED">
            <w:pPr>
              <w:jc w:val="center"/>
            </w:pPr>
            <w:r>
              <w:rPr>
                <w:rFonts w:ascii="宋体" w:hAnsi="宋体" w:eastAsia="宋体"/>
                <w:sz w:val="16"/>
              </w:rPr>
              <w: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6E4ED">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DFEA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3084D">
            <w:pPr>
              <w:jc w:val="center"/>
            </w:pPr>
            <w:r>
              <w:rPr>
                <w:rFonts w:ascii="宋体" w:hAnsi="宋体" w:eastAsia="宋体"/>
                <w:sz w:val="16"/>
              </w:rPr>
              <w:t>15家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F2B7F">
            <w:pPr>
              <w:jc w:val="center"/>
            </w:pPr>
            <w:r>
              <w:rPr>
                <w:rFonts w:ascii="宋体" w:hAnsi="宋体" w:eastAsia="宋体"/>
                <w:sz w:val="16"/>
              </w:rPr>
              <w:t>15</w:t>
            </w:r>
          </w:p>
        </w:tc>
      </w:tr>
      <w:tr w14:paraId="0A4C7D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C5FEF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C9AF1">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B7D90">
            <w:pPr>
              <w:jc w:val="center"/>
            </w:pPr>
            <w:r>
              <w:rPr>
                <w:rFonts w:ascii="宋体" w:hAnsi="宋体" w:eastAsia="宋体"/>
                <w:sz w:val="16"/>
              </w:rPr>
              <w:t>统管公务用车维修和保养次数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FD6D1">
            <w:pPr>
              <w:jc w:val="center"/>
            </w:pPr>
            <w:r>
              <w:rPr>
                <w:rFonts w:ascii="宋体" w:hAnsi="宋体" w:eastAsia="宋体"/>
                <w:sz w:val="16"/>
              </w:rPr>
              <w:t>&gt;=30次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31E1B">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F4B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080A3">
            <w:pPr>
              <w:jc w:val="center"/>
            </w:pPr>
            <w:r>
              <w:rPr>
                <w:rFonts w:ascii="宋体" w:hAnsi="宋体" w:eastAsia="宋体"/>
                <w:sz w:val="16"/>
              </w:rPr>
              <w:t>35次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45D03">
            <w:pPr>
              <w:jc w:val="center"/>
            </w:pPr>
            <w:r>
              <w:rPr>
                <w:rFonts w:ascii="宋体" w:hAnsi="宋体" w:eastAsia="宋体"/>
                <w:sz w:val="16"/>
              </w:rPr>
              <w:t>10</w:t>
            </w:r>
          </w:p>
        </w:tc>
      </w:tr>
      <w:tr w14:paraId="5C1026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6E23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E6D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79DD3">
            <w:pPr>
              <w:jc w:val="center"/>
            </w:pPr>
            <w:r>
              <w:rPr>
                <w:rFonts w:ascii="宋体" w:hAnsi="宋体" w:eastAsia="宋体"/>
                <w:sz w:val="16"/>
              </w:rPr>
              <w:t>公务车辆维修合格率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8686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A33E1">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236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A04F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43D5F">
            <w:pPr>
              <w:jc w:val="center"/>
            </w:pPr>
            <w:r>
              <w:rPr>
                <w:rFonts w:ascii="宋体" w:hAnsi="宋体" w:eastAsia="宋体"/>
                <w:sz w:val="16"/>
              </w:rPr>
              <w:t>10</w:t>
            </w:r>
          </w:p>
        </w:tc>
      </w:tr>
      <w:tr w14:paraId="02F054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8760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C15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62806">
            <w:pPr>
              <w:jc w:val="center"/>
            </w:pPr>
            <w:r>
              <w:rPr>
                <w:rFonts w:ascii="宋体" w:hAnsi="宋体" w:eastAsia="宋体"/>
                <w:sz w:val="16"/>
              </w:rPr>
              <w:t>闲置办公用房委托管理费支付及时率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D226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CF40A">
            <w:pPr>
              <w:jc w:val="center"/>
            </w:pPr>
            <w:r>
              <w:rPr>
                <w:rFonts w:ascii="宋体" w:hAnsi="宋体" w:eastAsia="宋体"/>
                <w:sz w:val="16"/>
              </w:rPr>
              <w:t>关于开展州本级临时机构、迎接督察检查等阶段性工作购置固定自查清查工作的通知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937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0BDE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67C04">
            <w:pPr>
              <w:jc w:val="center"/>
            </w:pPr>
            <w:r>
              <w:rPr>
                <w:rFonts w:ascii="宋体" w:hAnsi="宋体" w:eastAsia="宋体"/>
                <w:sz w:val="16"/>
              </w:rPr>
              <w:t>10</w:t>
            </w:r>
          </w:p>
        </w:tc>
      </w:tr>
    </w:tbl>
    <w:p w14:paraId="13E0624B">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621"/>
        <w:gridCol w:w="856"/>
        <w:gridCol w:w="696"/>
        <w:gridCol w:w="626"/>
        <w:gridCol w:w="696"/>
        <w:gridCol w:w="615"/>
        <w:gridCol w:w="615"/>
        <w:gridCol w:w="616"/>
        <w:gridCol w:w="616"/>
        <w:gridCol w:w="632"/>
      </w:tblGrid>
      <w:tr w14:paraId="60D5E918">
        <w:tblPrEx>
          <w:tblCellMar>
            <w:top w:w="0" w:type="dxa"/>
            <w:left w:w="108" w:type="dxa"/>
            <w:bottom w:w="0" w:type="dxa"/>
            <w:right w:w="108" w:type="dxa"/>
          </w:tblCellMar>
        </w:tblPrEx>
        <w:tc>
          <w:tcPr>
            <w:tcW w:w="8848" w:type="dxa"/>
            <w:gridSpan w:val="14"/>
            <w:vAlign w:val="center"/>
          </w:tcPr>
          <w:p w14:paraId="18127100">
            <w:pPr>
              <w:jc w:val="center"/>
            </w:pPr>
            <w:r>
              <w:rPr>
                <w:rFonts w:ascii="宋体" w:hAnsi="宋体" w:eastAsia="宋体"/>
                <w:sz w:val="24"/>
              </w:rPr>
              <w:t>项目支出绩效自评表</w:t>
            </w:r>
          </w:p>
        </w:tc>
      </w:tr>
      <w:tr w14:paraId="431278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B95BBE">
            <w:pPr>
              <w:jc w:val="center"/>
            </w:pPr>
            <w:r>
              <w:rPr>
                <w:rFonts w:ascii="宋体" w:hAnsi="宋体" w:eastAsia="宋体"/>
                <w:sz w:val="24"/>
              </w:rPr>
              <w:t>(2024年度)</w:t>
            </w:r>
          </w:p>
        </w:tc>
      </w:tr>
      <w:tr w14:paraId="37BE8F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CD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0FAB01">
            <w:pPr>
              <w:jc w:val="center"/>
            </w:pPr>
            <w:r>
              <w:rPr>
                <w:rFonts w:ascii="宋体" w:hAnsi="宋体" w:eastAsia="宋体"/>
                <w:sz w:val="16"/>
              </w:rPr>
              <w:t>保障州庆活动项目</w:t>
            </w:r>
          </w:p>
        </w:tc>
      </w:tr>
      <w:tr w14:paraId="3D59FD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8A0E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95BCD6">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0A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C44B8">
            <w:pPr>
              <w:jc w:val="center"/>
            </w:pPr>
            <w:r>
              <w:rPr>
                <w:rFonts w:ascii="宋体" w:hAnsi="宋体" w:eastAsia="宋体"/>
                <w:sz w:val="16"/>
              </w:rPr>
              <w:t>昌吉回族自治州机关事务管理局</w:t>
            </w:r>
          </w:p>
        </w:tc>
      </w:tr>
      <w:tr w14:paraId="0DD67D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07D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5E01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DED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B51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051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54CE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5E76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1AA5">
            <w:pPr>
              <w:jc w:val="center"/>
            </w:pPr>
            <w:r>
              <w:rPr>
                <w:rFonts w:ascii="宋体" w:hAnsi="宋体" w:eastAsia="宋体"/>
                <w:sz w:val="16"/>
              </w:rPr>
              <w:t>得分</w:t>
            </w:r>
          </w:p>
        </w:tc>
      </w:tr>
      <w:tr w14:paraId="03994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57E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AB0A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968B6">
            <w:pPr>
              <w:jc w:val="center"/>
            </w:pPr>
            <w:r>
              <w:rPr>
                <w:rFonts w:ascii="宋体" w:hAnsi="宋体" w:eastAsia="宋体"/>
                <w:sz w:val="16"/>
              </w:rPr>
              <w:t>110.28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EEC82">
            <w:pPr>
              <w:jc w:val="center"/>
            </w:pPr>
            <w:r>
              <w:rPr>
                <w:rFonts w:ascii="宋体" w:hAnsi="宋体" w:eastAsia="宋体"/>
                <w:sz w:val="16"/>
              </w:rPr>
              <w:t>110.28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524CB">
            <w:pPr>
              <w:jc w:val="center"/>
            </w:pPr>
            <w:r>
              <w:rPr>
                <w:rFonts w:ascii="宋体" w:hAnsi="宋体" w:eastAsia="宋体"/>
                <w:sz w:val="16"/>
              </w:rPr>
              <w:t>110.28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393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EC8B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9EAB9">
            <w:pPr>
              <w:jc w:val="center"/>
            </w:pPr>
            <w:r>
              <w:rPr>
                <w:rFonts w:ascii="宋体" w:hAnsi="宋体" w:eastAsia="宋体"/>
                <w:sz w:val="16"/>
              </w:rPr>
              <w:t>10.00</w:t>
            </w:r>
          </w:p>
        </w:tc>
      </w:tr>
      <w:tr w14:paraId="565E4E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B08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279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DC182">
            <w:pPr>
              <w:jc w:val="center"/>
            </w:pPr>
            <w:r>
              <w:rPr>
                <w:rFonts w:ascii="宋体" w:hAnsi="宋体" w:eastAsia="宋体"/>
                <w:sz w:val="16"/>
              </w:rPr>
              <w:t>110.28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23239">
            <w:pPr>
              <w:jc w:val="center"/>
            </w:pPr>
            <w:r>
              <w:rPr>
                <w:rFonts w:ascii="宋体" w:hAnsi="宋体" w:eastAsia="宋体"/>
                <w:sz w:val="16"/>
              </w:rPr>
              <w:t>110.28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4C70B">
            <w:pPr>
              <w:jc w:val="center"/>
            </w:pPr>
            <w:r>
              <w:rPr>
                <w:rFonts w:ascii="宋体" w:hAnsi="宋体" w:eastAsia="宋体"/>
                <w:sz w:val="16"/>
              </w:rPr>
              <w:t>110.28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997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DDE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480F">
            <w:pPr>
              <w:jc w:val="center"/>
            </w:pPr>
            <w:r>
              <w:rPr>
                <w:rFonts w:ascii="宋体" w:hAnsi="宋体" w:eastAsia="宋体"/>
                <w:sz w:val="16"/>
              </w:rPr>
              <w:t>—</w:t>
            </w:r>
          </w:p>
        </w:tc>
      </w:tr>
      <w:tr w14:paraId="768C9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DC1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A938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EC7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9F7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617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4C7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BF8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FA241">
            <w:pPr>
              <w:jc w:val="center"/>
            </w:pPr>
            <w:r>
              <w:rPr>
                <w:rFonts w:ascii="宋体" w:hAnsi="宋体" w:eastAsia="宋体"/>
                <w:sz w:val="16"/>
              </w:rPr>
              <w:t>—</w:t>
            </w:r>
          </w:p>
        </w:tc>
      </w:tr>
      <w:tr w14:paraId="41529B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CD87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1E21B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B17D4D">
            <w:pPr>
              <w:jc w:val="center"/>
            </w:pPr>
            <w:r>
              <w:rPr>
                <w:rFonts w:ascii="宋体" w:hAnsi="宋体" w:eastAsia="宋体"/>
                <w:sz w:val="16"/>
              </w:rPr>
              <w:t>实际完成情况</w:t>
            </w:r>
          </w:p>
        </w:tc>
      </w:tr>
      <w:tr w14:paraId="1BEF8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C64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5908E2">
            <w:pPr>
              <w:jc w:val="both"/>
            </w:pPr>
            <w:r>
              <w:rPr>
                <w:rFonts w:ascii="宋体" w:hAnsi="宋体" w:eastAsia="宋体"/>
                <w:sz w:val="16"/>
              </w:rPr>
              <w:t>2024年该</w:t>
            </w:r>
            <w:r>
              <w:rPr>
                <w:rFonts w:hint="eastAsia" w:ascii="宋体" w:hAnsi="宋体"/>
                <w:sz w:val="16"/>
                <w:lang w:eastAsia="zh-CN"/>
              </w:rPr>
              <w:t>项目</w:t>
            </w:r>
            <w:r>
              <w:rPr>
                <w:rFonts w:ascii="宋体" w:hAnsi="宋体" w:eastAsia="宋体"/>
                <w:sz w:val="16"/>
              </w:rPr>
              <w:t>计划开展1次周庆活动。州庆活动接待人数达到500人以上。保障100位中央民族歌舞团表演人员。保障活动完成率达到100%。项目预计2024年9月30日前完成。通过该项目的实施，进一步激发全州各族群众爱党爱国的热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7C58B4">
            <w:pPr>
              <w:jc w:val="both"/>
            </w:pPr>
            <w:r>
              <w:rPr>
                <w:rFonts w:hint="eastAsia" w:ascii="宋体" w:hAnsi="宋体"/>
                <w:sz w:val="16"/>
                <w:lang w:eastAsia="zh-CN"/>
              </w:rPr>
              <w:t>截至</w:t>
            </w:r>
            <w:r>
              <w:rPr>
                <w:rFonts w:ascii="宋体" w:hAnsi="宋体" w:eastAsia="宋体"/>
                <w:sz w:val="16"/>
              </w:rPr>
              <w:t>12月31日，</w:t>
            </w:r>
            <w:r>
              <w:rPr>
                <w:rFonts w:hint="eastAsia" w:ascii="宋体" w:hAnsi="宋体"/>
                <w:sz w:val="16"/>
                <w:lang w:eastAsia="zh-CN"/>
              </w:rPr>
              <w:t>本单位</w:t>
            </w:r>
            <w:r>
              <w:rPr>
                <w:rFonts w:ascii="宋体" w:hAnsi="宋体" w:eastAsia="宋体"/>
                <w:sz w:val="16"/>
              </w:rPr>
              <w:t>配合完成历时3天的，州庆活动接待人数达到500人的70年大庆活动的公务接待工作1次，同时保障了100位中央民族歌舞团表演人员的车辆保障，保障活动完成率达到100%，70周年庆祝活动经费成本控制率达到100%，州庆经费支付额度110.28万元，州庆通过该项目的实施，进一步激发全州各族群众爱党爱国的热情，达到活动参与人员满意度100%。</w:t>
            </w:r>
          </w:p>
        </w:tc>
      </w:tr>
      <w:tr w14:paraId="21481D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326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37D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C4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70E6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1E13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CF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8FAC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A689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4B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EE7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E2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3D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9D0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0F5C5">
            <w:pPr>
              <w:jc w:val="center"/>
            </w:pPr>
            <w:r>
              <w:rPr>
                <w:rFonts w:ascii="宋体" w:hAnsi="宋体" w:eastAsia="宋体"/>
                <w:sz w:val="16"/>
              </w:rPr>
              <w:t>偏差原因分析及改进措施</w:t>
            </w:r>
          </w:p>
        </w:tc>
      </w:tr>
      <w:tr w14:paraId="2B302A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161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6046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B2C6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57A15">
            <w:pPr>
              <w:jc w:val="center"/>
            </w:pPr>
            <w:r>
              <w:rPr>
                <w:rFonts w:ascii="宋体" w:hAnsi="宋体" w:eastAsia="宋体"/>
                <w:sz w:val="16"/>
              </w:rPr>
              <w:t>州庆活动接待人数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32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19E2F">
            <w:pPr>
              <w:jc w:val="center"/>
            </w:pPr>
            <w:r>
              <w:rPr>
                <w:rFonts w:ascii="宋体" w:hAnsi="宋体" w:eastAsia="宋体"/>
                <w:sz w:val="16"/>
              </w:rPr>
              <w:t>&gt;=500人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0598">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EC3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344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7A8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13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20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CDC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A29B">
            <w:pPr>
              <w:jc w:val="center"/>
            </w:pPr>
          </w:p>
        </w:tc>
      </w:tr>
      <w:tr w14:paraId="100503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B0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4D8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994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047DB">
            <w:pPr>
              <w:jc w:val="center"/>
            </w:pPr>
            <w:r>
              <w:rPr>
                <w:rFonts w:ascii="宋体" w:hAnsi="宋体" w:eastAsia="宋体"/>
                <w:sz w:val="16"/>
              </w:rPr>
              <w:t>保障中央民族歌舞团表演人数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52C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7F3D">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FE5D">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70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776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B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D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57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9AA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CC81">
            <w:pPr>
              <w:jc w:val="center"/>
            </w:pPr>
          </w:p>
        </w:tc>
      </w:tr>
      <w:tr w14:paraId="751C4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6E4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73D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36B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E000">
            <w:pPr>
              <w:jc w:val="center"/>
            </w:pPr>
            <w:r>
              <w:rPr>
                <w:rFonts w:ascii="宋体" w:hAnsi="宋体" w:eastAsia="宋体"/>
                <w:sz w:val="16"/>
              </w:rPr>
              <w:t>保障活动完成率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AF0C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97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B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25D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8D0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35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0D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D6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38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1BC9">
            <w:pPr>
              <w:jc w:val="center"/>
            </w:pPr>
          </w:p>
        </w:tc>
      </w:tr>
      <w:tr w14:paraId="6C1C31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59C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6FF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35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0911">
            <w:pPr>
              <w:jc w:val="center"/>
            </w:pPr>
            <w:r>
              <w:rPr>
                <w:rFonts w:ascii="宋体" w:hAnsi="宋体" w:eastAsia="宋体"/>
                <w:sz w:val="16"/>
              </w:rPr>
              <w:t>州庆活动人员接待天数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42D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0F02">
            <w:pPr>
              <w:jc w:val="center"/>
            </w:pPr>
            <w:r>
              <w:rPr>
                <w:rFonts w:ascii="宋体" w:hAnsi="宋体" w:eastAsia="宋体"/>
                <w:sz w:val="16"/>
              </w:rPr>
              <w:t>&gt;=3天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6D46">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2D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EFD8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21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3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A0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828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30017">
            <w:pPr>
              <w:jc w:val="center"/>
            </w:pPr>
          </w:p>
        </w:tc>
      </w:tr>
      <w:tr w14:paraId="757532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604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DFE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EA7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A2755">
            <w:pPr>
              <w:jc w:val="center"/>
            </w:pPr>
            <w:r>
              <w:rPr>
                <w:rFonts w:ascii="宋体" w:hAnsi="宋体" w:eastAsia="宋体"/>
                <w:sz w:val="16"/>
              </w:rPr>
              <w:t>70周年庆祝活动经费成本控制率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FB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18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4B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D0F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8B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4A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2B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D71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D7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5E35">
            <w:pPr>
              <w:jc w:val="center"/>
            </w:pPr>
          </w:p>
        </w:tc>
      </w:tr>
      <w:tr w14:paraId="60737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0D3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0FE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615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8A72">
            <w:pPr>
              <w:jc w:val="center"/>
            </w:pPr>
            <w:r>
              <w:rPr>
                <w:rFonts w:ascii="宋体" w:hAnsi="宋体" w:eastAsia="宋体"/>
                <w:sz w:val="16"/>
              </w:rPr>
              <w:t>州庆经费支付额度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B7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8E71">
            <w:pPr>
              <w:jc w:val="center"/>
            </w:pPr>
            <w:r>
              <w:rPr>
                <w:rFonts w:ascii="宋体" w:hAnsi="宋体" w:eastAsia="宋体"/>
                <w:sz w:val="16"/>
              </w:rPr>
              <w:t>&lt;=110.28万元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8AFB3">
            <w:pPr>
              <w:jc w:val="center"/>
            </w:pPr>
            <w:r>
              <w:rPr>
                <w:rFonts w:ascii="宋体" w:hAnsi="宋体" w:eastAsia="宋体"/>
                <w:sz w:val="16"/>
              </w:rPr>
              <w:t>110.28万元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C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B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C82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31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B4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80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407DA">
            <w:pPr>
              <w:jc w:val="center"/>
            </w:pPr>
          </w:p>
        </w:tc>
      </w:tr>
      <w:tr w14:paraId="6B4879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EF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20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9D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7CA2">
            <w:pPr>
              <w:jc w:val="center"/>
            </w:pPr>
            <w:r>
              <w:rPr>
                <w:rFonts w:ascii="宋体" w:hAnsi="宋体" w:eastAsia="宋体"/>
                <w:sz w:val="16"/>
              </w:rPr>
              <w:t>进一步激发全州各族群众爱党爱国的热情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B8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89C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770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714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D1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4A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34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3A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E73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64FD9">
            <w:pPr>
              <w:jc w:val="center"/>
            </w:pPr>
          </w:p>
        </w:tc>
      </w:tr>
      <w:tr w14:paraId="4E566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CA4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33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77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B6C39">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8B2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2E92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AD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2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03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A9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465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293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30E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9C262">
            <w:pPr>
              <w:jc w:val="center"/>
            </w:pPr>
          </w:p>
        </w:tc>
      </w:tr>
      <w:tr w14:paraId="03045D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7F1DE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76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9E96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181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CA4D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93D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46F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60B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0A4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BCE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E5858"/>
        </w:tc>
      </w:tr>
    </w:tbl>
    <w:p w14:paraId="3DC4413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44028CBE">
        <w:tblPrEx>
          <w:tblCellMar>
            <w:top w:w="0" w:type="dxa"/>
            <w:left w:w="108" w:type="dxa"/>
            <w:bottom w:w="0" w:type="dxa"/>
            <w:right w:w="108" w:type="dxa"/>
          </w:tblCellMar>
        </w:tblPrEx>
        <w:tc>
          <w:tcPr>
            <w:tcW w:w="8848" w:type="dxa"/>
            <w:gridSpan w:val="14"/>
            <w:vAlign w:val="center"/>
          </w:tcPr>
          <w:p w14:paraId="1216D25C">
            <w:pPr>
              <w:jc w:val="center"/>
            </w:pPr>
            <w:r>
              <w:rPr>
                <w:rFonts w:ascii="宋体" w:hAnsi="宋体" w:eastAsia="宋体"/>
                <w:sz w:val="24"/>
              </w:rPr>
              <w:t>项目支出绩效自评表</w:t>
            </w:r>
          </w:p>
        </w:tc>
      </w:tr>
      <w:tr w14:paraId="0E6D0FC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CD3A16">
            <w:pPr>
              <w:jc w:val="center"/>
            </w:pPr>
            <w:r>
              <w:rPr>
                <w:rFonts w:ascii="宋体" w:hAnsi="宋体" w:eastAsia="宋体"/>
                <w:sz w:val="24"/>
              </w:rPr>
              <w:t>(2024年度)</w:t>
            </w:r>
          </w:p>
        </w:tc>
      </w:tr>
      <w:tr w14:paraId="3F9C40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039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F1E127">
            <w:pPr>
              <w:jc w:val="center"/>
            </w:pPr>
            <w:r>
              <w:rPr>
                <w:rFonts w:ascii="宋体" w:hAnsi="宋体" w:eastAsia="宋体"/>
                <w:sz w:val="16"/>
              </w:rPr>
              <w:t>党政机关办公用房管理项目</w:t>
            </w:r>
          </w:p>
        </w:tc>
      </w:tr>
      <w:tr w14:paraId="31C97F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EBD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1E1C0">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86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A9DBC0">
            <w:pPr>
              <w:jc w:val="center"/>
            </w:pPr>
            <w:r>
              <w:rPr>
                <w:rFonts w:ascii="宋体" w:hAnsi="宋体" w:eastAsia="宋体"/>
                <w:sz w:val="16"/>
              </w:rPr>
              <w:t>昌吉回族自治州机关事务管理局</w:t>
            </w:r>
          </w:p>
        </w:tc>
      </w:tr>
      <w:tr w14:paraId="608DF7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98606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8B7F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4D3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045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B0A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8D1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B9AF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3177E">
            <w:pPr>
              <w:jc w:val="center"/>
            </w:pPr>
            <w:r>
              <w:rPr>
                <w:rFonts w:ascii="宋体" w:hAnsi="宋体" w:eastAsia="宋体"/>
                <w:sz w:val="16"/>
              </w:rPr>
              <w:t>得分</w:t>
            </w:r>
          </w:p>
        </w:tc>
      </w:tr>
      <w:tr w14:paraId="5FEDE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0A2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283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73A00">
            <w:pPr>
              <w:jc w:val="center"/>
            </w:pPr>
            <w:r>
              <w:rPr>
                <w:rFonts w:ascii="宋体" w:hAnsi="宋体" w:eastAsia="宋体"/>
                <w:sz w:val="16"/>
              </w:rPr>
              <w:t>197.00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8EF69">
            <w:pPr>
              <w:jc w:val="center"/>
            </w:pPr>
            <w:r>
              <w:rPr>
                <w:rFonts w:ascii="宋体" w:hAnsi="宋体" w:eastAsia="宋体"/>
                <w:sz w:val="16"/>
              </w:rPr>
              <w:t>197.00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E2BA6">
            <w:pPr>
              <w:jc w:val="center"/>
            </w:pPr>
            <w:r>
              <w:rPr>
                <w:rFonts w:ascii="宋体" w:hAnsi="宋体" w:eastAsia="宋体"/>
                <w:sz w:val="16"/>
              </w:rPr>
              <w:t>197.00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1EC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6113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A1F5">
            <w:pPr>
              <w:jc w:val="center"/>
            </w:pPr>
            <w:r>
              <w:rPr>
                <w:rFonts w:ascii="宋体" w:hAnsi="宋体" w:eastAsia="宋体"/>
                <w:sz w:val="16"/>
              </w:rPr>
              <w:t>10.00</w:t>
            </w:r>
          </w:p>
        </w:tc>
      </w:tr>
      <w:tr w14:paraId="13FFE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91C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BA8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605AD">
            <w:pPr>
              <w:jc w:val="center"/>
            </w:pPr>
            <w:r>
              <w:rPr>
                <w:rFonts w:ascii="宋体" w:hAnsi="宋体" w:eastAsia="宋体"/>
                <w:sz w:val="16"/>
              </w:rPr>
              <w:t>197.00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D6284">
            <w:pPr>
              <w:jc w:val="center"/>
            </w:pPr>
            <w:r>
              <w:rPr>
                <w:rFonts w:ascii="宋体" w:hAnsi="宋体" w:eastAsia="宋体"/>
                <w:sz w:val="16"/>
              </w:rPr>
              <w:t>197.00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0047F">
            <w:pPr>
              <w:jc w:val="center"/>
            </w:pPr>
            <w:r>
              <w:rPr>
                <w:rFonts w:ascii="宋体" w:hAnsi="宋体" w:eastAsia="宋体"/>
                <w:sz w:val="16"/>
              </w:rPr>
              <w:t>197.00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1CD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39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A790">
            <w:pPr>
              <w:jc w:val="center"/>
            </w:pPr>
            <w:r>
              <w:rPr>
                <w:rFonts w:ascii="宋体" w:hAnsi="宋体" w:eastAsia="宋体"/>
                <w:sz w:val="16"/>
              </w:rPr>
              <w:t>—</w:t>
            </w:r>
          </w:p>
        </w:tc>
      </w:tr>
      <w:tr w14:paraId="4C80FD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19A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972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691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A6C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005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022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E64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963F">
            <w:pPr>
              <w:jc w:val="center"/>
            </w:pPr>
            <w:r>
              <w:rPr>
                <w:rFonts w:ascii="宋体" w:hAnsi="宋体" w:eastAsia="宋体"/>
                <w:sz w:val="16"/>
              </w:rPr>
              <w:t>—</w:t>
            </w:r>
          </w:p>
        </w:tc>
      </w:tr>
      <w:tr w14:paraId="3A748E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84B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0D07F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B990C5">
            <w:pPr>
              <w:jc w:val="center"/>
            </w:pPr>
            <w:r>
              <w:rPr>
                <w:rFonts w:ascii="宋体" w:hAnsi="宋体" w:eastAsia="宋体"/>
                <w:sz w:val="16"/>
              </w:rPr>
              <w:t>实际完成情况</w:t>
            </w:r>
          </w:p>
        </w:tc>
      </w:tr>
      <w:tr w14:paraId="2D8100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07C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32A771">
            <w:pPr>
              <w:jc w:val="both"/>
            </w:pPr>
            <w:r>
              <w:rPr>
                <w:rFonts w:ascii="宋体" w:hAnsi="宋体" w:eastAsia="宋体"/>
                <w:sz w:val="16"/>
              </w:rPr>
              <w:t>对周转房及未委托管理的闲置办公用房进行维修、对未测绘的办公用房进行测绘及未权属登记的开展权属登记相关工作，缴纳部分闲置办公用房物业管理费，以及建立健全办公用房信息平台建设，并委托国投公司对闲置办公用房进行统一经营管理，达到规范管理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09E675">
            <w:pPr>
              <w:jc w:val="both"/>
            </w:pPr>
            <w:r>
              <w:rPr>
                <w:rFonts w:hint="eastAsia" w:ascii="宋体" w:hAnsi="宋体"/>
                <w:sz w:val="16"/>
                <w:lang w:eastAsia="zh-CN"/>
              </w:rPr>
              <w:t>截至</w:t>
            </w:r>
            <w:r>
              <w:rPr>
                <w:rFonts w:ascii="宋体" w:hAnsi="宋体" w:eastAsia="宋体"/>
                <w:sz w:val="16"/>
              </w:rPr>
              <w:t>12月31日，该项目完成委托管理闲置办公用房出租数达到149家，有效提高国有资产保值增值，进一步提升优化营商环境。完成办公用房权属登记2处；委托州国投管理的经营性门面房维修11处，委托管理维修合格率达到100%，按时完成各项维修项目，通过维修改善延长资产使用寿命，减少因设施老化导致的安全隐患，为承租户提升了经营舒适度，非税收入按时上缴国库，上缴及时率100%，委托管理费成本197万元，委托管理费支付及时率达到100%，有效提升资产市场价值，促进国投集团对委托房产管理的管理水平。</w:t>
            </w:r>
          </w:p>
        </w:tc>
      </w:tr>
      <w:tr w14:paraId="62EA8F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C0C4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B2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CB4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29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601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8002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E0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B8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5E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B24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DBF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4BDB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AC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1A3BB">
            <w:pPr>
              <w:jc w:val="center"/>
            </w:pPr>
            <w:r>
              <w:rPr>
                <w:rFonts w:ascii="宋体" w:hAnsi="宋体" w:eastAsia="宋体"/>
                <w:sz w:val="16"/>
              </w:rPr>
              <w:t>偏差原因分析及改进措施</w:t>
            </w:r>
          </w:p>
        </w:tc>
      </w:tr>
      <w:tr w14:paraId="391496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532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567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CDB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F1FA3">
            <w:pPr>
              <w:jc w:val="center"/>
            </w:pPr>
            <w:r>
              <w:rPr>
                <w:rFonts w:ascii="宋体" w:hAnsi="宋体" w:eastAsia="宋体"/>
                <w:sz w:val="16"/>
              </w:rPr>
              <w:t>委托管理闲置办公用房出租数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E3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38EB">
            <w:pPr>
              <w:jc w:val="center"/>
            </w:pPr>
            <w:r>
              <w:rPr>
                <w:rFonts w:ascii="宋体" w:hAnsi="宋体" w:eastAsia="宋体"/>
                <w:sz w:val="16"/>
              </w:rPr>
              <w:t>&gt;=149家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1C60">
            <w:pPr>
              <w:jc w:val="center"/>
            </w:pPr>
            <w:r>
              <w:rPr>
                <w:rFonts w:ascii="宋体" w:hAnsi="宋体" w:eastAsia="宋体"/>
                <w:sz w:val="16"/>
              </w:rPr>
              <w:t>=149家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8A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A7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9A6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0E2F">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CA5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09F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408D">
            <w:pPr>
              <w:jc w:val="center"/>
            </w:pPr>
          </w:p>
        </w:tc>
      </w:tr>
      <w:tr w14:paraId="037AA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F6E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981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315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7EC2E">
            <w:pPr>
              <w:jc w:val="center"/>
            </w:pPr>
            <w:r>
              <w:rPr>
                <w:rFonts w:ascii="宋体" w:hAnsi="宋体" w:eastAsia="宋体"/>
                <w:sz w:val="16"/>
              </w:rPr>
              <w:t>办公用房产权登记次数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21C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145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49E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04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40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CA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2F1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95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BF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1114">
            <w:pPr>
              <w:jc w:val="center"/>
            </w:pPr>
          </w:p>
        </w:tc>
      </w:tr>
      <w:tr w14:paraId="40D3D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07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DD7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A4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29F9">
            <w:pPr>
              <w:jc w:val="center"/>
            </w:pPr>
            <w:r>
              <w:rPr>
                <w:rFonts w:ascii="宋体" w:hAnsi="宋体" w:eastAsia="宋体"/>
                <w:sz w:val="16"/>
              </w:rPr>
              <w:t>委托管理维修合格率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24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52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4B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D1E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142E1">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8F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5E8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F8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4BC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2BCC">
            <w:pPr>
              <w:jc w:val="center"/>
            </w:pPr>
            <w:r>
              <w:rPr>
                <w:rFonts w:ascii="宋体" w:hAnsi="宋体" w:eastAsia="宋体"/>
                <w:sz w:val="16"/>
              </w:rPr>
              <w:t>超出指标设置预期，超额完成。</w:t>
            </w:r>
          </w:p>
        </w:tc>
      </w:tr>
      <w:tr w14:paraId="7FCD2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73C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2C3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C0A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3A5A">
            <w:pPr>
              <w:jc w:val="center"/>
            </w:pPr>
            <w:r>
              <w:rPr>
                <w:rFonts w:ascii="宋体" w:hAnsi="宋体" w:eastAsia="宋体"/>
                <w:sz w:val="16"/>
              </w:rPr>
              <w:t>非税收入上缴及时率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BC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11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7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6B3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8F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8EB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C53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63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556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1CB1">
            <w:pPr>
              <w:jc w:val="center"/>
            </w:pPr>
          </w:p>
        </w:tc>
      </w:tr>
      <w:tr w14:paraId="01B19B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C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8EE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F5B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D22F">
            <w:pPr>
              <w:jc w:val="center"/>
            </w:pPr>
            <w:r>
              <w:rPr>
                <w:rFonts w:ascii="宋体" w:hAnsi="宋体" w:eastAsia="宋体"/>
                <w:sz w:val="16"/>
              </w:rPr>
              <w:t>委托管理费支付及时率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A53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5B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7D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D3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9A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58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37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44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538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0120">
            <w:pPr>
              <w:jc w:val="center"/>
            </w:pPr>
          </w:p>
        </w:tc>
      </w:tr>
      <w:tr w14:paraId="430DF4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BD2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6C3BC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6C3B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6563">
            <w:pPr>
              <w:jc w:val="center"/>
            </w:pPr>
            <w:r>
              <w:rPr>
                <w:rFonts w:ascii="宋体" w:hAnsi="宋体" w:eastAsia="宋体"/>
                <w:sz w:val="16"/>
              </w:rPr>
              <w:t>委托管理费成本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EB4A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032F">
            <w:pPr>
              <w:jc w:val="center"/>
            </w:pPr>
            <w:r>
              <w:rPr>
                <w:rFonts w:ascii="宋体" w:hAnsi="宋体" w:eastAsia="宋体"/>
                <w:sz w:val="16"/>
              </w:rPr>
              <w:t>&lt;=197万元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725C">
            <w:pPr>
              <w:jc w:val="center"/>
            </w:pPr>
            <w:r>
              <w:rPr>
                <w:rFonts w:ascii="宋体" w:hAnsi="宋体" w:eastAsia="宋体"/>
                <w:sz w:val="16"/>
              </w:rPr>
              <w:t>=197万元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141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E5E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0A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55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99B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C7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3F4AB">
            <w:pPr>
              <w:jc w:val="center"/>
            </w:pPr>
          </w:p>
        </w:tc>
      </w:tr>
      <w:tr w14:paraId="5F39F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2F4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CEF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0B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EB7D">
            <w:pPr>
              <w:jc w:val="center"/>
            </w:pPr>
            <w:r>
              <w:rPr>
                <w:rFonts w:ascii="宋体" w:hAnsi="宋体" w:eastAsia="宋体"/>
                <w:sz w:val="16"/>
              </w:rPr>
              <w:t>支出成本控制率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B36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4B4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2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66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625B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F2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0AE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D7D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21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8AA6D">
            <w:pPr>
              <w:jc w:val="center"/>
            </w:pPr>
          </w:p>
        </w:tc>
      </w:tr>
      <w:tr w14:paraId="26331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645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A41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2A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D188">
            <w:pPr>
              <w:jc w:val="center"/>
            </w:pPr>
            <w:r>
              <w:rPr>
                <w:rFonts w:ascii="宋体" w:hAnsi="宋体" w:eastAsia="宋体"/>
                <w:sz w:val="16"/>
              </w:rPr>
              <w:t>促进国投集团对委托房产管理的管理水平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02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45D45">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97FE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5C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CA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D1C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6DA7">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C9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039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387A">
            <w:pPr>
              <w:jc w:val="center"/>
            </w:pPr>
          </w:p>
        </w:tc>
      </w:tr>
      <w:tr w14:paraId="0F37D1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4FC2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8A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0A5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D82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9594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85DD">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AF53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380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B48E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CD4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3DE6A"/>
        </w:tc>
      </w:tr>
    </w:tbl>
    <w:p w14:paraId="3C9C722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88A54DE">
        <w:tblPrEx>
          <w:tblCellMar>
            <w:top w:w="0" w:type="dxa"/>
            <w:left w:w="108" w:type="dxa"/>
            <w:bottom w:w="0" w:type="dxa"/>
            <w:right w:w="108" w:type="dxa"/>
          </w:tblCellMar>
        </w:tblPrEx>
        <w:tc>
          <w:tcPr>
            <w:tcW w:w="8848" w:type="dxa"/>
            <w:gridSpan w:val="14"/>
            <w:vAlign w:val="center"/>
          </w:tcPr>
          <w:p w14:paraId="43B824C5">
            <w:pPr>
              <w:jc w:val="center"/>
            </w:pPr>
            <w:r>
              <w:rPr>
                <w:rFonts w:ascii="宋体" w:hAnsi="宋体" w:eastAsia="宋体"/>
                <w:sz w:val="24"/>
              </w:rPr>
              <w:t>项目支出绩效自评表</w:t>
            </w:r>
          </w:p>
        </w:tc>
      </w:tr>
      <w:tr w14:paraId="22E2A0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08963E">
            <w:pPr>
              <w:jc w:val="center"/>
            </w:pPr>
            <w:r>
              <w:rPr>
                <w:rFonts w:ascii="宋体" w:hAnsi="宋体" w:eastAsia="宋体"/>
                <w:sz w:val="24"/>
              </w:rPr>
              <w:t>(2024年度)</w:t>
            </w:r>
          </w:p>
        </w:tc>
      </w:tr>
      <w:tr w14:paraId="322645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C0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2565CF">
            <w:pPr>
              <w:jc w:val="center"/>
            </w:pPr>
            <w:r>
              <w:rPr>
                <w:rFonts w:ascii="宋体" w:hAnsi="宋体" w:eastAsia="宋体"/>
                <w:sz w:val="16"/>
              </w:rPr>
              <w:t>公共机构节能项目</w:t>
            </w:r>
          </w:p>
        </w:tc>
      </w:tr>
      <w:tr w14:paraId="498A43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EDA9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13D381">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8F7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5F6A18">
            <w:pPr>
              <w:jc w:val="center"/>
            </w:pPr>
            <w:r>
              <w:rPr>
                <w:rFonts w:ascii="宋体" w:hAnsi="宋体" w:eastAsia="宋体"/>
                <w:sz w:val="16"/>
              </w:rPr>
              <w:t>昌吉回族自治州机关事务管理局</w:t>
            </w:r>
          </w:p>
        </w:tc>
      </w:tr>
      <w:tr w14:paraId="58EAF9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31566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43A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90C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7EBA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030E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AABC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1FF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DEDF">
            <w:pPr>
              <w:jc w:val="center"/>
            </w:pPr>
            <w:r>
              <w:rPr>
                <w:rFonts w:ascii="宋体" w:hAnsi="宋体" w:eastAsia="宋体"/>
                <w:sz w:val="16"/>
              </w:rPr>
              <w:t>得分</w:t>
            </w:r>
          </w:p>
        </w:tc>
      </w:tr>
      <w:tr w14:paraId="4020E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F3D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757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E9F56">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C4756">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C2D2A">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E3D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0C78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6917">
            <w:pPr>
              <w:jc w:val="center"/>
            </w:pPr>
            <w:r>
              <w:rPr>
                <w:rFonts w:ascii="宋体" w:hAnsi="宋体" w:eastAsia="宋体"/>
                <w:sz w:val="16"/>
              </w:rPr>
              <w:t>10.00</w:t>
            </w:r>
          </w:p>
        </w:tc>
      </w:tr>
      <w:tr w14:paraId="58288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8C6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CC4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E4A4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8E9A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CA6A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F46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789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05B4">
            <w:pPr>
              <w:jc w:val="center"/>
            </w:pPr>
            <w:r>
              <w:rPr>
                <w:rFonts w:ascii="宋体" w:hAnsi="宋体" w:eastAsia="宋体"/>
                <w:sz w:val="16"/>
              </w:rPr>
              <w:t>—</w:t>
            </w:r>
          </w:p>
        </w:tc>
      </w:tr>
      <w:tr w14:paraId="3FCDE7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DA3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FF9A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5C9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757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D42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6E3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CFF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EF22">
            <w:pPr>
              <w:jc w:val="center"/>
            </w:pPr>
            <w:r>
              <w:rPr>
                <w:rFonts w:ascii="宋体" w:hAnsi="宋体" w:eastAsia="宋体"/>
                <w:sz w:val="16"/>
              </w:rPr>
              <w:t>—</w:t>
            </w:r>
          </w:p>
        </w:tc>
      </w:tr>
      <w:tr w14:paraId="32D760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C675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0060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2A6FFF">
            <w:pPr>
              <w:jc w:val="center"/>
            </w:pPr>
            <w:r>
              <w:rPr>
                <w:rFonts w:ascii="宋体" w:hAnsi="宋体" w:eastAsia="宋体"/>
                <w:sz w:val="16"/>
              </w:rPr>
              <w:t>实际完成情况</w:t>
            </w:r>
          </w:p>
        </w:tc>
      </w:tr>
      <w:tr w14:paraId="32B0B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C2F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7E5469">
            <w:pPr>
              <w:jc w:val="both"/>
            </w:pPr>
            <w:r>
              <w:rPr>
                <w:rFonts w:ascii="宋体" w:hAnsi="宋体" w:eastAsia="宋体"/>
                <w:sz w:val="16"/>
              </w:rPr>
              <w:t>主要用于开展昌吉州公共机构节约型机关、节约型公共机构示范单位、节水型单位创建；开展公共机构能源资源消费统计；开展公共机构生活垃圾分类工作推进；开展能耗定额标准执行推进；开展制止餐饮浪费专项行动；推进绿色食堂建设、能耗监测平台建设、合同能源管理、电采暖等节能项目；开展绿色出行活动，推广新能源汽车，推进充电基础设施建设。开展年度公共机构节能宣传周活动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1547A1">
            <w:pPr>
              <w:jc w:val="both"/>
            </w:pPr>
            <w:r>
              <w:rPr>
                <w:rFonts w:hint="eastAsia" w:ascii="宋体" w:hAnsi="宋体"/>
                <w:sz w:val="16"/>
                <w:lang w:eastAsia="zh-CN"/>
              </w:rPr>
              <w:t>截至</w:t>
            </w:r>
            <w:r>
              <w:rPr>
                <w:rFonts w:ascii="宋体" w:hAnsi="宋体" w:eastAsia="宋体"/>
                <w:sz w:val="16"/>
              </w:rPr>
              <w:t>12月31日，</w:t>
            </w:r>
            <w:r>
              <w:rPr>
                <w:rFonts w:hint="eastAsia" w:ascii="宋体" w:hAnsi="宋体"/>
                <w:sz w:val="16"/>
                <w:lang w:eastAsia="zh-CN"/>
              </w:rPr>
              <w:t>本单位</w:t>
            </w:r>
            <w:r>
              <w:rPr>
                <w:rFonts w:ascii="宋体" w:hAnsi="宋体" w:eastAsia="宋体"/>
                <w:sz w:val="16"/>
              </w:rPr>
              <w:t>开展公共机构节能项目完成委托第三方开展节能监察工作15家，并编制节能监察报告和能源审计报告，完成碳达峰碳中工作的全过程咨询服务1次，完成节能宣传周活动1次，节能宣传、培训按期完成，完成率100%，预算成本控制率100%，以上活动的开展有效降低了公共机构碳排放，促进了节约型机关的创建。</w:t>
            </w:r>
          </w:p>
        </w:tc>
      </w:tr>
      <w:tr w14:paraId="4FF945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7D0E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20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CF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3F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4DB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581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EE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7A5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FB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1DE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911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620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C66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BF65">
            <w:pPr>
              <w:jc w:val="center"/>
            </w:pPr>
            <w:r>
              <w:rPr>
                <w:rFonts w:ascii="宋体" w:hAnsi="宋体" w:eastAsia="宋体"/>
                <w:sz w:val="16"/>
              </w:rPr>
              <w:t>偏差原因分析及改进措施</w:t>
            </w:r>
          </w:p>
        </w:tc>
      </w:tr>
      <w:tr w14:paraId="3CAD53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2002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887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1B2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1808E">
            <w:pPr>
              <w:jc w:val="center"/>
            </w:pPr>
            <w:r>
              <w:rPr>
                <w:rFonts w:ascii="宋体" w:hAnsi="宋体" w:eastAsia="宋体"/>
                <w:sz w:val="16"/>
              </w:rPr>
              <w:t>委托第三方开展节能监察工作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847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A0FF">
            <w:pPr>
              <w:jc w:val="center"/>
            </w:pPr>
            <w:r>
              <w:rPr>
                <w:rFonts w:ascii="宋体" w:hAnsi="宋体" w:eastAsia="宋体"/>
                <w:sz w:val="16"/>
              </w:rPr>
              <w:t>=15家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F267">
            <w:pPr>
              <w:jc w:val="center"/>
            </w:pPr>
            <w:r>
              <w:rPr>
                <w:rFonts w:ascii="宋体" w:hAnsi="宋体" w:eastAsia="宋体"/>
                <w:sz w:val="16"/>
              </w:rPr>
              <w:t>=15家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52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B7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52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BB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D8D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F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13B6B">
            <w:pPr>
              <w:jc w:val="center"/>
            </w:pPr>
          </w:p>
        </w:tc>
      </w:tr>
      <w:tr w14:paraId="00DE3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6A4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B91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0D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24F0">
            <w:pPr>
              <w:jc w:val="center"/>
            </w:pPr>
            <w:r>
              <w:rPr>
                <w:rFonts w:ascii="宋体" w:hAnsi="宋体" w:eastAsia="宋体"/>
                <w:sz w:val="16"/>
              </w:rPr>
              <w:t>编制节能监察报告和能源审计报告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87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A819">
            <w:pPr>
              <w:jc w:val="center"/>
            </w:pPr>
            <w:r>
              <w:rPr>
                <w:rFonts w:ascii="宋体" w:hAnsi="宋体" w:eastAsia="宋体"/>
                <w:sz w:val="16"/>
              </w:rPr>
              <w:t>=15家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86C7">
            <w:pPr>
              <w:jc w:val="center"/>
            </w:pPr>
            <w:r>
              <w:rPr>
                <w:rFonts w:ascii="宋体" w:hAnsi="宋体" w:eastAsia="宋体"/>
                <w:sz w:val="16"/>
              </w:rPr>
              <w:t>=15家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5E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32D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83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8F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77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6CF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58C6">
            <w:pPr>
              <w:jc w:val="center"/>
            </w:pPr>
          </w:p>
        </w:tc>
      </w:tr>
      <w:tr w14:paraId="24F76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8C9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8C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DA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8C92B">
            <w:pPr>
              <w:jc w:val="center"/>
            </w:pPr>
            <w:r>
              <w:rPr>
                <w:rFonts w:ascii="宋体" w:hAnsi="宋体" w:eastAsia="宋体"/>
                <w:sz w:val="16"/>
              </w:rPr>
              <w:t>碳达峰碳中和全过程咨询服务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CF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A66B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00D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50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06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9A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AFA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7D8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212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B4EB">
            <w:pPr>
              <w:jc w:val="center"/>
            </w:pPr>
          </w:p>
        </w:tc>
      </w:tr>
      <w:tr w14:paraId="50038B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06C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101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67C7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CF0AD">
            <w:pPr>
              <w:jc w:val="center"/>
            </w:pPr>
            <w:r>
              <w:rPr>
                <w:rFonts w:ascii="宋体" w:hAnsi="宋体" w:eastAsia="宋体"/>
                <w:sz w:val="16"/>
              </w:rPr>
              <w:t>节能宣传周活动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ADB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D8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C15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3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81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48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02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5D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31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080E0">
            <w:pPr>
              <w:jc w:val="center"/>
            </w:pPr>
          </w:p>
        </w:tc>
      </w:tr>
      <w:tr w14:paraId="0B3781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73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752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D62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4955A">
            <w:pPr>
              <w:jc w:val="center"/>
            </w:pPr>
            <w:r>
              <w:rPr>
                <w:rFonts w:ascii="宋体" w:hAnsi="宋体" w:eastAsia="宋体"/>
                <w:sz w:val="16"/>
              </w:rPr>
              <w:t>宣传、培训按期完成率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73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3D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9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4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B5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EA5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93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BE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17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247B">
            <w:pPr>
              <w:jc w:val="center"/>
            </w:pPr>
          </w:p>
        </w:tc>
      </w:tr>
      <w:tr w14:paraId="168AC6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06F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EA2A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5A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2B9C">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46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60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D2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DA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01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88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8B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92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A18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8DBCC">
            <w:pPr>
              <w:jc w:val="center"/>
            </w:pPr>
          </w:p>
        </w:tc>
      </w:tr>
      <w:tr w14:paraId="0284AA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738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D76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5A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0911">
            <w:pPr>
              <w:jc w:val="center"/>
            </w:pPr>
            <w:r>
              <w:rPr>
                <w:rFonts w:ascii="宋体" w:hAnsi="宋体" w:eastAsia="宋体"/>
                <w:sz w:val="16"/>
              </w:rPr>
              <w:t>有效降低公共机构碳排放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5162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050A5">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5D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9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015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A2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01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6E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3E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6F37">
            <w:pPr>
              <w:jc w:val="center"/>
            </w:pPr>
          </w:p>
        </w:tc>
      </w:tr>
      <w:tr w14:paraId="324493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9C3D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5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595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55B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319E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CEF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58E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C74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B5C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CD1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21AB6"/>
        </w:tc>
      </w:tr>
    </w:tbl>
    <w:p w14:paraId="696ACA6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5055F17">
        <w:tblPrEx>
          <w:tblCellMar>
            <w:top w:w="0" w:type="dxa"/>
            <w:left w:w="108" w:type="dxa"/>
            <w:bottom w:w="0" w:type="dxa"/>
            <w:right w:w="108" w:type="dxa"/>
          </w:tblCellMar>
        </w:tblPrEx>
        <w:tc>
          <w:tcPr>
            <w:tcW w:w="8848" w:type="dxa"/>
            <w:gridSpan w:val="14"/>
            <w:vAlign w:val="center"/>
          </w:tcPr>
          <w:p w14:paraId="2A92DFEE">
            <w:pPr>
              <w:jc w:val="center"/>
            </w:pPr>
            <w:r>
              <w:rPr>
                <w:rFonts w:ascii="宋体" w:hAnsi="宋体" w:eastAsia="宋体"/>
                <w:sz w:val="24"/>
              </w:rPr>
              <w:t>项目支出绩效自评表</w:t>
            </w:r>
          </w:p>
        </w:tc>
      </w:tr>
      <w:tr w14:paraId="0BB155E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F5AFF4">
            <w:pPr>
              <w:jc w:val="center"/>
            </w:pPr>
            <w:r>
              <w:rPr>
                <w:rFonts w:ascii="宋体" w:hAnsi="宋体" w:eastAsia="宋体"/>
                <w:sz w:val="24"/>
              </w:rPr>
              <w:t>(2024年度)</w:t>
            </w:r>
          </w:p>
        </w:tc>
      </w:tr>
      <w:tr w14:paraId="634725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250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6326EF">
            <w:pPr>
              <w:jc w:val="center"/>
            </w:pPr>
            <w:r>
              <w:rPr>
                <w:rFonts w:ascii="宋体" w:hAnsi="宋体" w:eastAsia="宋体"/>
                <w:sz w:val="16"/>
              </w:rPr>
              <w:t>公物仓维护管理项目</w:t>
            </w:r>
          </w:p>
        </w:tc>
      </w:tr>
      <w:tr w14:paraId="7872DF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CF7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B191BC">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56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09CFAB">
            <w:pPr>
              <w:jc w:val="center"/>
            </w:pPr>
            <w:r>
              <w:rPr>
                <w:rFonts w:ascii="宋体" w:hAnsi="宋体" w:eastAsia="宋体"/>
                <w:sz w:val="16"/>
              </w:rPr>
              <w:t>昌吉回族自治州机关事务管理局</w:t>
            </w:r>
          </w:p>
        </w:tc>
      </w:tr>
      <w:tr w14:paraId="10C8F5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0CD7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C406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F95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A24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40C9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BD91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A1E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0CCC">
            <w:pPr>
              <w:jc w:val="center"/>
            </w:pPr>
            <w:r>
              <w:rPr>
                <w:rFonts w:ascii="宋体" w:hAnsi="宋体" w:eastAsia="宋体"/>
                <w:sz w:val="16"/>
              </w:rPr>
              <w:t>得分</w:t>
            </w:r>
          </w:p>
        </w:tc>
      </w:tr>
      <w:tr w14:paraId="5521E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D60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EA4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FC23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02C8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4ED9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35C5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090A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5AE36">
            <w:pPr>
              <w:jc w:val="center"/>
            </w:pPr>
            <w:r>
              <w:rPr>
                <w:rFonts w:ascii="宋体" w:hAnsi="宋体" w:eastAsia="宋体"/>
                <w:sz w:val="16"/>
              </w:rPr>
              <w:t>10.00</w:t>
            </w:r>
          </w:p>
        </w:tc>
      </w:tr>
      <w:tr w14:paraId="581FD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B6C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D86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7CC3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5E68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138F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D8D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42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9B09D">
            <w:pPr>
              <w:jc w:val="center"/>
            </w:pPr>
            <w:r>
              <w:rPr>
                <w:rFonts w:ascii="宋体" w:hAnsi="宋体" w:eastAsia="宋体"/>
                <w:sz w:val="16"/>
              </w:rPr>
              <w:t>—</w:t>
            </w:r>
          </w:p>
        </w:tc>
      </w:tr>
      <w:tr w14:paraId="7CF63E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66A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CDD0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56D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3C1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CCC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784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B76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8BAE">
            <w:pPr>
              <w:jc w:val="center"/>
            </w:pPr>
            <w:r>
              <w:rPr>
                <w:rFonts w:ascii="宋体" w:hAnsi="宋体" w:eastAsia="宋体"/>
                <w:sz w:val="16"/>
              </w:rPr>
              <w:t>—</w:t>
            </w:r>
          </w:p>
        </w:tc>
      </w:tr>
      <w:tr w14:paraId="59AAD0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0956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C881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F2435E">
            <w:pPr>
              <w:jc w:val="center"/>
            </w:pPr>
            <w:r>
              <w:rPr>
                <w:rFonts w:ascii="宋体" w:hAnsi="宋体" w:eastAsia="宋体"/>
                <w:sz w:val="16"/>
              </w:rPr>
              <w:t>实际完成情况</w:t>
            </w:r>
          </w:p>
        </w:tc>
      </w:tr>
      <w:tr w14:paraId="391DB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2DC2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C876FA">
            <w:pPr>
              <w:jc w:val="both"/>
            </w:pPr>
            <w:r>
              <w:rPr>
                <w:rFonts w:ascii="宋体" w:hAnsi="宋体" w:eastAsia="宋体"/>
                <w:sz w:val="16"/>
              </w:rPr>
              <w:t>入仓资产维修维护、涉密设备脱密技术处理及恢复功能、公物仓基础设施完善修缮及信息化建设等。主要用于推进自治州州直单位公物仓工作，有效促进公物仓可持续利用水平。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D8C35C">
            <w:pPr>
              <w:jc w:val="both"/>
            </w:pPr>
            <w:r>
              <w:rPr>
                <w:rFonts w:hint="eastAsia" w:ascii="宋体" w:hAnsi="宋体"/>
                <w:sz w:val="16"/>
                <w:lang w:eastAsia="zh-CN"/>
              </w:rPr>
              <w:t>截至12月</w:t>
            </w:r>
            <w:r>
              <w:rPr>
                <w:rFonts w:ascii="宋体" w:hAnsi="宋体" w:eastAsia="宋体"/>
                <w:sz w:val="16"/>
              </w:rPr>
              <w:t>31日，该项目完成入仓资产维修维护3次，完成信息化</w:t>
            </w:r>
            <w:r>
              <w:rPr>
                <w:rFonts w:hint="eastAsia" w:ascii="宋体" w:hAnsi="宋体"/>
                <w:sz w:val="16"/>
                <w:lang w:eastAsia="zh-CN"/>
              </w:rPr>
              <w:t>管理</w:t>
            </w:r>
            <w:r>
              <w:rPr>
                <w:rFonts w:ascii="宋体" w:hAnsi="宋体" w:eastAsia="宋体"/>
                <w:sz w:val="16"/>
              </w:rPr>
              <w:t>建设工作1次，入仓资产维护验收合格率达到100%，资产维护管理工作完成率达到100%，入仓资产维修维护成本及信息化管理成本10万元，按期支付完毕，主要用于推进自治州州直单位公物仓工作，有效促进公物仓可持续利用水平</w:t>
            </w:r>
          </w:p>
        </w:tc>
      </w:tr>
      <w:tr w14:paraId="263733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ACB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FCDD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54A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31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F4F6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95ED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FEC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780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00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554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550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CE31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D3D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0AA1">
            <w:pPr>
              <w:jc w:val="center"/>
            </w:pPr>
            <w:r>
              <w:rPr>
                <w:rFonts w:ascii="宋体" w:hAnsi="宋体" w:eastAsia="宋体"/>
                <w:sz w:val="16"/>
              </w:rPr>
              <w:t>偏差原因分析及改进措施</w:t>
            </w:r>
          </w:p>
        </w:tc>
      </w:tr>
      <w:tr w14:paraId="52A80F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646C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4FB8D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97E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2C45">
            <w:pPr>
              <w:jc w:val="center"/>
            </w:pPr>
            <w:r>
              <w:rPr>
                <w:rFonts w:ascii="宋体" w:hAnsi="宋体" w:eastAsia="宋体"/>
                <w:sz w:val="16"/>
              </w:rPr>
              <w:t>入仓资产维修维护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E3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50F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F149">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B75CB">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F2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B7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D5B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98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06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BD22">
            <w:pPr>
              <w:jc w:val="center"/>
            </w:pPr>
            <w:r>
              <w:rPr>
                <w:rFonts w:ascii="宋体" w:hAnsi="宋体" w:eastAsia="宋体"/>
                <w:sz w:val="16"/>
              </w:rPr>
              <w:t>工作任务完成较好，超出预期，超额完成目标任务。</w:t>
            </w:r>
          </w:p>
        </w:tc>
      </w:tr>
      <w:tr w14:paraId="68D89F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AA5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023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61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D95B4">
            <w:pPr>
              <w:jc w:val="center"/>
            </w:pPr>
            <w:r>
              <w:rPr>
                <w:rFonts w:ascii="宋体" w:hAnsi="宋体" w:eastAsia="宋体"/>
                <w:sz w:val="16"/>
              </w:rPr>
              <w:t>信息化管理项目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4A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DCDF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DAE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137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40A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045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AC3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59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320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0641">
            <w:pPr>
              <w:jc w:val="center"/>
            </w:pPr>
          </w:p>
        </w:tc>
      </w:tr>
      <w:tr w14:paraId="5E63F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6B8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622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586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AECB1">
            <w:pPr>
              <w:jc w:val="center"/>
            </w:pPr>
            <w:r>
              <w:rPr>
                <w:rFonts w:ascii="宋体" w:hAnsi="宋体" w:eastAsia="宋体"/>
                <w:sz w:val="16"/>
              </w:rPr>
              <w:t>入仓资产维护验收合格率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AF5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806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56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B24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625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53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11FF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8B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B2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B3776">
            <w:pPr>
              <w:jc w:val="center"/>
            </w:pPr>
            <w:r>
              <w:rPr>
                <w:rFonts w:ascii="宋体" w:hAnsi="宋体" w:eastAsia="宋体"/>
                <w:sz w:val="16"/>
              </w:rPr>
              <w:t>工作任务完成较好，超出预期，超额完成目标任务。</w:t>
            </w:r>
          </w:p>
        </w:tc>
      </w:tr>
      <w:tr w14:paraId="22233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50B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E25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267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CD0EC">
            <w:pPr>
              <w:jc w:val="center"/>
            </w:pPr>
            <w:r>
              <w:rPr>
                <w:rFonts w:ascii="宋体" w:hAnsi="宋体" w:eastAsia="宋体"/>
                <w:sz w:val="16"/>
              </w:rPr>
              <w:t>资产维护管理工作完成率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B2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3135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95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F3D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3DA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0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06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C70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9A3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C0B1D">
            <w:pPr>
              <w:jc w:val="center"/>
            </w:pPr>
            <w:r>
              <w:rPr>
                <w:rFonts w:ascii="宋体" w:hAnsi="宋体" w:eastAsia="宋体"/>
                <w:sz w:val="16"/>
              </w:rPr>
              <w:t>工作任务完成较好，超出预期，超额完成目标任务。</w:t>
            </w:r>
          </w:p>
        </w:tc>
      </w:tr>
      <w:tr w14:paraId="146AC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E95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B03B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2E37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FC99">
            <w:pPr>
              <w:jc w:val="center"/>
            </w:pPr>
            <w:r>
              <w:rPr>
                <w:rFonts w:ascii="宋体" w:hAnsi="宋体" w:eastAsia="宋体"/>
                <w:sz w:val="16"/>
              </w:rPr>
              <w:t>入仓资产维修维护成本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7B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752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452F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D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AF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2A3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5DD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09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8A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A5C1">
            <w:pPr>
              <w:jc w:val="center"/>
            </w:pPr>
          </w:p>
        </w:tc>
      </w:tr>
      <w:tr w14:paraId="6257FC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8B5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DBD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094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EBBF9">
            <w:pPr>
              <w:jc w:val="center"/>
            </w:pPr>
            <w:r>
              <w:rPr>
                <w:rFonts w:ascii="宋体" w:hAnsi="宋体" w:eastAsia="宋体"/>
                <w:sz w:val="16"/>
              </w:rPr>
              <w:t>信息化管理成本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37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F4AA">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7950">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8E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8E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ABC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C1E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81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74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5B1D8">
            <w:pPr>
              <w:jc w:val="center"/>
            </w:pPr>
          </w:p>
        </w:tc>
      </w:tr>
      <w:tr w14:paraId="12318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C8C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62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F7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89ED6">
            <w:pPr>
              <w:jc w:val="center"/>
            </w:pPr>
            <w:r>
              <w:rPr>
                <w:rFonts w:ascii="宋体" w:hAnsi="宋体" w:eastAsia="宋体"/>
                <w:sz w:val="16"/>
              </w:rPr>
              <w:t>有效促进公物仓可持续利用水平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98B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C72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39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F7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C923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72F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8BE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89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6A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AE88">
            <w:pPr>
              <w:jc w:val="center"/>
            </w:pPr>
          </w:p>
        </w:tc>
      </w:tr>
      <w:tr w14:paraId="6C7630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7267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A4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2A4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08A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0131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CC1D">
            <w:pPr>
              <w:jc w:val="center"/>
            </w:pPr>
            <w:r>
              <w:rPr>
                <w:rFonts w:ascii="宋体" w:hAnsi="宋体" w:eastAsia="宋体"/>
                <w:sz w:val="16"/>
              </w:rPr>
              <w:t>94.50分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5CBF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6DF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9B17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AB7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F62F0"/>
        </w:tc>
      </w:tr>
    </w:tbl>
    <w:p w14:paraId="140E4554">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96"/>
        <w:gridCol w:w="630"/>
        <w:gridCol w:w="606"/>
        <w:gridCol w:w="606"/>
        <w:gridCol w:w="606"/>
        <w:gridCol w:w="607"/>
        <w:gridCol w:w="623"/>
      </w:tblGrid>
      <w:tr w14:paraId="7BCE919B">
        <w:tblPrEx>
          <w:tblCellMar>
            <w:top w:w="0" w:type="dxa"/>
            <w:left w:w="108" w:type="dxa"/>
            <w:bottom w:w="0" w:type="dxa"/>
            <w:right w:w="108" w:type="dxa"/>
          </w:tblCellMar>
        </w:tblPrEx>
        <w:tc>
          <w:tcPr>
            <w:tcW w:w="8848" w:type="dxa"/>
            <w:gridSpan w:val="14"/>
            <w:vAlign w:val="center"/>
          </w:tcPr>
          <w:p w14:paraId="2826633D">
            <w:pPr>
              <w:jc w:val="center"/>
            </w:pPr>
            <w:r>
              <w:rPr>
                <w:rFonts w:ascii="宋体" w:hAnsi="宋体" w:eastAsia="宋体"/>
                <w:sz w:val="24"/>
              </w:rPr>
              <w:t>项目支出绩效自评表</w:t>
            </w:r>
          </w:p>
        </w:tc>
      </w:tr>
      <w:tr w14:paraId="47CAF3A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A142AC">
            <w:pPr>
              <w:jc w:val="center"/>
            </w:pPr>
            <w:r>
              <w:rPr>
                <w:rFonts w:ascii="宋体" w:hAnsi="宋体" w:eastAsia="宋体"/>
                <w:sz w:val="24"/>
              </w:rPr>
              <w:t>(2024年度)</w:t>
            </w:r>
          </w:p>
        </w:tc>
      </w:tr>
      <w:tr w14:paraId="75330E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37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DE5146">
            <w:pPr>
              <w:jc w:val="center"/>
            </w:pPr>
            <w:r>
              <w:rPr>
                <w:rFonts w:ascii="宋体" w:hAnsi="宋体" w:eastAsia="宋体"/>
                <w:sz w:val="16"/>
              </w:rPr>
              <w:t>党政办公楼加装电梯项目</w:t>
            </w:r>
          </w:p>
        </w:tc>
      </w:tr>
      <w:tr w14:paraId="017197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C97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A18469">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797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BD0EF8">
            <w:pPr>
              <w:jc w:val="center"/>
            </w:pPr>
            <w:r>
              <w:rPr>
                <w:rFonts w:ascii="宋体" w:hAnsi="宋体" w:eastAsia="宋体"/>
                <w:sz w:val="16"/>
              </w:rPr>
              <w:t>昌吉回族自治州机关事务管理局</w:t>
            </w:r>
          </w:p>
        </w:tc>
      </w:tr>
      <w:tr w14:paraId="4D0474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ED8C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3930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747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BC6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578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D58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9A6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A839">
            <w:pPr>
              <w:jc w:val="center"/>
            </w:pPr>
            <w:r>
              <w:rPr>
                <w:rFonts w:ascii="宋体" w:hAnsi="宋体" w:eastAsia="宋体"/>
                <w:sz w:val="16"/>
              </w:rPr>
              <w:t>得分</w:t>
            </w:r>
          </w:p>
        </w:tc>
      </w:tr>
      <w:tr w14:paraId="46E5FE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AEA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7160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BF448">
            <w:pPr>
              <w:jc w:val="center"/>
            </w:pPr>
            <w:r>
              <w:rPr>
                <w:rFonts w:ascii="宋体" w:hAnsi="宋体" w:eastAsia="宋体"/>
                <w:sz w:val="16"/>
              </w:rPr>
              <w:t>996.68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A4019">
            <w:pPr>
              <w:jc w:val="center"/>
            </w:pPr>
            <w:r>
              <w:rPr>
                <w:rFonts w:ascii="宋体" w:hAnsi="宋体" w:eastAsia="宋体"/>
                <w:sz w:val="16"/>
              </w:rPr>
              <w:t>796.68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CC03">
            <w:pPr>
              <w:jc w:val="center"/>
            </w:pPr>
            <w:r>
              <w:rPr>
                <w:rFonts w:ascii="宋体" w:hAnsi="宋体" w:eastAsia="宋体"/>
                <w:sz w:val="16"/>
              </w:rPr>
              <w:t>600.87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0261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55AD7">
            <w:pPr>
              <w:jc w:val="center"/>
            </w:pPr>
            <w:r>
              <w:rPr>
                <w:rFonts w:ascii="宋体" w:hAnsi="宋体" w:eastAsia="宋体"/>
                <w:sz w:val="16"/>
              </w:rPr>
              <w:t>75.42%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BCCB0">
            <w:pPr>
              <w:jc w:val="center"/>
            </w:pPr>
            <w:r>
              <w:rPr>
                <w:rFonts w:ascii="宋体" w:hAnsi="宋体" w:eastAsia="宋体"/>
                <w:sz w:val="16"/>
              </w:rPr>
              <w:t>3.86</w:t>
            </w:r>
          </w:p>
        </w:tc>
      </w:tr>
      <w:tr w14:paraId="26A3A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1ED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7F0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481FD">
            <w:pPr>
              <w:jc w:val="center"/>
            </w:pPr>
            <w:r>
              <w:rPr>
                <w:rFonts w:ascii="宋体" w:hAnsi="宋体" w:eastAsia="宋体"/>
                <w:sz w:val="16"/>
              </w:rPr>
              <w:t>996.68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F5986">
            <w:pPr>
              <w:jc w:val="center"/>
            </w:pPr>
            <w:r>
              <w:rPr>
                <w:rFonts w:ascii="宋体" w:hAnsi="宋体" w:eastAsia="宋体"/>
                <w:sz w:val="16"/>
              </w:rPr>
              <w:t>796.68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B446E">
            <w:pPr>
              <w:jc w:val="center"/>
            </w:pPr>
            <w:r>
              <w:rPr>
                <w:rFonts w:ascii="宋体" w:hAnsi="宋体" w:eastAsia="宋体"/>
                <w:sz w:val="16"/>
              </w:rPr>
              <w:t>600.87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7DA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03D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C7537">
            <w:pPr>
              <w:jc w:val="center"/>
            </w:pPr>
            <w:r>
              <w:rPr>
                <w:rFonts w:ascii="宋体" w:hAnsi="宋体" w:eastAsia="宋体"/>
                <w:sz w:val="16"/>
              </w:rPr>
              <w:t>—</w:t>
            </w:r>
          </w:p>
        </w:tc>
      </w:tr>
      <w:tr w14:paraId="502FD8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A5B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A324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C49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94D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317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D88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F4F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926F">
            <w:pPr>
              <w:jc w:val="center"/>
            </w:pPr>
            <w:r>
              <w:rPr>
                <w:rFonts w:ascii="宋体" w:hAnsi="宋体" w:eastAsia="宋体"/>
                <w:sz w:val="16"/>
              </w:rPr>
              <w:t>—</w:t>
            </w:r>
          </w:p>
        </w:tc>
      </w:tr>
      <w:tr w14:paraId="42EDF9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3ECC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C91E5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20043D">
            <w:pPr>
              <w:jc w:val="center"/>
            </w:pPr>
            <w:r>
              <w:rPr>
                <w:rFonts w:ascii="宋体" w:hAnsi="宋体" w:eastAsia="宋体"/>
                <w:sz w:val="16"/>
              </w:rPr>
              <w:t>实际完成情况</w:t>
            </w:r>
          </w:p>
        </w:tc>
      </w:tr>
      <w:tr w14:paraId="20D0DE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088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57A693">
            <w:pPr>
              <w:jc w:val="both"/>
            </w:pPr>
            <w:r>
              <w:rPr>
                <w:rFonts w:ascii="宋体" w:hAnsi="宋体" w:eastAsia="宋体"/>
                <w:sz w:val="16"/>
              </w:rPr>
              <w:t>按照《办公建筑设计标准》（JGJ/T67-2019）及州政府财政专题会议要求，对党政办公楼加装5部电梯。其中党委楼1部，政府综合楼2部、政府楼1部、昌吉州老年人老干部活动中心1部。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6192B7">
            <w:pPr>
              <w:jc w:val="both"/>
            </w:pPr>
            <w:r>
              <w:rPr>
                <w:rFonts w:hint="eastAsia" w:ascii="宋体" w:hAnsi="宋体"/>
                <w:sz w:val="16"/>
                <w:lang w:eastAsia="zh-CN"/>
              </w:rPr>
              <w:t>截至</w:t>
            </w:r>
            <w:r>
              <w:rPr>
                <w:rFonts w:ascii="宋体" w:hAnsi="宋体" w:eastAsia="宋体"/>
                <w:sz w:val="16"/>
              </w:rPr>
              <w:t>2025年8月，按照《办公建筑设计标准》（JGJ/T67-2019）及州政府财政专题会议要求，对党政办公楼加装5部电梯。其中党委楼1部，政府综合楼2部、政府楼1部、昌吉州老年人老干部活动中心1部</w:t>
            </w:r>
          </w:p>
        </w:tc>
      </w:tr>
      <w:tr w14:paraId="369260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BC73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C6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85B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55C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898E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BB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C1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27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BF5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41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3AE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D1E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26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20073">
            <w:pPr>
              <w:jc w:val="center"/>
            </w:pPr>
            <w:r>
              <w:rPr>
                <w:rFonts w:ascii="宋体" w:hAnsi="宋体" w:eastAsia="宋体"/>
                <w:sz w:val="16"/>
              </w:rPr>
              <w:t>偏差原因分析及改进措施</w:t>
            </w:r>
          </w:p>
        </w:tc>
      </w:tr>
      <w:tr w14:paraId="30A833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F3DD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0EA0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F96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3D089">
            <w:pPr>
              <w:jc w:val="center"/>
            </w:pPr>
            <w:r>
              <w:rPr>
                <w:rFonts w:ascii="宋体" w:hAnsi="宋体" w:eastAsia="宋体"/>
                <w:sz w:val="16"/>
              </w:rPr>
              <w:t>电梯安装数量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3D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88FA">
            <w:pPr>
              <w:jc w:val="center"/>
            </w:pPr>
            <w:r>
              <w:rPr>
                <w:rFonts w:ascii="宋体" w:hAnsi="宋体" w:eastAsia="宋体"/>
                <w:sz w:val="16"/>
              </w:rPr>
              <w:t>=5部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7743">
            <w:pPr>
              <w:jc w:val="center"/>
            </w:pPr>
            <w:r>
              <w:rPr>
                <w:rFonts w:ascii="宋体" w:hAnsi="宋体" w:eastAsia="宋体"/>
                <w:sz w:val="16"/>
              </w:rPr>
              <w:t>=5部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56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0B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C78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C6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F1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9A7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1657">
            <w:pPr>
              <w:jc w:val="center"/>
            </w:pPr>
          </w:p>
        </w:tc>
      </w:tr>
      <w:tr w14:paraId="68E34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7F1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C00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128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3878">
            <w:pPr>
              <w:jc w:val="center"/>
            </w:pPr>
            <w:r>
              <w:rPr>
                <w:rFonts w:ascii="宋体" w:hAnsi="宋体" w:eastAsia="宋体"/>
                <w:sz w:val="16"/>
              </w:rPr>
              <w:t>电梯政府采购率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E67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1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FD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D8D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CA1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D9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4CB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85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F1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2287">
            <w:pPr>
              <w:jc w:val="center"/>
            </w:pPr>
          </w:p>
        </w:tc>
      </w:tr>
      <w:tr w14:paraId="20CD8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F49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D7D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470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68CD">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5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4AD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25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FB84B">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F04A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A2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38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94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8F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9DB8">
            <w:pPr>
              <w:jc w:val="center"/>
            </w:pPr>
            <w:r>
              <w:rPr>
                <w:rFonts w:ascii="宋体" w:hAnsi="宋体" w:eastAsia="宋体"/>
                <w:sz w:val="16"/>
              </w:rPr>
              <w:t>工作任务完成较好，超出预期，超额完成目标任务。</w:t>
            </w:r>
          </w:p>
        </w:tc>
      </w:tr>
      <w:tr w14:paraId="79F14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86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D2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9B1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5D9A">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496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F15A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20EE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B77A">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CABD">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C07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4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A7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880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3AE0">
            <w:pPr>
              <w:jc w:val="center"/>
            </w:pPr>
            <w:r>
              <w:rPr>
                <w:rFonts w:ascii="宋体" w:hAnsi="宋体" w:eastAsia="宋体"/>
                <w:sz w:val="16"/>
              </w:rPr>
              <w:t>该项目是下半年开始，冬季无法施工，当年未能完成项目，2025年完成项目。</w:t>
            </w:r>
          </w:p>
        </w:tc>
      </w:tr>
      <w:tr w14:paraId="26385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7FC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1091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09B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CC4A">
            <w:pPr>
              <w:jc w:val="center"/>
            </w:pPr>
            <w:r>
              <w:rPr>
                <w:rFonts w:ascii="宋体" w:hAnsi="宋体" w:eastAsia="宋体"/>
                <w:sz w:val="16"/>
              </w:rPr>
              <w:t>项目工程成本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4E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9FB5">
            <w:pPr>
              <w:jc w:val="center"/>
            </w:pPr>
            <w:r>
              <w:rPr>
                <w:rFonts w:ascii="宋体" w:hAnsi="宋体" w:eastAsia="宋体"/>
                <w:sz w:val="16"/>
              </w:rPr>
              <w:t>&lt;=796.68万元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B89E">
            <w:pPr>
              <w:jc w:val="center"/>
            </w:pPr>
            <w:r>
              <w:rPr>
                <w:rFonts w:ascii="宋体" w:hAnsi="宋体" w:eastAsia="宋体"/>
                <w:sz w:val="16"/>
              </w:rPr>
              <w:t>=600.87万元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53F7D">
            <w:pPr>
              <w:jc w:val="center"/>
            </w:pPr>
            <w:r>
              <w:rPr>
                <w:rFonts w:ascii="宋体" w:hAnsi="宋体" w:eastAsia="宋体"/>
                <w:sz w:val="16"/>
              </w:rPr>
              <w:t>75.42%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15FD">
            <w:pPr>
              <w:jc w:val="center"/>
            </w:pPr>
            <w:r>
              <w:rPr>
                <w:rFonts w:ascii="宋体" w:hAnsi="宋体" w:eastAsia="宋体"/>
                <w:sz w:val="16"/>
              </w:rPr>
              <w:t>5.78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B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1C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F90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EE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BED4">
            <w:pPr>
              <w:jc w:val="center"/>
            </w:pPr>
            <w:r>
              <w:rPr>
                <w:rFonts w:ascii="宋体" w:hAnsi="宋体" w:eastAsia="宋体"/>
                <w:sz w:val="16"/>
              </w:rPr>
              <w:t>项目已完成，资金存在结余，初期对项目工程量预估存在偏差，剩余资金上缴国库。</w:t>
            </w:r>
          </w:p>
        </w:tc>
      </w:tr>
      <w:tr w14:paraId="00D23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60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DD1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CC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F5A6">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655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57C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30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A8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5D5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6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6A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3F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0FE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7A72">
            <w:pPr>
              <w:jc w:val="center"/>
            </w:pPr>
          </w:p>
        </w:tc>
      </w:tr>
      <w:tr w14:paraId="419527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76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3C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981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1CE9">
            <w:pPr>
              <w:jc w:val="center"/>
            </w:pPr>
            <w:r>
              <w:rPr>
                <w:rFonts w:ascii="宋体" w:hAnsi="宋体" w:eastAsia="宋体"/>
                <w:sz w:val="16"/>
              </w:rPr>
              <w:t>设备利用率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6A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E4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E9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E2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125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FC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31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0A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24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7457">
            <w:pPr>
              <w:jc w:val="center"/>
            </w:pPr>
          </w:p>
        </w:tc>
      </w:tr>
      <w:tr w14:paraId="314616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D5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6BE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69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16918">
            <w:pPr>
              <w:jc w:val="center"/>
            </w:pPr>
            <w:r>
              <w:rPr>
                <w:rFonts w:ascii="宋体" w:hAnsi="宋体" w:eastAsia="宋体"/>
                <w:sz w:val="16"/>
              </w:rPr>
              <w:t>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F3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1F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A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C1A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26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FC9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5B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C4EE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059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D9B6">
            <w:pPr>
              <w:jc w:val="center"/>
            </w:pPr>
            <w:r>
              <w:rPr>
                <w:rFonts w:ascii="宋体" w:hAnsi="宋体" w:eastAsia="宋体"/>
                <w:sz w:val="16"/>
              </w:rPr>
              <w:t>工作任务完成较好，超出预期，超额完成目标任务。</w:t>
            </w:r>
          </w:p>
        </w:tc>
      </w:tr>
      <w:tr w14:paraId="0FCD89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5D6D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E86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819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D6FC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F9D0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B031">
            <w:pPr>
              <w:jc w:val="center"/>
            </w:pPr>
            <w:r>
              <w:rPr>
                <w:rFonts w:ascii="宋体" w:hAnsi="宋体" w:eastAsia="宋体"/>
                <w:sz w:val="16"/>
              </w:rPr>
              <w:t>82.94分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6503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E95E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FB1D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2EC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93DEE"/>
        </w:tc>
      </w:tr>
    </w:tbl>
    <w:p w14:paraId="1CDB81DA">
      <w:r>
        <w:br w:type="page"/>
      </w:r>
    </w:p>
    <w:tbl>
      <w:tblPr>
        <w:tblStyle w:val="9"/>
        <w:tblW w:w="0" w:type="auto"/>
        <w:tblInd w:w="0" w:type="dxa"/>
        <w:tblLayout w:type="autofit"/>
        <w:tblCellMar>
          <w:top w:w="0" w:type="dxa"/>
          <w:left w:w="108" w:type="dxa"/>
          <w:bottom w:w="0" w:type="dxa"/>
          <w:right w:w="108" w:type="dxa"/>
        </w:tblCellMar>
      </w:tblPr>
      <w:tblGrid>
        <w:gridCol w:w="618"/>
        <w:gridCol w:w="594"/>
        <w:gridCol w:w="594"/>
        <w:gridCol w:w="596"/>
        <w:gridCol w:w="607"/>
        <w:gridCol w:w="936"/>
        <w:gridCol w:w="856"/>
        <w:gridCol w:w="618"/>
        <w:gridCol w:w="630"/>
        <w:gridCol w:w="594"/>
        <w:gridCol w:w="594"/>
        <w:gridCol w:w="596"/>
        <w:gridCol w:w="596"/>
        <w:gridCol w:w="631"/>
      </w:tblGrid>
      <w:tr w14:paraId="4ED4C630">
        <w:tblPrEx>
          <w:tblCellMar>
            <w:top w:w="0" w:type="dxa"/>
            <w:left w:w="108" w:type="dxa"/>
            <w:bottom w:w="0" w:type="dxa"/>
            <w:right w:w="108" w:type="dxa"/>
          </w:tblCellMar>
        </w:tblPrEx>
        <w:tc>
          <w:tcPr>
            <w:tcW w:w="8848" w:type="dxa"/>
            <w:gridSpan w:val="14"/>
            <w:vAlign w:val="center"/>
          </w:tcPr>
          <w:p w14:paraId="2090F8C7">
            <w:pPr>
              <w:jc w:val="center"/>
            </w:pPr>
            <w:r>
              <w:rPr>
                <w:rFonts w:ascii="宋体" w:hAnsi="宋体" w:eastAsia="宋体"/>
                <w:sz w:val="24"/>
              </w:rPr>
              <w:t>项目支出绩效自评表</w:t>
            </w:r>
          </w:p>
        </w:tc>
      </w:tr>
      <w:tr w14:paraId="270052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DD0C91">
            <w:pPr>
              <w:jc w:val="center"/>
            </w:pPr>
            <w:r>
              <w:rPr>
                <w:rFonts w:ascii="宋体" w:hAnsi="宋体" w:eastAsia="宋体"/>
                <w:sz w:val="24"/>
              </w:rPr>
              <w:t>(2024年度)</w:t>
            </w:r>
          </w:p>
        </w:tc>
      </w:tr>
      <w:tr w14:paraId="447324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C43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53E605">
            <w:pPr>
              <w:jc w:val="center"/>
            </w:pPr>
            <w:r>
              <w:rPr>
                <w:rFonts w:ascii="宋体" w:hAnsi="宋体" w:eastAsia="宋体"/>
                <w:sz w:val="16"/>
              </w:rPr>
              <w:t>厅级干部周转房购置费用</w:t>
            </w:r>
          </w:p>
        </w:tc>
      </w:tr>
      <w:tr w14:paraId="144E8B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D19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B55371">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8A0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21A113">
            <w:pPr>
              <w:jc w:val="center"/>
            </w:pPr>
            <w:r>
              <w:rPr>
                <w:rFonts w:ascii="宋体" w:hAnsi="宋体" w:eastAsia="宋体"/>
                <w:sz w:val="16"/>
              </w:rPr>
              <w:t>昌吉回族自治州机关事务管理局</w:t>
            </w:r>
          </w:p>
        </w:tc>
      </w:tr>
      <w:tr w14:paraId="5429EA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AA1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893B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BC0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E0CD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E68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D9AD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A7F9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F26B">
            <w:pPr>
              <w:jc w:val="center"/>
            </w:pPr>
            <w:r>
              <w:rPr>
                <w:rFonts w:ascii="宋体" w:hAnsi="宋体" w:eastAsia="宋体"/>
                <w:sz w:val="16"/>
              </w:rPr>
              <w:t>得分</w:t>
            </w:r>
          </w:p>
        </w:tc>
      </w:tr>
      <w:tr w14:paraId="28B30E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73C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BC2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14771">
            <w:pPr>
              <w:jc w:val="center"/>
            </w:pPr>
            <w:r>
              <w:rPr>
                <w:rFonts w:ascii="宋体" w:hAnsi="宋体" w:eastAsia="宋体"/>
                <w:sz w:val="16"/>
              </w:rPr>
              <w:t>1,662.24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128EB">
            <w:pPr>
              <w:jc w:val="center"/>
            </w:pPr>
            <w:r>
              <w:rPr>
                <w:rFonts w:ascii="宋体" w:hAnsi="宋体" w:eastAsia="宋体"/>
                <w:sz w:val="16"/>
              </w:rPr>
              <w:t>1,591.26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D9F15">
            <w:pPr>
              <w:jc w:val="center"/>
            </w:pPr>
            <w:r>
              <w:rPr>
                <w:rFonts w:ascii="宋体" w:hAnsi="宋体" w:eastAsia="宋体"/>
                <w:sz w:val="16"/>
              </w:rPr>
              <w:t>1,591.26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450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B04E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6C8D">
            <w:pPr>
              <w:jc w:val="center"/>
            </w:pPr>
            <w:r>
              <w:rPr>
                <w:rFonts w:ascii="宋体" w:hAnsi="宋体" w:eastAsia="宋体"/>
                <w:sz w:val="16"/>
              </w:rPr>
              <w:t>10.00</w:t>
            </w:r>
          </w:p>
        </w:tc>
      </w:tr>
      <w:tr w14:paraId="3331EB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5F7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D24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D7F96">
            <w:pPr>
              <w:jc w:val="center"/>
            </w:pPr>
            <w:r>
              <w:rPr>
                <w:rFonts w:ascii="宋体" w:hAnsi="宋体" w:eastAsia="宋体"/>
                <w:sz w:val="16"/>
              </w:rPr>
              <w:t>1,662.24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E6D8C">
            <w:pPr>
              <w:jc w:val="center"/>
            </w:pPr>
            <w:r>
              <w:rPr>
                <w:rFonts w:ascii="宋体" w:hAnsi="宋体" w:eastAsia="宋体"/>
                <w:sz w:val="16"/>
              </w:rPr>
              <w:t>1,591.26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59E65">
            <w:pPr>
              <w:jc w:val="center"/>
            </w:pPr>
            <w:r>
              <w:rPr>
                <w:rFonts w:ascii="宋体" w:hAnsi="宋体" w:eastAsia="宋体"/>
                <w:sz w:val="16"/>
              </w:rPr>
              <w:t>1,591.26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23D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DE8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4FE97">
            <w:pPr>
              <w:jc w:val="center"/>
            </w:pPr>
            <w:r>
              <w:rPr>
                <w:rFonts w:ascii="宋体" w:hAnsi="宋体" w:eastAsia="宋体"/>
                <w:sz w:val="16"/>
              </w:rPr>
              <w:t>—</w:t>
            </w:r>
          </w:p>
        </w:tc>
      </w:tr>
      <w:tr w14:paraId="6AD4E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BB9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FBE7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C64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29F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AA0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D05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117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FDAB">
            <w:pPr>
              <w:jc w:val="center"/>
            </w:pPr>
            <w:r>
              <w:rPr>
                <w:rFonts w:ascii="宋体" w:hAnsi="宋体" w:eastAsia="宋体"/>
                <w:sz w:val="16"/>
              </w:rPr>
              <w:t>—</w:t>
            </w:r>
          </w:p>
        </w:tc>
      </w:tr>
      <w:tr w14:paraId="243518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FBFF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4D333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A1A9DD">
            <w:pPr>
              <w:jc w:val="center"/>
            </w:pPr>
            <w:r>
              <w:rPr>
                <w:rFonts w:ascii="宋体" w:hAnsi="宋体" w:eastAsia="宋体"/>
                <w:sz w:val="16"/>
              </w:rPr>
              <w:t>实际完成情况</w:t>
            </w:r>
          </w:p>
        </w:tc>
      </w:tr>
      <w:tr w14:paraId="7F249D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0A1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EF097">
            <w:pPr>
              <w:jc w:val="both"/>
            </w:pPr>
            <w:r>
              <w:rPr>
                <w:rFonts w:ascii="宋体" w:hAnsi="宋体" w:eastAsia="宋体"/>
                <w:sz w:val="16"/>
              </w:rPr>
              <w:t>单位职能：负责厅局级干部周转住房和筹集、调配、管理、维护和信息报送工作。立项依据：州党委财经委员会2023年第四次纪要和昌吉州人民2023年第6次重大财政事项专题会议纪要。目标：目前州本级现有厅级干部周转住房数量不足、过于分散、房屋老旧已经不能满足正常需要。根据《自治区机关事务管理局</w:t>
            </w:r>
            <w:bookmarkStart w:id="0" w:name="_GoBack"/>
            <w:r>
              <w:rPr>
                <w:rFonts w:ascii="宋体" w:hAnsi="宋体" w:eastAsia="宋体"/>
                <w:sz w:val="16"/>
              </w:rPr>
              <w:t>&lt;</w:t>
            </w:r>
            <w:bookmarkEnd w:id="0"/>
            <w:r>
              <w:rPr>
                <w:rFonts w:ascii="宋体" w:hAnsi="宋体" w:eastAsia="宋体"/>
                <w:sz w:val="16"/>
              </w:rPr>
              <w:t>关于印发新疆维吾尔自治区厅局级干部周转住房管理办法&gt;的通知》新管发</w:t>
            </w:r>
            <w:r>
              <w:rPr>
                <w:rFonts w:hint="eastAsia" w:ascii="宋体" w:hAnsi="宋体"/>
                <w:sz w:val="16"/>
                <w:lang w:eastAsia="zh-CN"/>
              </w:rPr>
              <w:t>〔2023〕58号</w:t>
            </w:r>
            <w:r>
              <w:rPr>
                <w:rFonts w:ascii="宋体" w:hAnsi="宋体" w:eastAsia="宋体"/>
                <w:sz w:val="16"/>
              </w:rPr>
              <w:t>，并报自治区机关事务管理局同意，通过购置方式解决州本级厅级干部周转住房保障问题。州机关事务管理局依法依规推进州本级厅级干部周转住房购置工作，同时牢固树立过紧日子思想，坚持厉行节约经济适用的原则，统筹做好外部环境，内部装修等工作，严禁铺张浪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E66396">
            <w:pPr>
              <w:jc w:val="both"/>
            </w:pPr>
            <w:r>
              <w:rPr>
                <w:rFonts w:hint="eastAsia" w:ascii="宋体" w:hAnsi="宋体"/>
                <w:sz w:val="16"/>
                <w:lang w:eastAsia="zh-CN"/>
              </w:rPr>
              <w:t>截至</w:t>
            </w:r>
            <w:r>
              <w:rPr>
                <w:rFonts w:ascii="宋体" w:hAnsi="宋体" w:eastAsia="宋体"/>
                <w:sz w:val="16"/>
              </w:rPr>
              <w:t>12月31日，该项目依据《新疆维吾尔自治区厅级干部周转住房管理办法》，经前期调研，征求区局、州党委、政府等多部门意见，成立工作专班，聚焦资源和需求实际，按时完成36套干部周转住房购置、装修及设施配置保障工作。装修工程按时完工率100%，装修工程质量合格率100%，房屋正常投入使用。资金控制率达100%，按照合同约定，第四期装修款待质保期满2年后，支付剩余3%的资金。通过改善生活环境，有效解决了昌吉州厅级干部周转住房保障能力，进一步激发干部干事创业的积极性。</w:t>
            </w:r>
          </w:p>
        </w:tc>
      </w:tr>
      <w:tr w14:paraId="114A5F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76D9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90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13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B7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F5E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CEB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0AC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59A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88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EE2E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388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100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EB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49CFC">
            <w:pPr>
              <w:jc w:val="center"/>
            </w:pPr>
            <w:r>
              <w:rPr>
                <w:rFonts w:ascii="宋体" w:hAnsi="宋体" w:eastAsia="宋体"/>
                <w:sz w:val="16"/>
              </w:rPr>
              <w:t>偏差原因分析及改进措施</w:t>
            </w:r>
          </w:p>
        </w:tc>
      </w:tr>
      <w:tr w14:paraId="0DF452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D99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992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C7E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44C7">
            <w:pPr>
              <w:jc w:val="center"/>
            </w:pPr>
            <w:r>
              <w:rPr>
                <w:rFonts w:ascii="宋体" w:hAnsi="宋体" w:eastAsia="宋体"/>
                <w:sz w:val="16"/>
              </w:rPr>
              <w:t>装修工程计划完成率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26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B3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2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D7A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3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8C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A5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9E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0C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E230">
            <w:pPr>
              <w:jc w:val="center"/>
            </w:pPr>
          </w:p>
        </w:tc>
      </w:tr>
      <w:tr w14:paraId="3A945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9D4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65C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47F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3BC32">
            <w:pPr>
              <w:jc w:val="center"/>
            </w:pPr>
            <w:r>
              <w:rPr>
                <w:rFonts w:ascii="宋体" w:hAnsi="宋体" w:eastAsia="宋体"/>
                <w:sz w:val="16"/>
              </w:rPr>
              <w:t>完成周转住房装修套数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560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7C5D9">
            <w:pPr>
              <w:jc w:val="center"/>
            </w:pPr>
            <w:r>
              <w:rPr>
                <w:rFonts w:ascii="宋体" w:hAnsi="宋体" w:eastAsia="宋体"/>
                <w:sz w:val="16"/>
              </w:rPr>
              <w:t>=36套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14538">
            <w:pPr>
              <w:jc w:val="center"/>
            </w:pPr>
            <w:r>
              <w:rPr>
                <w:rFonts w:ascii="宋体" w:hAnsi="宋体" w:eastAsia="宋体"/>
                <w:sz w:val="16"/>
              </w:rPr>
              <w:t>=36套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9F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AD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44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E3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5F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5D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9367">
            <w:pPr>
              <w:jc w:val="center"/>
            </w:pPr>
          </w:p>
        </w:tc>
      </w:tr>
      <w:tr w14:paraId="70DADD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477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85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8A86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77700">
            <w:pPr>
              <w:jc w:val="center"/>
            </w:pPr>
            <w:r>
              <w:rPr>
                <w:rFonts w:ascii="宋体" w:hAnsi="宋体" w:eastAsia="宋体"/>
                <w:sz w:val="16"/>
              </w:rPr>
              <w:t>装修工程质量合格率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574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92C3">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6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DAA49">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1B24">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B7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B76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080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53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CA81">
            <w:pPr>
              <w:jc w:val="center"/>
            </w:pPr>
            <w:r>
              <w:rPr>
                <w:rFonts w:ascii="宋体" w:hAnsi="宋体" w:eastAsia="宋体"/>
                <w:sz w:val="16"/>
              </w:rPr>
              <w:t>工作任务完成较好，超出预期，超额完成目标任务。</w:t>
            </w:r>
          </w:p>
        </w:tc>
      </w:tr>
      <w:tr w14:paraId="1E3D4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F2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0D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8A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DF8C">
            <w:pPr>
              <w:jc w:val="center"/>
            </w:pPr>
            <w:r>
              <w:rPr>
                <w:rFonts w:ascii="宋体" w:hAnsi="宋体" w:eastAsia="宋体"/>
                <w:sz w:val="16"/>
              </w:rPr>
              <w:t>装修工程按时完工率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2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0C96">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0E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9F81">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84CB8">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1D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E9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41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5D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8A0F">
            <w:pPr>
              <w:jc w:val="center"/>
            </w:pPr>
            <w:r>
              <w:rPr>
                <w:rFonts w:ascii="宋体" w:hAnsi="宋体" w:eastAsia="宋体"/>
                <w:sz w:val="16"/>
              </w:rPr>
              <w:t>工作任务完成较好，超出预期，超额完成目标任务。</w:t>
            </w:r>
          </w:p>
        </w:tc>
      </w:tr>
      <w:tr w14:paraId="67758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DFE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03F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A56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25C6">
            <w:pPr>
              <w:jc w:val="center"/>
            </w:pPr>
            <w:r>
              <w:rPr>
                <w:rFonts w:ascii="宋体" w:hAnsi="宋体" w:eastAsia="宋体"/>
                <w:sz w:val="16"/>
              </w:rPr>
              <w:t>预算资金控制率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1E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E104">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6E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63DF">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6F89">
            <w:pPr>
              <w:jc w:val="center"/>
            </w:pPr>
            <w:r>
              <w:rPr>
                <w:rFonts w:ascii="宋体" w:hAnsi="宋体" w:eastAsia="宋体"/>
                <w:sz w:val="16"/>
              </w:rPr>
              <w:t>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7929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A70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94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A8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57B9">
            <w:pPr>
              <w:jc w:val="center"/>
            </w:pPr>
            <w:r>
              <w:rPr>
                <w:rFonts w:ascii="宋体" w:hAnsi="宋体" w:eastAsia="宋体"/>
                <w:sz w:val="16"/>
              </w:rPr>
              <w:t>工作任务完成较好，超出预期，超额完成目标任务。</w:t>
            </w:r>
          </w:p>
        </w:tc>
      </w:tr>
      <w:tr w14:paraId="3EA61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2BB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B37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765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81AF">
            <w:pPr>
              <w:jc w:val="center"/>
            </w:pPr>
            <w:r>
              <w:rPr>
                <w:rFonts w:ascii="宋体" w:hAnsi="宋体" w:eastAsia="宋体"/>
                <w:sz w:val="16"/>
              </w:rPr>
              <w:t>周转住房装修金额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1E9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7607">
            <w:pPr>
              <w:jc w:val="center"/>
            </w:pPr>
            <w:r>
              <w:rPr>
                <w:rFonts w:ascii="宋体" w:hAnsi="宋体" w:eastAsia="宋体"/>
                <w:sz w:val="16"/>
              </w:rPr>
              <w:t>&lt;=1591.26万元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868B">
            <w:pPr>
              <w:jc w:val="center"/>
            </w:pPr>
            <w:r>
              <w:rPr>
                <w:rFonts w:ascii="宋体" w:hAnsi="宋体" w:eastAsia="宋体"/>
                <w:sz w:val="16"/>
              </w:rPr>
              <w:t>=1591.26万元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3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8F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F80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95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A6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22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1AAC9">
            <w:pPr>
              <w:jc w:val="center"/>
            </w:pPr>
          </w:p>
        </w:tc>
      </w:tr>
      <w:tr w14:paraId="0B963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7FF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4F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966F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1B5C">
            <w:pPr>
              <w:jc w:val="center"/>
            </w:pPr>
            <w:r>
              <w:rPr>
                <w:rFonts w:ascii="宋体" w:hAnsi="宋体" w:eastAsia="宋体"/>
                <w:sz w:val="16"/>
              </w:rPr>
              <w:t>厅级干部周转住房保障水平提高率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20A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0731">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AC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64C0F">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7C2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852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F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874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CA4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A608">
            <w:pPr>
              <w:jc w:val="center"/>
            </w:pPr>
            <w:r>
              <w:rPr>
                <w:rFonts w:ascii="宋体" w:hAnsi="宋体" w:eastAsia="宋体"/>
                <w:sz w:val="16"/>
              </w:rPr>
              <w:t>工作任务完成较好，超出预期，超额完成目标任务。</w:t>
            </w:r>
          </w:p>
        </w:tc>
      </w:tr>
      <w:tr w14:paraId="47F0FB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4311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DA6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DDE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979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73D8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2E1F">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5F1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7EE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7F7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119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53416"/>
        </w:tc>
      </w:tr>
    </w:tbl>
    <w:p w14:paraId="3893A0E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BFE6722">
        <w:tblPrEx>
          <w:tblCellMar>
            <w:top w:w="0" w:type="dxa"/>
            <w:left w:w="108" w:type="dxa"/>
            <w:bottom w:w="0" w:type="dxa"/>
            <w:right w:w="108" w:type="dxa"/>
          </w:tblCellMar>
        </w:tblPrEx>
        <w:tc>
          <w:tcPr>
            <w:tcW w:w="8848" w:type="dxa"/>
            <w:gridSpan w:val="14"/>
            <w:vAlign w:val="center"/>
          </w:tcPr>
          <w:p w14:paraId="3EE0CD1A">
            <w:pPr>
              <w:jc w:val="center"/>
            </w:pPr>
            <w:r>
              <w:rPr>
                <w:rFonts w:ascii="宋体" w:hAnsi="宋体" w:eastAsia="宋体"/>
                <w:sz w:val="24"/>
              </w:rPr>
              <w:t>项目支出绩效自评表</w:t>
            </w:r>
          </w:p>
        </w:tc>
      </w:tr>
      <w:tr w14:paraId="2AE424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4F187B">
            <w:pPr>
              <w:jc w:val="center"/>
            </w:pPr>
            <w:r>
              <w:rPr>
                <w:rFonts w:ascii="宋体" w:hAnsi="宋体" w:eastAsia="宋体"/>
                <w:sz w:val="24"/>
              </w:rPr>
              <w:t>(2024年度)</w:t>
            </w:r>
          </w:p>
        </w:tc>
      </w:tr>
      <w:tr w14:paraId="15B1B1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D9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AB0ACF">
            <w:pPr>
              <w:jc w:val="center"/>
            </w:pPr>
            <w:r>
              <w:rPr>
                <w:rFonts w:ascii="宋体" w:hAnsi="宋体" w:eastAsia="宋体"/>
                <w:sz w:val="16"/>
              </w:rPr>
              <w:t>机关运行补助项目【单位自有资金】</w:t>
            </w:r>
          </w:p>
        </w:tc>
      </w:tr>
      <w:tr w14:paraId="42566D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77B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6ED13E">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39C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587D36">
            <w:pPr>
              <w:jc w:val="center"/>
            </w:pPr>
            <w:r>
              <w:rPr>
                <w:rFonts w:ascii="宋体" w:hAnsi="宋体" w:eastAsia="宋体"/>
                <w:sz w:val="16"/>
              </w:rPr>
              <w:t>昌吉回族自治州机关事务管理局</w:t>
            </w:r>
          </w:p>
        </w:tc>
      </w:tr>
      <w:tr w14:paraId="0C2D94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6553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96B3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CF2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743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C93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BC93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646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4A3A4">
            <w:pPr>
              <w:jc w:val="center"/>
            </w:pPr>
            <w:r>
              <w:rPr>
                <w:rFonts w:ascii="宋体" w:hAnsi="宋体" w:eastAsia="宋体"/>
                <w:sz w:val="16"/>
              </w:rPr>
              <w:t>得分</w:t>
            </w:r>
          </w:p>
        </w:tc>
      </w:tr>
      <w:tr w14:paraId="69A806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2D6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E61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2E601">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A2532">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71D4D">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C61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8E7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66D3F">
            <w:pPr>
              <w:jc w:val="center"/>
            </w:pPr>
            <w:r>
              <w:rPr>
                <w:rFonts w:ascii="宋体" w:hAnsi="宋体" w:eastAsia="宋体"/>
                <w:sz w:val="16"/>
              </w:rPr>
              <w:t>10.00</w:t>
            </w:r>
          </w:p>
        </w:tc>
      </w:tr>
      <w:tr w14:paraId="585E40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E1A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6E6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246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D1C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A4D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0A0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FAD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FA94B">
            <w:pPr>
              <w:jc w:val="center"/>
            </w:pPr>
            <w:r>
              <w:rPr>
                <w:rFonts w:ascii="宋体" w:hAnsi="宋体" w:eastAsia="宋体"/>
                <w:sz w:val="16"/>
              </w:rPr>
              <w:t>—</w:t>
            </w:r>
          </w:p>
        </w:tc>
      </w:tr>
      <w:tr w14:paraId="201FF8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324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FECD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212B5">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BDE2E">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DD5EC">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3A9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56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1628A">
            <w:pPr>
              <w:jc w:val="center"/>
            </w:pPr>
            <w:r>
              <w:rPr>
                <w:rFonts w:ascii="宋体" w:hAnsi="宋体" w:eastAsia="宋体"/>
                <w:sz w:val="16"/>
              </w:rPr>
              <w:t>—</w:t>
            </w:r>
          </w:p>
        </w:tc>
      </w:tr>
      <w:tr w14:paraId="590675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8711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4285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064322">
            <w:pPr>
              <w:jc w:val="center"/>
            </w:pPr>
            <w:r>
              <w:rPr>
                <w:rFonts w:ascii="宋体" w:hAnsi="宋体" w:eastAsia="宋体"/>
                <w:sz w:val="16"/>
              </w:rPr>
              <w:t>实际完成情况</w:t>
            </w:r>
          </w:p>
        </w:tc>
      </w:tr>
      <w:tr w14:paraId="0971AD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187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35E41B">
            <w:pPr>
              <w:jc w:val="both"/>
            </w:pPr>
            <w:r>
              <w:rPr>
                <w:rFonts w:ascii="宋体" w:hAnsi="宋体" w:eastAsia="宋体"/>
                <w:sz w:val="16"/>
              </w:rPr>
              <w:t>机关运行补助项目按照《机关事务管理条例》《新疆维吾尔自治区机关事务管理“十四五”规划》等文件要求包括资产管理、服务管理等职能内容，“编制本单位的“十四五”规划”为推进全州机关事务管理工作，保障单位正常运转，提高单位结算效率，为单位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A375D8">
            <w:pPr>
              <w:jc w:val="both"/>
            </w:pPr>
            <w:r>
              <w:rPr>
                <w:rFonts w:hint="eastAsia" w:ascii="宋体" w:hAnsi="宋体"/>
                <w:sz w:val="16"/>
                <w:lang w:eastAsia="zh-CN"/>
              </w:rPr>
              <w:t>截至</w:t>
            </w:r>
            <w:r>
              <w:rPr>
                <w:rFonts w:ascii="宋体" w:hAnsi="宋体" w:eastAsia="宋体"/>
                <w:sz w:val="16"/>
              </w:rPr>
              <w:t>12月31日，</w:t>
            </w:r>
            <w:r>
              <w:rPr>
                <w:rFonts w:hint="eastAsia" w:ascii="宋体" w:hAnsi="宋体"/>
                <w:sz w:val="16"/>
                <w:lang w:eastAsia="zh-CN"/>
              </w:rPr>
              <w:t>本单位</w:t>
            </w:r>
            <w:r>
              <w:rPr>
                <w:rFonts w:ascii="宋体" w:hAnsi="宋体" w:eastAsia="宋体"/>
                <w:sz w:val="16"/>
              </w:rPr>
              <w:t>机关运行补助项目按照《机关事务管理条例》《新疆维吾尔自治区机关事务管理“十四五”规划》等文件要求包括资产管理、服务管理等职能内容，编制了本单位的“十四五”规划，完成机关事务宣传服务1次，进行了采购委托业务服务1次，政府采购率完成100%，2024年12月10日前完成编制规划，支付1.8万元委托业务费，该项目的实施，有效</w:t>
            </w:r>
            <w:r>
              <w:rPr>
                <w:rFonts w:hint="eastAsia" w:ascii="宋体" w:hAnsi="宋体"/>
                <w:sz w:val="16"/>
                <w:lang w:eastAsia="zh-CN"/>
              </w:rPr>
              <w:t>提高</w:t>
            </w:r>
            <w:r>
              <w:rPr>
                <w:rFonts w:ascii="宋体" w:hAnsi="宋体" w:eastAsia="宋体"/>
                <w:sz w:val="16"/>
              </w:rPr>
              <w:t>单位服务质量，委托单位的满意率达到100%。</w:t>
            </w:r>
          </w:p>
        </w:tc>
      </w:tr>
      <w:tr w14:paraId="59225C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F6D2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27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EF8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77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8AE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EEA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149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2DB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F9F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E54F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441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80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46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50A4">
            <w:pPr>
              <w:jc w:val="center"/>
            </w:pPr>
            <w:r>
              <w:rPr>
                <w:rFonts w:ascii="宋体" w:hAnsi="宋体" w:eastAsia="宋体"/>
                <w:sz w:val="16"/>
              </w:rPr>
              <w:t>偏差原因分析及改进措施</w:t>
            </w:r>
          </w:p>
        </w:tc>
      </w:tr>
      <w:tr w14:paraId="562D5E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92B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DEF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D1A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9965F">
            <w:pPr>
              <w:jc w:val="center"/>
            </w:pPr>
            <w:r>
              <w:rPr>
                <w:rFonts w:ascii="宋体" w:hAnsi="宋体" w:eastAsia="宋体"/>
                <w:sz w:val="16"/>
              </w:rPr>
              <w:t>机关事务宣传服务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EC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FB0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1D92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6B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57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662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571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C8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C8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DB5A">
            <w:pPr>
              <w:jc w:val="center"/>
            </w:pPr>
          </w:p>
        </w:tc>
      </w:tr>
      <w:tr w14:paraId="23878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568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0D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27D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25D8B">
            <w:pPr>
              <w:jc w:val="center"/>
            </w:pPr>
            <w:r>
              <w:rPr>
                <w:rFonts w:ascii="宋体" w:hAnsi="宋体" w:eastAsia="宋体"/>
                <w:sz w:val="16"/>
              </w:rPr>
              <w:t>采购委托业务服务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0D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B17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5B4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CC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60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35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56BF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CF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34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88B4">
            <w:pPr>
              <w:jc w:val="center"/>
            </w:pPr>
          </w:p>
        </w:tc>
      </w:tr>
      <w:tr w14:paraId="0D1E7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1D7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31C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D8D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AE2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0D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7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CC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9B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7B2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7A2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A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91E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08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D0F0">
            <w:pPr>
              <w:jc w:val="center"/>
            </w:pPr>
          </w:p>
        </w:tc>
      </w:tr>
      <w:tr w14:paraId="50311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C03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BFF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47C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681C">
            <w:pPr>
              <w:jc w:val="center"/>
            </w:pPr>
            <w:r>
              <w:rPr>
                <w:rFonts w:ascii="宋体" w:hAnsi="宋体" w:eastAsia="宋体"/>
                <w:sz w:val="16"/>
              </w:rPr>
              <w:t>规划编制完成时效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1C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255C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C87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4A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AF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34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47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0295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AE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EEE6">
            <w:pPr>
              <w:jc w:val="center"/>
            </w:pPr>
          </w:p>
        </w:tc>
      </w:tr>
      <w:tr w14:paraId="6C535F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E2E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E40D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833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73B0">
            <w:pPr>
              <w:jc w:val="center"/>
            </w:pPr>
            <w:r>
              <w:rPr>
                <w:rFonts w:ascii="宋体" w:hAnsi="宋体" w:eastAsia="宋体"/>
                <w:sz w:val="16"/>
              </w:rPr>
              <w:t>委托业务服务成本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06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2722">
            <w:pPr>
              <w:jc w:val="center"/>
            </w:pPr>
            <w:r>
              <w:rPr>
                <w:rFonts w:ascii="宋体" w:hAnsi="宋体" w:eastAsia="宋体"/>
                <w:sz w:val="16"/>
              </w:rPr>
              <w:t>&lt;=1.80万元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6823">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EE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C5A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32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1E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8C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7E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0E13E">
            <w:pPr>
              <w:jc w:val="center"/>
            </w:pPr>
          </w:p>
        </w:tc>
      </w:tr>
      <w:tr w14:paraId="36D14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25F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4F2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E13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4F92">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52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1722">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09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A3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7F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22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BC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6C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A1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3206">
            <w:pPr>
              <w:jc w:val="center"/>
            </w:pPr>
          </w:p>
        </w:tc>
      </w:tr>
      <w:tr w14:paraId="137F6B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4F8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77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F70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07D4">
            <w:pPr>
              <w:jc w:val="center"/>
            </w:pPr>
            <w:r>
              <w:rPr>
                <w:rFonts w:ascii="宋体" w:hAnsi="宋体" w:eastAsia="宋体"/>
                <w:sz w:val="16"/>
              </w:rPr>
              <w:t>单位服务质量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D6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6236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931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BC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19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4FE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24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402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F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3342E">
            <w:pPr>
              <w:jc w:val="center"/>
            </w:pPr>
          </w:p>
        </w:tc>
      </w:tr>
      <w:tr w14:paraId="6A3699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33F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52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BE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41C5">
            <w:pPr>
              <w:jc w:val="center"/>
            </w:pPr>
            <w:r>
              <w:rPr>
                <w:rFonts w:ascii="宋体" w:hAnsi="宋体" w:eastAsia="宋体"/>
                <w:sz w:val="16"/>
              </w:rPr>
              <w:t>委托单位的满意率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F21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723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7DB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7789">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34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17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D7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8918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5D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BD59">
            <w:pPr>
              <w:jc w:val="center"/>
            </w:pPr>
          </w:p>
        </w:tc>
      </w:tr>
      <w:tr w14:paraId="02491F5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ED83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C1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487D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6FD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2AD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AFF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AC1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6DA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354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368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AA736"/>
        </w:tc>
      </w:tr>
    </w:tbl>
    <w:p w14:paraId="13C5FECF">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20A7B937">
        <w:tblPrEx>
          <w:tblCellMar>
            <w:top w:w="0" w:type="dxa"/>
            <w:left w:w="108" w:type="dxa"/>
            <w:bottom w:w="0" w:type="dxa"/>
            <w:right w:w="108" w:type="dxa"/>
          </w:tblCellMar>
        </w:tblPrEx>
        <w:tc>
          <w:tcPr>
            <w:tcW w:w="8848" w:type="dxa"/>
            <w:gridSpan w:val="14"/>
            <w:vAlign w:val="center"/>
          </w:tcPr>
          <w:p w14:paraId="5BE563A4">
            <w:pPr>
              <w:jc w:val="center"/>
            </w:pPr>
            <w:r>
              <w:rPr>
                <w:rFonts w:ascii="宋体" w:hAnsi="宋体" w:eastAsia="宋体"/>
                <w:sz w:val="24"/>
              </w:rPr>
              <w:t>项目支出绩效自评表</w:t>
            </w:r>
          </w:p>
        </w:tc>
      </w:tr>
      <w:tr w14:paraId="7DB71E5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8EA75BD">
            <w:pPr>
              <w:jc w:val="center"/>
            </w:pPr>
            <w:r>
              <w:rPr>
                <w:rFonts w:ascii="宋体" w:hAnsi="宋体" w:eastAsia="宋体"/>
                <w:sz w:val="24"/>
              </w:rPr>
              <w:t>(2024年度)</w:t>
            </w:r>
          </w:p>
        </w:tc>
      </w:tr>
      <w:tr w14:paraId="09EF1B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24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CE775F">
            <w:pPr>
              <w:jc w:val="center"/>
            </w:pPr>
            <w:r>
              <w:rPr>
                <w:rFonts w:ascii="宋体" w:hAnsi="宋体" w:eastAsia="宋体"/>
                <w:sz w:val="16"/>
              </w:rPr>
              <w:t>集中统一管理车辆运行项目</w:t>
            </w:r>
          </w:p>
        </w:tc>
      </w:tr>
      <w:tr w14:paraId="71AF46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E5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6E5DB">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944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FA45BB">
            <w:pPr>
              <w:jc w:val="center"/>
            </w:pPr>
            <w:r>
              <w:rPr>
                <w:rFonts w:ascii="宋体" w:hAnsi="宋体" w:eastAsia="宋体"/>
                <w:sz w:val="16"/>
              </w:rPr>
              <w:t>昌吉回族自治州机关事务管理局</w:t>
            </w:r>
          </w:p>
        </w:tc>
      </w:tr>
      <w:tr w14:paraId="7D860D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8D3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8350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05B0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D2ED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E862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3CF2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31F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AD416">
            <w:pPr>
              <w:jc w:val="center"/>
            </w:pPr>
            <w:r>
              <w:rPr>
                <w:rFonts w:ascii="宋体" w:hAnsi="宋体" w:eastAsia="宋体"/>
                <w:sz w:val="16"/>
              </w:rPr>
              <w:t>得分</w:t>
            </w:r>
          </w:p>
        </w:tc>
      </w:tr>
      <w:tr w14:paraId="5DB3F7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C27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754B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6A2CF">
            <w:pPr>
              <w:jc w:val="center"/>
            </w:pPr>
            <w:r>
              <w:rPr>
                <w:rFonts w:ascii="宋体" w:hAnsi="宋体" w:eastAsia="宋体"/>
                <w:sz w:val="16"/>
              </w:rPr>
              <w:t>114.50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2CC49">
            <w:pPr>
              <w:jc w:val="center"/>
            </w:pPr>
            <w:r>
              <w:rPr>
                <w:rFonts w:ascii="宋体" w:hAnsi="宋体" w:eastAsia="宋体"/>
                <w:sz w:val="16"/>
              </w:rPr>
              <w:t>113.94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BD135">
            <w:pPr>
              <w:jc w:val="center"/>
            </w:pPr>
            <w:r>
              <w:rPr>
                <w:rFonts w:ascii="宋体" w:hAnsi="宋体" w:eastAsia="宋体"/>
                <w:sz w:val="16"/>
              </w:rPr>
              <w:t>113.94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1608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4C2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A25D">
            <w:pPr>
              <w:jc w:val="center"/>
            </w:pPr>
            <w:r>
              <w:rPr>
                <w:rFonts w:ascii="宋体" w:hAnsi="宋体" w:eastAsia="宋体"/>
                <w:sz w:val="16"/>
              </w:rPr>
              <w:t>10.00</w:t>
            </w:r>
          </w:p>
        </w:tc>
      </w:tr>
      <w:tr w14:paraId="4C160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7DA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987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DD915">
            <w:pPr>
              <w:jc w:val="center"/>
            </w:pPr>
            <w:r>
              <w:rPr>
                <w:rFonts w:ascii="宋体" w:hAnsi="宋体" w:eastAsia="宋体"/>
                <w:sz w:val="16"/>
              </w:rPr>
              <w:t>114.50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FC126">
            <w:pPr>
              <w:jc w:val="center"/>
            </w:pPr>
            <w:r>
              <w:rPr>
                <w:rFonts w:ascii="宋体" w:hAnsi="宋体" w:eastAsia="宋体"/>
                <w:sz w:val="16"/>
              </w:rPr>
              <w:t>113.94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064F2">
            <w:pPr>
              <w:jc w:val="center"/>
            </w:pPr>
            <w:r>
              <w:rPr>
                <w:rFonts w:ascii="宋体" w:hAnsi="宋体" w:eastAsia="宋体"/>
                <w:sz w:val="16"/>
              </w:rPr>
              <w:t>113.94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38F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F91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F79F">
            <w:pPr>
              <w:jc w:val="center"/>
            </w:pPr>
            <w:r>
              <w:rPr>
                <w:rFonts w:ascii="宋体" w:hAnsi="宋体" w:eastAsia="宋体"/>
                <w:sz w:val="16"/>
              </w:rPr>
              <w:t>—</w:t>
            </w:r>
          </w:p>
        </w:tc>
      </w:tr>
      <w:tr w14:paraId="4C638B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6F9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0B56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C98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21C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928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1E1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F6F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8817">
            <w:pPr>
              <w:jc w:val="center"/>
            </w:pPr>
            <w:r>
              <w:rPr>
                <w:rFonts w:ascii="宋体" w:hAnsi="宋体" w:eastAsia="宋体"/>
                <w:sz w:val="16"/>
              </w:rPr>
              <w:t>—</w:t>
            </w:r>
          </w:p>
        </w:tc>
      </w:tr>
      <w:tr w14:paraId="5FE949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1BBB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B9F8E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4499FA">
            <w:pPr>
              <w:jc w:val="center"/>
            </w:pPr>
            <w:r>
              <w:rPr>
                <w:rFonts w:ascii="宋体" w:hAnsi="宋体" w:eastAsia="宋体"/>
                <w:sz w:val="16"/>
              </w:rPr>
              <w:t>实际完成情况</w:t>
            </w:r>
          </w:p>
        </w:tc>
      </w:tr>
      <w:tr w14:paraId="4BE91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0C7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AA343E">
            <w:pPr>
              <w:jc w:val="both"/>
            </w:pPr>
            <w:r>
              <w:rPr>
                <w:rFonts w:ascii="宋体" w:hAnsi="宋体" w:eastAsia="宋体"/>
                <w:sz w:val="16"/>
              </w:rPr>
              <w:t>主要用于解决收回1辆车的日常运行费用、保险费用、维修保养费用、公务用车宣传及保障服务公务用车的购置工作。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C807AD">
            <w:pPr>
              <w:jc w:val="both"/>
            </w:pPr>
            <w:r>
              <w:rPr>
                <w:rFonts w:ascii="宋体" w:hAnsi="宋体" w:eastAsia="宋体"/>
                <w:sz w:val="16"/>
              </w:rPr>
              <w:t>截</w:t>
            </w:r>
            <w:r>
              <w:rPr>
                <w:rFonts w:hint="eastAsia" w:ascii="宋体" w:hAnsi="宋体"/>
                <w:sz w:val="16"/>
                <w:lang w:val="en-US" w:eastAsia="zh-CN"/>
              </w:rPr>
              <w:t>至</w:t>
            </w:r>
            <w:r>
              <w:rPr>
                <w:rFonts w:ascii="宋体" w:hAnsi="宋体" w:eastAsia="宋体"/>
                <w:sz w:val="16"/>
              </w:rPr>
              <w:t>12月31日，按期公务用车购置1辆，按期完成公务用车培训宣传1次，完成全州公务用车统计报告1次，用于解决收回辆车的日常运行费用、保险费用、维修保养工作</w:t>
            </w:r>
            <w:r>
              <w:rPr>
                <w:rFonts w:ascii="宋体" w:hAnsi="宋体" w:eastAsia="宋体"/>
                <w:sz w:val="16"/>
              </w:rPr>
              <w:tab/>
            </w:r>
            <w:r>
              <w:rPr>
                <w:rFonts w:ascii="宋体" w:hAnsi="宋体" w:eastAsia="宋体"/>
                <w:sz w:val="16"/>
              </w:rPr>
              <w:t>车辆维修合格率100%，有效</w:t>
            </w:r>
            <w:r>
              <w:rPr>
                <w:rFonts w:hint="eastAsia" w:ascii="宋体" w:hAnsi="宋体"/>
                <w:sz w:val="16"/>
                <w:lang w:eastAsia="zh-CN"/>
              </w:rPr>
              <w:t>地</w:t>
            </w:r>
            <w:r>
              <w:rPr>
                <w:rFonts w:ascii="宋体" w:hAnsi="宋体" w:eastAsia="宋体"/>
                <w:sz w:val="16"/>
              </w:rPr>
              <w:t>提高公务用车管理水平。</w:t>
            </w:r>
          </w:p>
        </w:tc>
      </w:tr>
      <w:tr w14:paraId="7F3D8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2DE5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22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C22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C7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D5A1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ADD7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7F8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A91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E48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32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65BB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6DF5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FCD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DB7F">
            <w:pPr>
              <w:jc w:val="center"/>
            </w:pPr>
            <w:r>
              <w:rPr>
                <w:rFonts w:ascii="宋体" w:hAnsi="宋体" w:eastAsia="宋体"/>
                <w:sz w:val="16"/>
              </w:rPr>
              <w:t>偏差原因分析及改进措施</w:t>
            </w:r>
          </w:p>
        </w:tc>
      </w:tr>
      <w:tr w14:paraId="18F1E6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39B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6D1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59A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6C02">
            <w:pPr>
              <w:jc w:val="center"/>
            </w:pPr>
            <w:r>
              <w:rPr>
                <w:rFonts w:ascii="宋体" w:hAnsi="宋体" w:eastAsia="宋体"/>
                <w:sz w:val="16"/>
              </w:rPr>
              <w:t>公务用车购置数量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D0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9C79">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06BF">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BA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914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27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47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4FB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35B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B5D43">
            <w:pPr>
              <w:jc w:val="center"/>
            </w:pPr>
          </w:p>
        </w:tc>
      </w:tr>
      <w:tr w14:paraId="622EF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C4C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672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ED2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A463">
            <w:pPr>
              <w:jc w:val="center"/>
            </w:pPr>
            <w:r>
              <w:rPr>
                <w:rFonts w:ascii="宋体" w:hAnsi="宋体" w:eastAsia="宋体"/>
                <w:sz w:val="16"/>
              </w:rPr>
              <w:t>公务用车培训宣传完成数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5F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CF4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A0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F5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12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BC3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16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4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7D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9776">
            <w:pPr>
              <w:jc w:val="center"/>
            </w:pPr>
          </w:p>
        </w:tc>
      </w:tr>
      <w:tr w14:paraId="01C551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FF9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61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89D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8F04">
            <w:pPr>
              <w:jc w:val="center"/>
            </w:pPr>
            <w:r>
              <w:rPr>
                <w:rFonts w:ascii="宋体" w:hAnsi="宋体" w:eastAsia="宋体"/>
                <w:sz w:val="16"/>
              </w:rPr>
              <w:t>全州公务用车统计报告工作完成数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D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C2E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C4B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85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2E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D7D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D64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27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4BD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45EC">
            <w:pPr>
              <w:jc w:val="center"/>
            </w:pPr>
          </w:p>
        </w:tc>
      </w:tr>
      <w:tr w14:paraId="4B9B6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BA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A90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32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323E">
            <w:pPr>
              <w:jc w:val="center"/>
            </w:pPr>
            <w:r>
              <w:rPr>
                <w:rFonts w:ascii="宋体" w:hAnsi="宋体" w:eastAsia="宋体"/>
                <w:sz w:val="16"/>
              </w:rPr>
              <w:t>车辆维修合格率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FA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99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A53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31F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F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916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E2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07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2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53B7">
            <w:pPr>
              <w:jc w:val="center"/>
            </w:pPr>
          </w:p>
        </w:tc>
      </w:tr>
      <w:tr w14:paraId="219E77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0E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9A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CF2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5156">
            <w:pPr>
              <w:jc w:val="center"/>
            </w:pPr>
            <w:r>
              <w:rPr>
                <w:rFonts w:ascii="宋体" w:hAnsi="宋体" w:eastAsia="宋体"/>
                <w:sz w:val="16"/>
              </w:rPr>
              <w:t>车辆购置完成时间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42A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D3D5">
            <w:pPr>
              <w:jc w:val="center"/>
            </w:pPr>
            <w:r>
              <w:rPr>
                <w:rFonts w:ascii="宋体" w:hAnsi="宋体" w:eastAsia="宋体"/>
                <w:sz w:val="16"/>
              </w:rPr>
              <w:t>2024年10月1日前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7C173">
            <w:pPr>
              <w:jc w:val="center"/>
            </w:pPr>
            <w:r>
              <w:rPr>
                <w:rFonts w:ascii="宋体" w:hAnsi="宋体" w:eastAsia="宋体"/>
                <w:sz w:val="16"/>
              </w:rPr>
              <w:t>=2024年10月1日前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AF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F8D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EDB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39E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8EFF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A9A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0A93">
            <w:pPr>
              <w:jc w:val="center"/>
            </w:pPr>
          </w:p>
        </w:tc>
      </w:tr>
      <w:tr w14:paraId="35810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F77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B175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B58A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219C4">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B4D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BE8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360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6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BD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D52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FB5D">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9A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2E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B5DD">
            <w:pPr>
              <w:jc w:val="center"/>
            </w:pPr>
          </w:p>
        </w:tc>
      </w:tr>
      <w:tr w14:paraId="46B55A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518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DFF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74B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12A7">
            <w:pPr>
              <w:jc w:val="center"/>
            </w:pPr>
            <w:r>
              <w:rPr>
                <w:rFonts w:ascii="宋体" w:hAnsi="宋体" w:eastAsia="宋体"/>
                <w:sz w:val="16"/>
              </w:rPr>
              <w:t>车辆运行管理费用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04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FA55D">
            <w:pPr>
              <w:jc w:val="center"/>
            </w:pPr>
            <w:r>
              <w:rPr>
                <w:rFonts w:ascii="宋体" w:hAnsi="宋体" w:eastAsia="宋体"/>
                <w:sz w:val="16"/>
              </w:rPr>
              <w:t>&lt;=113.94万元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6BEF">
            <w:pPr>
              <w:jc w:val="center"/>
            </w:pPr>
            <w:r>
              <w:rPr>
                <w:rFonts w:ascii="宋体" w:hAnsi="宋体" w:eastAsia="宋体"/>
                <w:sz w:val="16"/>
              </w:rPr>
              <w:t>=113.94万元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B0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B2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43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33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30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0A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6E121">
            <w:pPr>
              <w:jc w:val="center"/>
            </w:pPr>
          </w:p>
        </w:tc>
      </w:tr>
      <w:tr w14:paraId="1A102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8AE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B5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430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DBC3">
            <w:pPr>
              <w:jc w:val="center"/>
            </w:pPr>
            <w:r>
              <w:rPr>
                <w:rFonts w:ascii="宋体" w:hAnsi="宋体" w:eastAsia="宋体"/>
                <w:sz w:val="16"/>
              </w:rPr>
              <w:t>有效提高公务用车管理水平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AB37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0B6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073D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7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215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F2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1E4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6BD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BB3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6124F">
            <w:pPr>
              <w:jc w:val="center"/>
            </w:pPr>
          </w:p>
        </w:tc>
      </w:tr>
      <w:tr w14:paraId="1755FC5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7A1E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E2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047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ADC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7C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C2A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462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CA55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F4C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E8FC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F7887A"/>
        </w:tc>
      </w:tr>
    </w:tbl>
    <w:p w14:paraId="6DC16C1A">
      <w:r>
        <w:br w:type="page"/>
      </w:r>
    </w:p>
    <w:p w14:paraId="04123954">
      <w:pPr>
        <w:spacing w:line="640" w:lineRule="exact"/>
        <w:ind w:firstLine="640"/>
        <w:jc w:val="both"/>
        <w:outlineLvl w:val="2"/>
      </w:pPr>
      <w:r>
        <w:rPr>
          <w:rFonts w:ascii="黑体" w:hAnsi="黑体" w:eastAsia="黑体"/>
          <w:sz w:val="32"/>
        </w:rPr>
        <w:t>十二、其他需说明的事项</w:t>
      </w:r>
    </w:p>
    <w:p w14:paraId="28E032BE">
      <w:pPr>
        <w:spacing w:line="580" w:lineRule="exact"/>
        <w:ind w:firstLine="640"/>
        <w:jc w:val="both"/>
      </w:pPr>
      <w:r>
        <w:rPr>
          <w:rFonts w:ascii="仿宋_GB2312" w:hAnsi="仿宋_GB2312" w:eastAsia="仿宋_GB2312"/>
          <w:b w:val="0"/>
          <w:sz w:val="32"/>
        </w:rPr>
        <w:t>本单位无其他需说明的事项。</w:t>
      </w:r>
    </w:p>
    <w:p w14:paraId="075B2188">
      <w:r>
        <w:br w:type="page"/>
      </w:r>
    </w:p>
    <w:p w14:paraId="623CA998">
      <w:pPr>
        <w:spacing w:line="240" w:lineRule="auto"/>
        <w:jc w:val="center"/>
        <w:outlineLvl w:val="1"/>
      </w:pPr>
      <w:r>
        <w:rPr>
          <w:rFonts w:ascii="黑体" w:hAnsi="黑体" w:eastAsia="黑体"/>
          <w:sz w:val="32"/>
        </w:rPr>
        <w:t>第三部分 专业名词解释</w:t>
      </w:r>
    </w:p>
    <w:p w14:paraId="45D04EA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220D28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729719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FF5E15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2A3EE2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556909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11585C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B7B239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BADA98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A78CB4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C5DC1E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DA28B6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97B582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A8BBD0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80F1B77">
      <w:r>
        <w:br w:type="page"/>
      </w:r>
    </w:p>
    <w:p w14:paraId="3FF8BAC4">
      <w:pPr>
        <w:spacing w:line="240" w:lineRule="auto"/>
        <w:jc w:val="center"/>
        <w:outlineLvl w:val="1"/>
      </w:pPr>
      <w:r>
        <w:rPr>
          <w:rFonts w:ascii="黑体" w:hAnsi="黑体" w:eastAsia="黑体"/>
          <w:sz w:val="32"/>
        </w:rPr>
        <w:t>第四部分 部门决算报表（见附表）</w:t>
      </w:r>
    </w:p>
    <w:p w14:paraId="4BCAAF8F">
      <w:pPr>
        <w:spacing w:line="240" w:lineRule="auto"/>
        <w:ind w:firstLine="640"/>
        <w:jc w:val="both"/>
      </w:pPr>
      <w:r>
        <w:rPr>
          <w:rFonts w:ascii="仿宋_GB2312" w:hAnsi="仿宋_GB2312" w:eastAsia="仿宋_GB2312"/>
          <w:b w:val="0"/>
          <w:sz w:val="32"/>
        </w:rPr>
        <w:t>一、《收入支出决算总表》</w:t>
      </w:r>
    </w:p>
    <w:p w14:paraId="05F66CB1">
      <w:pPr>
        <w:spacing w:line="240" w:lineRule="auto"/>
        <w:ind w:firstLine="640"/>
        <w:jc w:val="both"/>
      </w:pPr>
      <w:r>
        <w:rPr>
          <w:rFonts w:ascii="仿宋_GB2312" w:hAnsi="仿宋_GB2312" w:eastAsia="仿宋_GB2312"/>
          <w:b w:val="0"/>
          <w:sz w:val="32"/>
        </w:rPr>
        <w:t>二、《收入决算表》</w:t>
      </w:r>
    </w:p>
    <w:p w14:paraId="543FB5B9">
      <w:pPr>
        <w:spacing w:line="240" w:lineRule="auto"/>
        <w:ind w:firstLine="640"/>
        <w:jc w:val="both"/>
      </w:pPr>
      <w:r>
        <w:rPr>
          <w:rFonts w:ascii="仿宋_GB2312" w:hAnsi="仿宋_GB2312" w:eastAsia="仿宋_GB2312"/>
          <w:b w:val="0"/>
          <w:sz w:val="32"/>
        </w:rPr>
        <w:t>三、《支出决算表》</w:t>
      </w:r>
    </w:p>
    <w:p w14:paraId="0EDC9D43">
      <w:pPr>
        <w:spacing w:line="240" w:lineRule="auto"/>
        <w:ind w:firstLine="640"/>
        <w:jc w:val="both"/>
      </w:pPr>
      <w:r>
        <w:rPr>
          <w:rFonts w:ascii="仿宋_GB2312" w:hAnsi="仿宋_GB2312" w:eastAsia="仿宋_GB2312"/>
          <w:b w:val="0"/>
          <w:sz w:val="32"/>
        </w:rPr>
        <w:t>四、《财政拨款收入支出决算总表》</w:t>
      </w:r>
    </w:p>
    <w:p w14:paraId="6AD7F44F">
      <w:pPr>
        <w:spacing w:line="240" w:lineRule="auto"/>
        <w:ind w:firstLine="640"/>
        <w:jc w:val="both"/>
      </w:pPr>
      <w:r>
        <w:rPr>
          <w:rFonts w:ascii="仿宋_GB2312" w:hAnsi="仿宋_GB2312" w:eastAsia="仿宋_GB2312"/>
          <w:b w:val="0"/>
          <w:sz w:val="32"/>
        </w:rPr>
        <w:t>五、《一般公共预算财政拨款支出决算表》</w:t>
      </w:r>
    </w:p>
    <w:p w14:paraId="37370BE0">
      <w:pPr>
        <w:spacing w:line="240" w:lineRule="auto"/>
        <w:ind w:firstLine="640"/>
        <w:jc w:val="both"/>
      </w:pPr>
      <w:r>
        <w:rPr>
          <w:rFonts w:ascii="仿宋_GB2312" w:hAnsi="仿宋_GB2312" w:eastAsia="仿宋_GB2312"/>
          <w:b w:val="0"/>
          <w:sz w:val="32"/>
        </w:rPr>
        <w:t>六、《一般公共预算财政拨款基本支出决算表》</w:t>
      </w:r>
    </w:p>
    <w:p w14:paraId="1E2D0E7D">
      <w:pPr>
        <w:spacing w:line="240" w:lineRule="auto"/>
        <w:ind w:firstLine="640"/>
        <w:jc w:val="both"/>
      </w:pPr>
      <w:r>
        <w:rPr>
          <w:rFonts w:ascii="仿宋_GB2312" w:hAnsi="仿宋_GB2312" w:eastAsia="仿宋_GB2312"/>
          <w:b w:val="0"/>
          <w:sz w:val="32"/>
        </w:rPr>
        <w:t>七、《政府性基金预算财政拨款收入支出决算表》</w:t>
      </w:r>
    </w:p>
    <w:p w14:paraId="749445F4">
      <w:pPr>
        <w:spacing w:line="240" w:lineRule="auto"/>
        <w:ind w:firstLine="640"/>
        <w:jc w:val="both"/>
      </w:pPr>
      <w:r>
        <w:rPr>
          <w:rFonts w:ascii="仿宋_GB2312" w:hAnsi="仿宋_GB2312" w:eastAsia="仿宋_GB2312"/>
          <w:b w:val="0"/>
          <w:sz w:val="32"/>
        </w:rPr>
        <w:t>八、《国有资本经营预算财政拨款收入支出决算表》</w:t>
      </w:r>
    </w:p>
    <w:p w14:paraId="699D3482">
      <w:pPr>
        <w:spacing w:line="240" w:lineRule="auto"/>
        <w:ind w:firstLine="640"/>
        <w:jc w:val="both"/>
      </w:pPr>
      <w:r>
        <w:rPr>
          <w:rFonts w:ascii="仿宋_GB2312" w:hAnsi="仿宋_GB2312" w:eastAsia="仿宋_GB2312"/>
          <w:b w:val="0"/>
          <w:sz w:val="32"/>
        </w:rPr>
        <w:t>九、《财政拨款“三公”经费支出决算表》</w:t>
      </w:r>
    </w:p>
    <w:p w14:paraId="68BA4A0A">
      <w:pPr>
        <w:spacing w:line="240" w:lineRule="auto"/>
        <w:ind w:firstLine="640"/>
        <w:jc w:val="both"/>
      </w:pPr>
    </w:p>
    <w:p w14:paraId="4E89AF9A">
      <w:pPr>
        <w:spacing w:line="240" w:lineRule="auto"/>
        <w:ind w:firstLine="640"/>
        <w:jc w:val="both"/>
      </w:pPr>
    </w:p>
    <w:p w14:paraId="457C4D74">
      <w:pPr>
        <w:spacing w:line="240" w:lineRule="auto"/>
        <w:ind w:firstLine="640"/>
        <w:jc w:val="both"/>
      </w:pPr>
    </w:p>
    <w:p w14:paraId="4D8B3DF2">
      <w:pPr>
        <w:spacing w:line="240" w:lineRule="auto"/>
        <w:ind w:firstLine="640"/>
        <w:jc w:val="both"/>
      </w:pPr>
    </w:p>
    <w:p w14:paraId="507B010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DE9895-7240-4061-91B6-5FF28430E6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0EB34CC-286D-4919-B6DD-46950B386841}"/>
  </w:font>
  <w:font w:name="仿宋_GB2312">
    <w:altName w:val="仿宋"/>
    <w:panose1 w:val="02010609030101010101"/>
    <w:charset w:val="86"/>
    <w:family w:val="modern"/>
    <w:pitch w:val="default"/>
    <w:sig w:usb0="00000000" w:usb1="00000000" w:usb2="00000000" w:usb3="00000000" w:csb0="00040000" w:csb1="00000000"/>
    <w:embedRegular r:id="rId3" w:fontKey="{E40584C6-B68E-4D74-92DF-5951CE56E51C}"/>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BE458743-3EBC-4180-92E6-F6DBC9E8449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5B490E"/>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852FD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5496</Words>
  <Characters>6327</Characters>
  <Lines>0</Lines>
  <Paragraphs>0</Paragraphs>
  <TotalTime>6</TotalTime>
  <ScaleCrop>false</ScaleCrop>
  <LinksUpToDate>false</LinksUpToDate>
  <CharactersWithSpaces>6335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