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昌吉回族自治州红十字会2024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2B2A948">
      <w:r>
        <w:br w:type="page"/>
      </w:r>
    </w:p>
    <w:p w14:paraId="6999600A">
      <w:pPr>
        <w:spacing w:line="640" w:lineRule="exact"/>
        <w:jc w:val="center"/>
        <w:outlineLvl w:val="1"/>
      </w:pPr>
      <w:r>
        <w:rPr>
          <w:rFonts w:ascii="黑体" w:hAnsi="黑体" w:eastAsia="黑体"/>
          <w:sz w:val="32"/>
        </w:rPr>
        <w:t>第一部分 单位概况</w:t>
      </w:r>
    </w:p>
    <w:p w14:paraId="6E544DE2">
      <w:pPr>
        <w:spacing w:line="640" w:lineRule="exact"/>
        <w:ind w:firstLine="640"/>
        <w:jc w:val="both"/>
        <w:outlineLvl w:val="2"/>
      </w:pPr>
      <w:r>
        <w:rPr>
          <w:rFonts w:ascii="黑体" w:hAnsi="黑体" w:eastAsia="黑体"/>
          <w:sz w:val="32"/>
        </w:rPr>
        <w:t>一、主要职能</w:t>
      </w:r>
    </w:p>
    <w:p w14:paraId="1E6E0E08">
      <w:pPr>
        <w:spacing w:line="580" w:lineRule="exact"/>
        <w:ind w:firstLine="640"/>
        <w:jc w:val="both"/>
      </w:pPr>
      <w:r>
        <w:rPr>
          <w:rFonts w:ascii="仿宋_GB2312" w:hAnsi="仿宋_GB2312" w:eastAsia="仿宋_GB2312"/>
          <w:sz w:val="32"/>
        </w:rPr>
        <w:t>（一）宣传、贯彻、落实《中华人民共和国红十字会法</w:t>
      </w:r>
      <w:r>
        <w:rPr>
          <w:rFonts w:hint="eastAsia" w:ascii="仿宋_GB2312" w:hAnsi="仿宋_GB2312" w:eastAsia="仿宋_GB2312"/>
          <w:sz w:val="32"/>
          <w:lang w:eastAsia="zh-CN"/>
        </w:rPr>
        <w:t>》《</w:t>
      </w:r>
      <w:r>
        <w:rPr>
          <w:rFonts w:ascii="仿宋_GB2312" w:hAnsi="仿宋_GB2312" w:eastAsia="仿宋_GB2312"/>
          <w:sz w:val="32"/>
        </w:rPr>
        <w:t>中国红十字会章程</w:t>
      </w:r>
      <w:r>
        <w:rPr>
          <w:rFonts w:hint="eastAsia" w:ascii="仿宋_GB2312" w:hAnsi="仿宋_GB2312" w:eastAsia="仿宋_GB2312"/>
          <w:sz w:val="32"/>
          <w:lang w:eastAsia="zh-CN"/>
        </w:rPr>
        <w:t>》《</w:t>
      </w:r>
      <w:r>
        <w:rPr>
          <w:rFonts w:ascii="仿宋_GB2312" w:hAnsi="仿宋_GB2312" w:eastAsia="仿宋_GB2312"/>
          <w:sz w:val="32"/>
        </w:rPr>
        <w:t>中华人民共和国红十字标志使用办法</w:t>
      </w:r>
      <w:r>
        <w:rPr>
          <w:rFonts w:hint="eastAsia" w:ascii="仿宋_GB2312" w:hAnsi="仿宋_GB2312" w:eastAsia="仿宋_GB2312"/>
          <w:sz w:val="32"/>
          <w:lang w:eastAsia="zh-CN"/>
        </w:rPr>
        <w:t>》《</w:t>
      </w:r>
      <w:r>
        <w:rPr>
          <w:rFonts w:hint="eastAsia" w:ascii="仿宋_GB2312" w:hAnsi="仿宋_GB2312" w:eastAsia="仿宋_GB2312"/>
          <w:sz w:val="32"/>
        </w:rPr>
        <w:t>中华人民共和国红十字会法</w:t>
      </w:r>
      <w:r>
        <w:rPr>
          <w:rFonts w:ascii="仿宋_GB2312" w:hAnsi="仿宋_GB2312" w:eastAsia="仿宋_GB2312"/>
          <w:sz w:val="32"/>
        </w:rPr>
        <w:t>》和《中华人民共和国献血法》，指导和协调全州各级红十字会开展各项工作。</w:t>
      </w:r>
    </w:p>
    <w:p w14:paraId="130EE29D">
      <w:pPr>
        <w:spacing w:line="580" w:lineRule="exact"/>
        <w:ind w:firstLine="640"/>
        <w:jc w:val="both"/>
      </w:pPr>
      <w:r>
        <w:rPr>
          <w:rFonts w:ascii="仿宋_GB2312" w:hAnsi="仿宋_GB2312" w:eastAsia="仿宋_GB2312"/>
          <w:sz w:val="32"/>
        </w:rPr>
        <w:t>（二）依照《中华人民共和国红十字会法》规定，为开展救助工作进行募捐活动，做好救助的准备工作；在自然灾害和突发事件中，对伤病人员和其他受害者进行救助，参与国内外的人道主义救助工作。</w:t>
      </w:r>
    </w:p>
    <w:p w14:paraId="546EF943">
      <w:pPr>
        <w:spacing w:line="580" w:lineRule="exact"/>
        <w:ind w:firstLine="640"/>
        <w:jc w:val="both"/>
      </w:pPr>
      <w:r>
        <w:rPr>
          <w:rFonts w:ascii="仿宋_GB2312" w:hAnsi="仿宋_GB2312" w:eastAsia="仿宋_GB2312"/>
          <w:sz w:val="32"/>
        </w:rPr>
        <w:t>（三）开展人道</w:t>
      </w:r>
      <w:r>
        <w:rPr>
          <w:rFonts w:hint="eastAsia" w:ascii="仿宋_GB2312" w:hAnsi="仿宋_GB2312" w:eastAsia="仿宋_GB2312"/>
          <w:sz w:val="32"/>
          <w:lang w:eastAsia="zh-CN"/>
        </w:rPr>
        <w:t>领域</w:t>
      </w:r>
      <w:r>
        <w:rPr>
          <w:rFonts w:ascii="仿宋_GB2312" w:hAnsi="仿宋_GB2312" w:eastAsia="仿宋_GB2312"/>
          <w:sz w:val="32"/>
        </w:rPr>
        <w:t>的社会救助、社区服务和社会公益活动；组织群众性初级救护培训和现场急救培训工作。</w:t>
      </w:r>
    </w:p>
    <w:p w14:paraId="378680A0">
      <w:pPr>
        <w:spacing w:line="580" w:lineRule="exact"/>
        <w:ind w:firstLine="640"/>
        <w:jc w:val="both"/>
      </w:pPr>
      <w:r>
        <w:rPr>
          <w:rFonts w:ascii="仿宋_GB2312" w:hAnsi="仿宋_GB2312" w:eastAsia="仿宋_GB2312"/>
          <w:sz w:val="32"/>
        </w:rPr>
        <w:t>（四）在自治区红十字会的指导下，开展与国内国际红十字会组织的友好合作与交流；宣传国际红十字会与红新月运动的基本原则和日内瓦公约及其附加议定书，并依照有关规定开展工作。</w:t>
      </w:r>
    </w:p>
    <w:p w14:paraId="1CFCCD3F">
      <w:pPr>
        <w:spacing w:line="580" w:lineRule="exact"/>
        <w:ind w:firstLine="640"/>
        <w:jc w:val="both"/>
      </w:pPr>
      <w:r>
        <w:rPr>
          <w:rFonts w:ascii="仿宋_GB2312" w:hAnsi="仿宋_GB2312" w:eastAsia="仿宋_GB2312"/>
          <w:sz w:val="32"/>
        </w:rPr>
        <w:t>（五）开展有益于青少年身心健康的、弘扬人道主义精神的红十字青少年活动。</w:t>
      </w:r>
    </w:p>
    <w:p w14:paraId="2F56493F">
      <w:pPr>
        <w:spacing w:line="580" w:lineRule="exact"/>
        <w:ind w:firstLine="640"/>
        <w:jc w:val="both"/>
      </w:pPr>
      <w:r>
        <w:rPr>
          <w:rFonts w:ascii="仿宋_GB2312" w:hAnsi="仿宋_GB2312" w:eastAsia="仿宋_GB2312"/>
          <w:sz w:val="32"/>
        </w:rPr>
        <w:t>（六）依据《中华人民共和国红十字会法》和《中华人民共和国献血法》的规定，推动无偿献血工作；进行遗体、器官捐献和“中华造血干细胞捐献者”的宣传、动员和登记工作。</w:t>
      </w:r>
    </w:p>
    <w:p w14:paraId="47E984FE">
      <w:pPr>
        <w:spacing w:line="580" w:lineRule="exact"/>
        <w:ind w:firstLine="640"/>
        <w:jc w:val="both"/>
      </w:pPr>
      <w:r>
        <w:rPr>
          <w:rFonts w:ascii="仿宋_GB2312" w:hAnsi="仿宋_GB2312" w:eastAsia="仿宋_GB2312"/>
          <w:sz w:val="32"/>
        </w:rPr>
        <w:t>（七）组织会员、志愿工作者参与</w:t>
      </w:r>
      <w:r>
        <w:rPr>
          <w:rFonts w:hint="eastAsia" w:ascii="仿宋_GB2312" w:hAnsi="仿宋_GB2312" w:eastAsia="仿宋_GB2312"/>
          <w:sz w:val="32"/>
          <w:lang w:val="en-US" w:eastAsia="zh-CN"/>
        </w:rPr>
        <w:t>传染病</w:t>
      </w:r>
      <w:r>
        <w:rPr>
          <w:rFonts w:ascii="仿宋_GB2312" w:hAnsi="仿宋_GB2312" w:eastAsia="仿宋_GB2312"/>
          <w:sz w:val="32"/>
        </w:rPr>
        <w:t>预防宣传培训。</w:t>
      </w:r>
    </w:p>
    <w:p w14:paraId="3DDB23FF">
      <w:pPr>
        <w:spacing w:line="580" w:lineRule="exact"/>
        <w:ind w:firstLine="640"/>
        <w:jc w:val="both"/>
      </w:pPr>
      <w:r>
        <w:rPr>
          <w:rFonts w:ascii="仿宋_GB2312" w:hAnsi="仿宋_GB2312" w:eastAsia="仿宋_GB2312"/>
          <w:sz w:val="32"/>
        </w:rPr>
        <w:t>（八）完成自治州人民政府交办和委托的其他工作。</w:t>
      </w:r>
    </w:p>
    <w:p w14:paraId="0504BF94">
      <w:pPr>
        <w:spacing w:line="640" w:lineRule="exact"/>
        <w:ind w:firstLine="640"/>
        <w:jc w:val="both"/>
        <w:outlineLvl w:val="2"/>
      </w:pPr>
      <w:r>
        <w:rPr>
          <w:rFonts w:ascii="黑体" w:hAnsi="黑体" w:eastAsia="黑体"/>
          <w:sz w:val="32"/>
        </w:rPr>
        <w:t>二、机构设置及人员情况</w:t>
      </w:r>
    </w:p>
    <w:p w14:paraId="3BCACA68">
      <w:pPr>
        <w:spacing w:line="580" w:lineRule="exact"/>
        <w:ind w:firstLine="640"/>
        <w:jc w:val="both"/>
      </w:pPr>
      <w:r>
        <w:rPr>
          <w:rFonts w:ascii="仿宋_GB2312" w:hAnsi="仿宋_GB2312" w:eastAsia="仿宋_GB2312"/>
          <w:sz w:val="32"/>
        </w:rPr>
        <w:t>昌吉回族自治州红十字会2024年度，实有人数11人，其中：在职人员7人，减少1人；离休人员0人，增加0人；退休人员4人,增加1人。</w:t>
      </w:r>
    </w:p>
    <w:p w14:paraId="4088EE45">
      <w:pPr>
        <w:spacing w:line="580" w:lineRule="exact"/>
        <w:ind w:firstLine="640"/>
        <w:jc w:val="both"/>
      </w:pPr>
      <w:r>
        <w:rPr>
          <w:rFonts w:ascii="仿宋_GB2312" w:hAnsi="仿宋_GB2312" w:eastAsia="仿宋_GB2312"/>
          <w:sz w:val="32"/>
        </w:rPr>
        <w:t>昌吉回族自治州红十字会无下属预算单位，下设3个科室，分别是：办公室、事业发展部、赈灾救护部。</w:t>
      </w:r>
    </w:p>
    <w:p w14:paraId="4D3D9778">
      <w:r>
        <w:br w:type="page"/>
      </w:r>
    </w:p>
    <w:p w14:paraId="361A9E28">
      <w:pPr>
        <w:spacing w:line="240" w:lineRule="auto"/>
        <w:jc w:val="center"/>
        <w:outlineLvl w:val="1"/>
      </w:pPr>
      <w:r>
        <w:rPr>
          <w:rFonts w:ascii="黑体" w:hAnsi="黑体" w:eastAsia="黑体"/>
          <w:sz w:val="32"/>
        </w:rPr>
        <w:t>第二部分 部门决算情况说明</w:t>
      </w:r>
    </w:p>
    <w:p w14:paraId="1E3B1987">
      <w:pPr>
        <w:spacing w:line="640" w:lineRule="exact"/>
        <w:ind w:firstLine="640"/>
        <w:jc w:val="both"/>
        <w:outlineLvl w:val="2"/>
      </w:pPr>
      <w:r>
        <w:rPr>
          <w:rFonts w:ascii="黑体" w:hAnsi="黑体" w:eastAsia="黑体"/>
          <w:sz w:val="32"/>
        </w:rPr>
        <w:t>一、收入支出决算总体情况说明</w:t>
      </w:r>
    </w:p>
    <w:p w14:paraId="69A7B999">
      <w:pPr>
        <w:spacing w:line="580" w:lineRule="exact"/>
        <w:ind w:firstLine="640"/>
        <w:jc w:val="both"/>
      </w:pPr>
      <w:r>
        <w:rPr>
          <w:rFonts w:ascii="仿宋_GB2312" w:hAnsi="仿宋_GB2312" w:eastAsia="仿宋_GB2312"/>
          <w:b/>
          <w:sz w:val="32"/>
        </w:rPr>
        <w:t>2024年度收入总计273.33万元，</w:t>
      </w:r>
      <w:r>
        <w:rPr>
          <w:rFonts w:ascii="仿宋_GB2312" w:hAnsi="仿宋_GB2312" w:eastAsia="仿宋_GB2312"/>
          <w:b w:val="0"/>
          <w:sz w:val="32"/>
        </w:rPr>
        <w:t>其中：本年收入合计269.71万元，使用非财政拨款结余（含专用结余）0.00万元，年初结转和结余3.61万元。</w:t>
      </w:r>
    </w:p>
    <w:p w14:paraId="3C8C0174">
      <w:pPr>
        <w:spacing w:line="580" w:lineRule="exact"/>
        <w:ind w:firstLine="640"/>
        <w:jc w:val="both"/>
      </w:pPr>
      <w:r>
        <w:rPr>
          <w:rFonts w:ascii="仿宋_GB2312" w:hAnsi="仿宋_GB2312" w:eastAsia="仿宋_GB2312"/>
          <w:b/>
          <w:sz w:val="32"/>
        </w:rPr>
        <w:t>2024年度支出总计273.33万元，</w:t>
      </w:r>
      <w:r>
        <w:rPr>
          <w:rFonts w:ascii="仿宋_GB2312" w:hAnsi="仿宋_GB2312" w:eastAsia="仿宋_GB2312"/>
          <w:b w:val="0"/>
          <w:sz w:val="32"/>
        </w:rPr>
        <w:t>其中：本年支出合计269.71万元，结余分配0.00万元，年末结转和结余3.61万元。</w:t>
      </w:r>
    </w:p>
    <w:p w14:paraId="5078148A">
      <w:pPr>
        <w:spacing w:line="580" w:lineRule="exact"/>
        <w:ind w:firstLine="640"/>
        <w:jc w:val="both"/>
      </w:pPr>
      <w:r>
        <w:rPr>
          <w:rFonts w:ascii="仿宋_GB2312" w:hAnsi="仿宋_GB2312" w:eastAsia="仿宋_GB2312"/>
          <w:b w:val="0"/>
          <w:sz w:val="32"/>
        </w:rPr>
        <w:t>收入支出总体与上年相比，增加37.43万元，增长15.87%，主要原因是：本年增加应急救护能力专题培训。</w:t>
      </w:r>
    </w:p>
    <w:p w14:paraId="1D788D04">
      <w:pPr>
        <w:spacing w:line="640" w:lineRule="exact"/>
        <w:ind w:firstLine="640"/>
        <w:jc w:val="both"/>
        <w:outlineLvl w:val="2"/>
      </w:pPr>
      <w:r>
        <w:rPr>
          <w:rFonts w:ascii="黑体" w:hAnsi="黑体" w:eastAsia="黑体"/>
          <w:sz w:val="32"/>
        </w:rPr>
        <w:t>二、收入决算情况说明</w:t>
      </w:r>
    </w:p>
    <w:p w14:paraId="20840ED6">
      <w:pPr>
        <w:spacing w:line="580" w:lineRule="exact"/>
        <w:ind w:firstLine="640"/>
        <w:jc w:val="both"/>
      </w:pPr>
      <w:r>
        <w:rPr>
          <w:rFonts w:ascii="仿宋_GB2312" w:hAnsi="仿宋_GB2312" w:eastAsia="仿宋_GB2312"/>
          <w:b/>
          <w:sz w:val="32"/>
        </w:rPr>
        <w:t>本年收入269.71万元，</w:t>
      </w:r>
      <w:r>
        <w:rPr>
          <w:rFonts w:ascii="仿宋_GB2312" w:hAnsi="仿宋_GB2312" w:eastAsia="仿宋_GB2312"/>
          <w:b w:val="0"/>
          <w:sz w:val="32"/>
        </w:rPr>
        <w:t>其中：财政拨款收入228.78万元，占84.82%；上级补助收入0.00万元，占0.00%；事业收入0.00万元，占0.00%；经营收入0.00万元，占0.00%；附属单位上缴收入0.00万元，占0.00%；其他收入40.94万元，占15.18%。</w:t>
      </w:r>
    </w:p>
    <w:p w14:paraId="72EADDFE">
      <w:pPr>
        <w:spacing w:line="640" w:lineRule="exact"/>
        <w:ind w:firstLine="640"/>
        <w:jc w:val="both"/>
        <w:outlineLvl w:val="2"/>
      </w:pPr>
      <w:r>
        <w:rPr>
          <w:rFonts w:ascii="黑体" w:hAnsi="黑体" w:eastAsia="黑体"/>
          <w:sz w:val="32"/>
        </w:rPr>
        <w:t>三、支出决算情况说明</w:t>
      </w:r>
    </w:p>
    <w:p w14:paraId="33F4E309">
      <w:pPr>
        <w:spacing w:line="580" w:lineRule="exact"/>
        <w:ind w:firstLine="640"/>
        <w:jc w:val="both"/>
      </w:pPr>
      <w:r>
        <w:rPr>
          <w:rFonts w:ascii="仿宋_GB2312" w:hAnsi="仿宋_GB2312" w:eastAsia="仿宋_GB2312"/>
          <w:b/>
          <w:sz w:val="32"/>
        </w:rPr>
        <w:t>本年支出269.71万元，</w:t>
      </w:r>
      <w:r>
        <w:rPr>
          <w:rFonts w:ascii="仿宋_GB2312" w:hAnsi="仿宋_GB2312" w:eastAsia="仿宋_GB2312"/>
          <w:b w:val="0"/>
          <w:sz w:val="32"/>
        </w:rPr>
        <w:t>其中：基本支出187.12万元，占69.38%；项目支出82.60万元，占30.63%；上缴上级支出0.00万元，占0.00%；经营支出0.00万元，占0.00%；对附属单位补助支出0.00万元，占0.00%。</w:t>
      </w:r>
    </w:p>
    <w:p w14:paraId="6BC4DBBF">
      <w:pPr>
        <w:spacing w:line="640" w:lineRule="exact"/>
        <w:ind w:firstLine="640"/>
        <w:jc w:val="both"/>
        <w:outlineLvl w:val="2"/>
      </w:pPr>
      <w:r>
        <w:rPr>
          <w:rFonts w:ascii="黑体" w:hAnsi="黑体" w:eastAsia="黑体"/>
          <w:sz w:val="32"/>
        </w:rPr>
        <w:t>四、财政拨款收入支出决算总体情况说明</w:t>
      </w:r>
    </w:p>
    <w:p w14:paraId="24460D66">
      <w:pPr>
        <w:spacing w:line="580" w:lineRule="exact"/>
        <w:ind w:firstLine="640"/>
        <w:jc w:val="both"/>
      </w:pPr>
      <w:r>
        <w:rPr>
          <w:rFonts w:ascii="仿宋_GB2312" w:hAnsi="仿宋_GB2312" w:eastAsia="仿宋_GB2312"/>
          <w:b/>
          <w:sz w:val="32"/>
        </w:rPr>
        <w:t>2024年度财政拨款收入总计228.78万元，</w:t>
      </w:r>
      <w:r>
        <w:rPr>
          <w:rFonts w:ascii="仿宋_GB2312" w:hAnsi="仿宋_GB2312" w:eastAsia="仿宋_GB2312"/>
          <w:b w:val="0"/>
          <w:sz w:val="32"/>
        </w:rPr>
        <w:t>其中：年初财政拨款结转和结余0.00万元，本年财政拨款收入228.78万元。</w:t>
      </w:r>
      <w:r>
        <w:rPr>
          <w:rFonts w:ascii="仿宋_GB2312" w:hAnsi="仿宋_GB2312" w:eastAsia="仿宋_GB2312"/>
          <w:b/>
          <w:sz w:val="32"/>
        </w:rPr>
        <w:t>财政拨款支出总计228.78万元，</w:t>
      </w:r>
      <w:r>
        <w:rPr>
          <w:rFonts w:ascii="仿宋_GB2312" w:hAnsi="仿宋_GB2312" w:eastAsia="仿宋_GB2312"/>
          <w:b w:val="0"/>
          <w:sz w:val="32"/>
        </w:rPr>
        <w:t>其中：年末财政拨款结转和结余0.00万元，本年财政拨款支出228.78万元。</w:t>
      </w:r>
    </w:p>
    <w:p w14:paraId="6861F0D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减少3.51万元，下降1.51%，主要原因是：本年未安排驻村工作项目，在职人员减少，相关人员经费减少。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年初预算数246.62万元，决算数228.78万元，预决算差异率-7.23%，主要原因是：本年在职人员减少，年中调减人员经费，导致预决算存在差异。</w:t>
      </w:r>
    </w:p>
    <w:p w14:paraId="4CF07A06">
      <w:pPr>
        <w:spacing w:line="640" w:lineRule="exact"/>
        <w:ind w:firstLine="640"/>
        <w:jc w:val="both"/>
        <w:outlineLvl w:val="2"/>
      </w:pPr>
      <w:r>
        <w:rPr>
          <w:rFonts w:ascii="黑体" w:hAnsi="黑体" w:eastAsia="黑体"/>
          <w:sz w:val="32"/>
        </w:rPr>
        <w:t>五、一般公共预算财政拨款支出决算情况说明</w:t>
      </w:r>
    </w:p>
    <w:p w14:paraId="42CC70D3">
      <w:pPr>
        <w:spacing w:line="640" w:lineRule="exact"/>
        <w:ind w:firstLine="640"/>
        <w:jc w:val="both"/>
        <w:outlineLvl w:val="3"/>
      </w:pPr>
      <w:r>
        <w:rPr>
          <w:rFonts w:ascii="楷体_GB2312" w:hAnsi="楷体_GB2312" w:eastAsia="楷体_GB2312"/>
          <w:b/>
          <w:sz w:val="32"/>
        </w:rPr>
        <w:t>（一）一般公共预算财政拨款支出决算总体情况</w:t>
      </w:r>
    </w:p>
    <w:p w14:paraId="0451214F">
      <w:pPr>
        <w:spacing w:line="580" w:lineRule="exact"/>
        <w:ind w:firstLine="640"/>
        <w:jc w:val="both"/>
      </w:pPr>
      <w:r>
        <w:rPr>
          <w:rFonts w:ascii="仿宋_GB2312" w:hAnsi="仿宋_GB2312" w:eastAsia="仿宋_GB2312"/>
          <w:b/>
          <w:sz w:val="32"/>
        </w:rPr>
        <w:t>2024年度一般公共预算财政拨款支出228.78万元，</w:t>
      </w:r>
      <w:r>
        <w:rPr>
          <w:rFonts w:ascii="仿宋_GB2312" w:hAnsi="仿宋_GB2312" w:eastAsia="仿宋_GB2312"/>
          <w:b w:val="0"/>
          <w:sz w:val="32"/>
        </w:rPr>
        <w:t>占本年支出合计的84.82%。</w:t>
      </w:r>
      <w:r>
        <w:rPr>
          <w:rFonts w:ascii="仿宋_GB2312" w:hAnsi="仿宋_GB2312" w:eastAsia="仿宋_GB2312"/>
          <w:b/>
          <w:sz w:val="32"/>
        </w:rPr>
        <w:t>与上年相比，</w:t>
      </w:r>
      <w:r>
        <w:rPr>
          <w:rFonts w:ascii="仿宋_GB2312" w:hAnsi="仿宋_GB2312" w:eastAsia="仿宋_GB2312"/>
          <w:b w:val="0"/>
          <w:sz w:val="32"/>
        </w:rPr>
        <w:t>减少3.51万元，下降1.51%，主要原因是：本年未安排驻村工作项目，在职人员减少，相关人员经费减少。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年初预算数246.62万元，决算数228.78万元，预决算差异率-7.23%，主要原因是：本年在职人员减少，年中调减人员经费，导致预决算存在差异。</w:t>
      </w:r>
    </w:p>
    <w:p w14:paraId="7DE9470E">
      <w:pPr>
        <w:spacing w:line="640" w:lineRule="exact"/>
        <w:ind w:firstLine="640"/>
        <w:jc w:val="both"/>
        <w:outlineLvl w:val="3"/>
      </w:pPr>
      <w:r>
        <w:rPr>
          <w:rFonts w:ascii="楷体_GB2312" w:hAnsi="楷体_GB2312" w:eastAsia="楷体_GB2312"/>
          <w:b/>
          <w:sz w:val="32"/>
        </w:rPr>
        <w:t>（二）一般公共预算财政拨款支出决算结构情况</w:t>
      </w:r>
    </w:p>
    <w:p w14:paraId="0270AF1A">
      <w:pPr>
        <w:spacing w:line="580" w:lineRule="exact"/>
        <w:ind w:firstLine="640"/>
        <w:jc w:val="both"/>
      </w:pPr>
      <w:r>
        <w:rPr>
          <w:rFonts w:ascii="仿宋_GB2312" w:hAnsi="仿宋_GB2312" w:eastAsia="仿宋_GB2312"/>
          <w:b w:val="0"/>
          <w:sz w:val="32"/>
        </w:rPr>
        <w:t>1.社会保障和就业支出(类)210.14万元,占91.85%。</w:t>
      </w:r>
    </w:p>
    <w:p w14:paraId="5C6EB923">
      <w:pPr>
        <w:spacing w:line="580" w:lineRule="exact"/>
        <w:ind w:firstLine="640"/>
        <w:jc w:val="both"/>
      </w:pPr>
      <w:r>
        <w:rPr>
          <w:rFonts w:ascii="仿宋_GB2312" w:hAnsi="仿宋_GB2312" w:eastAsia="仿宋_GB2312"/>
          <w:b w:val="0"/>
          <w:sz w:val="32"/>
        </w:rPr>
        <w:t>2.卫生健康支出(类)7.81万元,占3.41%。</w:t>
      </w:r>
    </w:p>
    <w:p w14:paraId="3E5E43C2">
      <w:pPr>
        <w:spacing w:line="580" w:lineRule="exact"/>
        <w:ind w:firstLine="640"/>
        <w:jc w:val="both"/>
      </w:pPr>
      <w:r>
        <w:rPr>
          <w:rFonts w:ascii="仿宋_GB2312" w:hAnsi="仿宋_GB2312" w:eastAsia="仿宋_GB2312"/>
          <w:b w:val="0"/>
          <w:sz w:val="32"/>
        </w:rPr>
        <w:t>3.住房保障支出(类)10.84万元,占4.74%。</w:t>
      </w:r>
    </w:p>
    <w:p w14:paraId="574A5CB1">
      <w:pPr>
        <w:spacing w:line="640" w:lineRule="exact"/>
        <w:ind w:firstLine="640"/>
        <w:jc w:val="both"/>
        <w:outlineLvl w:val="3"/>
      </w:pPr>
      <w:r>
        <w:rPr>
          <w:rFonts w:ascii="楷体_GB2312" w:hAnsi="楷体_GB2312" w:eastAsia="楷体_GB2312"/>
          <w:b/>
          <w:sz w:val="32"/>
        </w:rPr>
        <w:t>（三）一般公共预算财政拨款支出决算具体情况</w:t>
      </w:r>
    </w:p>
    <w:p w14:paraId="2EB36069">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1.社会保障和就业支出(类)行政事业单位养老支出(款)行政单位离退休(项):支出决算数为1.71万元，比上年决算增加0.77万元，增长81.91%,主要原因是：本年增加退休人员基础绩效奖，退休费支出增加。</w:t>
      </w:r>
    </w:p>
    <w:p w14:paraId="63E8664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14.02万元，比上年决算增加1.40万元，增长11.09%,主要原因是：本年在职人员工资基数调增，养老缴费基数上涨，相应支出增加。</w:t>
      </w:r>
    </w:p>
    <w:p w14:paraId="70FB714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3.社会保障和就业支出(类)行政事业单位养老支出(款)机关事业单位职业年金缴费支出(项):支出决算数为16.34万元，比上年决算增加9.68万元，增长145.35%,主要原因是：本年新增退休人员，职业年金缴费支出增加。</w:t>
      </w:r>
    </w:p>
    <w:p w14:paraId="7CD6A006">
      <w:pPr>
        <w:spacing w:line="580" w:lineRule="exact"/>
        <w:ind w:firstLine="640"/>
        <w:jc w:val="both"/>
      </w:pPr>
      <w:r>
        <w:rPr>
          <w:rFonts w:ascii="仿宋_GB2312" w:hAnsi="仿宋_GB2312" w:eastAsia="仿宋_GB2312"/>
          <w:b w:val="0"/>
          <w:sz w:val="32"/>
        </w:rPr>
        <w:t>4.社会保障和就业支出(类)红十字事业(款)行政运行(项):支出决算数为136.40万元，比上年决算减少8.81万元，下降6.07%,主要原因是：本年在职人员减少，相关人员经费较上年减少。</w:t>
      </w:r>
    </w:p>
    <w:p w14:paraId="406C8BD8">
      <w:pPr>
        <w:spacing w:line="580" w:lineRule="exact"/>
        <w:ind w:firstLine="640"/>
        <w:jc w:val="both"/>
      </w:pPr>
      <w:r>
        <w:rPr>
          <w:rFonts w:ascii="仿宋_GB2312" w:hAnsi="仿宋_GB2312" w:eastAsia="仿宋_GB2312"/>
          <w:b w:val="0"/>
          <w:sz w:val="32"/>
        </w:rPr>
        <w:t>5.社会保障和就业支出(类)红十字事业(款)一般行政管理事务(项):支出决算数为41.66万元，比上年决算增加9.26万元，增长28.58%,主要原因是：本年增加专项项目资金。</w:t>
      </w:r>
    </w:p>
    <w:p w14:paraId="55EFE65D">
      <w:pPr>
        <w:spacing w:line="580" w:lineRule="exact"/>
        <w:ind w:firstLine="640"/>
        <w:jc w:val="both"/>
      </w:pPr>
      <w:r>
        <w:rPr>
          <w:rFonts w:ascii="仿宋_GB2312" w:hAnsi="仿宋_GB2312" w:eastAsia="仿宋_GB2312"/>
          <w:b w:val="0"/>
          <w:sz w:val="32"/>
        </w:rPr>
        <w:t>6.卫生健康支出(类)行政事业单位医疗(款)行政单位医疗(项):支出决算数为7.35万元，比上年决算减少0.36万元，下降4.67%,主要原因是：本年在职人员减少，行政单位医疗支出较上年减少。</w:t>
      </w:r>
    </w:p>
    <w:p w14:paraId="032578F6">
      <w:pPr>
        <w:spacing w:line="580" w:lineRule="exact"/>
        <w:ind w:firstLine="640"/>
        <w:jc w:val="both"/>
      </w:pPr>
      <w:r>
        <w:rPr>
          <w:rFonts w:ascii="仿宋_GB2312" w:hAnsi="仿宋_GB2312" w:eastAsia="仿宋_GB2312"/>
          <w:b w:val="0"/>
          <w:sz w:val="32"/>
        </w:rPr>
        <w:t>7.卫生健康支出(类)行政事业单位医疗(款)公务员医疗补助(项):支出决算数为0.46万元，比上年决算减少0.02万元，下降4.17%,主要原因是：本年在职人员减少，公务员医疗补助较上年减少。</w:t>
      </w:r>
    </w:p>
    <w:p w14:paraId="174BCC1C">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8.卫生健康支出(类)行政事业单位医疗(款)其他行政事业单位医疗支出(项):支出决算数为0.00万元，比上年决算减少0.02万元，下降100.00%,主要原因是：本年在职人员减少，其他行政事业单位医疗支出较上年减少。</w:t>
      </w:r>
    </w:p>
    <w:p w14:paraId="2ADF22FD">
      <w:pPr>
        <w:spacing w:line="580" w:lineRule="exact"/>
        <w:ind w:firstLine="640"/>
        <w:jc w:val="both"/>
      </w:pPr>
      <w:r>
        <w:rPr>
          <w:rFonts w:ascii="仿宋_GB2312" w:hAnsi="仿宋_GB2312" w:eastAsia="仿宋_GB2312"/>
          <w:b w:val="0"/>
          <w:sz w:val="32"/>
        </w:rPr>
        <w:t>9.住房保障支出(类)住房改革支出(款)住房公积金(项):支出决算数为10.84万元，比上年决算减少0.50万元，下降4.41%,主要原因是：本年在职人员减少，住房公积金缴费较上年减少。</w:t>
      </w:r>
    </w:p>
    <w:p w14:paraId="16597451">
      <w:pPr>
        <w:spacing w:line="580" w:lineRule="exact"/>
        <w:ind w:firstLine="640"/>
        <w:jc w:val="both"/>
      </w:pPr>
      <w:r>
        <w:rPr>
          <w:rFonts w:ascii="仿宋_GB2312" w:hAnsi="仿宋_GB2312" w:eastAsia="仿宋_GB2312"/>
          <w:b w:val="0"/>
          <w:sz w:val="32"/>
        </w:rPr>
        <w:t>10.其他支出(类)其他支出(款)其他支出(项):支出决算数为0.00万元，比上年决算减少14.92万元，下降100.00%,主要原因是：本年未安排驻村工作项目。</w:t>
      </w:r>
    </w:p>
    <w:p w14:paraId="76CBE4CB">
      <w:pPr>
        <w:spacing w:line="640" w:lineRule="exact"/>
        <w:ind w:firstLine="640"/>
        <w:jc w:val="both"/>
        <w:outlineLvl w:val="2"/>
      </w:pPr>
      <w:r>
        <w:rPr>
          <w:rFonts w:ascii="黑体" w:hAnsi="黑体" w:eastAsia="黑体"/>
          <w:sz w:val="32"/>
        </w:rPr>
        <w:t>六、一般公共预算财政拨款基本支出决算情况说明</w:t>
      </w:r>
    </w:p>
    <w:p w14:paraId="7C0F456F">
      <w:pPr>
        <w:spacing w:line="580" w:lineRule="exact"/>
        <w:ind w:firstLine="640"/>
        <w:jc w:val="both"/>
      </w:pPr>
      <w:r>
        <w:rPr>
          <w:rFonts w:ascii="仿宋_GB2312" w:hAnsi="仿宋_GB2312" w:eastAsia="仿宋_GB2312"/>
          <w:b w:val="0"/>
          <w:sz w:val="32"/>
        </w:rPr>
        <w:t>2024年度一般公共预算财政拨款基本支出187.12万元，其中：</w:t>
      </w:r>
      <w:r>
        <w:rPr>
          <w:rFonts w:ascii="仿宋_GB2312" w:hAnsi="仿宋_GB2312" w:eastAsia="仿宋_GB2312"/>
          <w:b/>
          <w:sz w:val="32"/>
        </w:rPr>
        <w:t>人员经费169.71万元，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1CC0C868">
      <w:pPr>
        <w:spacing w:line="580" w:lineRule="exact"/>
        <w:ind w:firstLine="640"/>
        <w:jc w:val="both"/>
      </w:pPr>
      <w:r>
        <w:rPr>
          <w:rFonts w:ascii="仿宋_GB2312" w:hAnsi="仿宋_GB2312" w:eastAsia="仿宋_GB2312"/>
          <w:b/>
          <w:sz w:val="32"/>
        </w:rPr>
        <w:t>公用经费17.41万元，</w:t>
      </w:r>
      <w:r>
        <w:rPr>
          <w:rFonts w:ascii="仿宋_GB2312" w:hAnsi="仿宋_GB2312" w:eastAsia="仿宋_GB2312"/>
          <w:b w:val="0"/>
          <w:sz w:val="32"/>
        </w:rPr>
        <w:t>包括：办公费、印刷费、手续费、水费、电费、邮电费、取暖费、差旅费、工会经费、福利费、公务用车运行维护费、其他商品和服务支出。</w:t>
      </w:r>
    </w:p>
    <w:p w14:paraId="477650FB">
      <w:pPr>
        <w:spacing w:line="640" w:lineRule="exact"/>
        <w:ind w:firstLine="640"/>
        <w:jc w:val="both"/>
        <w:outlineLvl w:val="2"/>
      </w:pPr>
      <w:r>
        <w:rPr>
          <w:rFonts w:ascii="黑体" w:hAnsi="黑体" w:eastAsia="黑体"/>
          <w:sz w:val="32"/>
        </w:rPr>
        <w:t>七、政府性基金预算财政拨款收入支出决算情况说明</w:t>
      </w:r>
    </w:p>
    <w:p w14:paraId="39AF855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6C40814">
      <w:pPr>
        <w:spacing w:line="640" w:lineRule="exact"/>
        <w:ind w:firstLine="640"/>
        <w:jc w:val="both"/>
        <w:outlineLvl w:val="2"/>
      </w:pPr>
      <w:r>
        <w:rPr>
          <w:rFonts w:ascii="黑体" w:hAnsi="黑体" w:eastAsia="黑体"/>
          <w:sz w:val="32"/>
        </w:rPr>
        <w:t>八、国有资本经营预算财政拨款收入支出决算情况说明</w:t>
      </w:r>
    </w:p>
    <w:p w14:paraId="48C1B35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932950A">
      <w:pPr>
        <w:spacing w:line="640" w:lineRule="exact"/>
        <w:ind w:firstLine="640"/>
        <w:jc w:val="both"/>
        <w:outlineLvl w:val="2"/>
      </w:pPr>
      <w:r>
        <w:rPr>
          <w:rFonts w:ascii="黑体" w:hAnsi="黑体" w:eastAsia="黑体"/>
          <w:sz w:val="32"/>
        </w:rPr>
        <w:t>九、财政拨款“三公”经费支出决算情况说明</w:t>
      </w:r>
    </w:p>
    <w:p w14:paraId="1A2D3B5A">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减少0.09万元，下降4.31%，主要原因是：本年未安排公务接待工作，导致公务接待费较上年减少。其中：因公出国（境）费支出0.00万元，占0.00%，比上年增加0.00万元，增长0.00%，主要原因是：2023年与2024年均未安排因公出国（境）费支出。公务用车购置及运行维护费支出2.00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公务用车运行维护费与上年一致无变化。公务接待费支出0.00万元，占0.00%，比上年减少0.09万元，下降100.00%，主要原因是：本年未安排公务接待工作，导致公务接待费较上年减少。</w:t>
      </w:r>
    </w:p>
    <w:p w14:paraId="00081185">
      <w:pPr>
        <w:spacing w:line="580" w:lineRule="exact"/>
        <w:ind w:firstLine="640"/>
        <w:jc w:val="both"/>
      </w:pPr>
      <w:r>
        <w:rPr>
          <w:rFonts w:ascii="仿宋_GB2312" w:hAnsi="仿宋_GB2312" w:eastAsia="仿宋_GB2312"/>
          <w:b/>
          <w:sz w:val="32"/>
        </w:rPr>
        <w:t>具体情况如下：</w:t>
      </w:r>
    </w:p>
    <w:p w14:paraId="2D37D20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B1708D8">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18A6BDF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311F76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5BE2E469">
      <w:pPr>
        <w:spacing w:line="640" w:lineRule="exact"/>
        <w:ind w:firstLine="640"/>
        <w:jc w:val="both"/>
        <w:outlineLvl w:val="2"/>
      </w:pPr>
      <w:r>
        <w:rPr>
          <w:rFonts w:ascii="黑体" w:hAnsi="黑体" w:eastAsia="黑体"/>
          <w:sz w:val="32"/>
        </w:rPr>
        <w:t>十、其他重要事项的情况说明</w:t>
      </w:r>
    </w:p>
    <w:p w14:paraId="59298402">
      <w:pPr>
        <w:spacing w:line="640" w:lineRule="exact"/>
        <w:ind w:firstLine="640"/>
        <w:jc w:val="both"/>
        <w:outlineLvl w:val="3"/>
      </w:pPr>
      <w:r>
        <w:rPr>
          <w:rFonts w:ascii="楷体_GB2312" w:hAnsi="楷体_GB2312" w:eastAsia="楷体_GB2312"/>
          <w:b/>
          <w:sz w:val="32"/>
        </w:rPr>
        <w:t>（一）机关运行经费及公用经费支出情况</w:t>
      </w:r>
    </w:p>
    <w:p w14:paraId="56EAB7E0">
      <w:pPr>
        <w:spacing w:line="580" w:lineRule="exact"/>
        <w:ind w:firstLine="640"/>
        <w:jc w:val="both"/>
      </w:pPr>
      <w:r>
        <w:rPr>
          <w:rFonts w:ascii="仿宋_GB2312" w:hAnsi="仿宋_GB2312" w:eastAsia="仿宋_GB2312"/>
          <w:b w:val="0"/>
          <w:sz w:val="32"/>
        </w:rPr>
        <w:t>2024年度昌吉回族自治州红十字会（行政单位和参照公务员法管理事业单位）机关运行经费支出17.41万元，比上年减少8.55万元，下降32.94%，主要原因是：严格控制公用经费，合理节约办公用品，减少办公经费。</w:t>
      </w:r>
    </w:p>
    <w:p w14:paraId="41E81DBD">
      <w:pPr>
        <w:spacing w:line="640" w:lineRule="exact"/>
        <w:ind w:firstLine="640"/>
        <w:jc w:val="both"/>
        <w:outlineLvl w:val="3"/>
      </w:pPr>
      <w:r>
        <w:rPr>
          <w:rFonts w:ascii="楷体_GB2312" w:hAnsi="楷体_GB2312" w:eastAsia="楷体_GB2312"/>
          <w:b/>
          <w:sz w:val="32"/>
        </w:rPr>
        <w:t>（二）政府采购情况</w:t>
      </w:r>
    </w:p>
    <w:p w14:paraId="133C907C">
      <w:pPr>
        <w:spacing w:line="580" w:lineRule="exact"/>
        <w:ind w:firstLine="640"/>
        <w:jc w:val="both"/>
      </w:pPr>
      <w:r>
        <w:rPr>
          <w:rFonts w:ascii="仿宋_GB2312" w:hAnsi="仿宋_GB2312" w:eastAsia="仿宋_GB2312"/>
          <w:b w:val="0"/>
          <w:sz w:val="32"/>
        </w:rPr>
        <w:t>2024年度政府采购支出总额10.76万元，其中：政府采购货物支出2.48万元、政府采购工程支出0.00万元、政府采购服务支出8.28万元。</w:t>
      </w:r>
    </w:p>
    <w:p w14:paraId="08F48F5A">
      <w:pPr>
        <w:spacing w:line="580" w:lineRule="exact"/>
        <w:ind w:firstLine="640"/>
        <w:jc w:val="both"/>
      </w:pPr>
      <w:r>
        <w:rPr>
          <w:rFonts w:ascii="仿宋_GB2312" w:hAnsi="仿宋_GB2312" w:eastAsia="仿宋_GB2312"/>
          <w:b w:val="0"/>
          <w:sz w:val="32"/>
        </w:rPr>
        <w:t>授予中小企业合同金额10.76万元，占政府采购支出总额的100.00%，其中：授予小微企业合同金额10.76万元，占政府采购支出总额的100.00%。</w:t>
      </w:r>
    </w:p>
    <w:p w14:paraId="44E97BF7">
      <w:pPr>
        <w:spacing w:line="640" w:lineRule="exact"/>
        <w:ind w:firstLine="640"/>
        <w:jc w:val="both"/>
        <w:outlineLvl w:val="3"/>
      </w:pPr>
      <w:r>
        <w:rPr>
          <w:rFonts w:ascii="楷体_GB2312" w:hAnsi="楷体_GB2312" w:eastAsia="楷体_GB2312"/>
          <w:b/>
          <w:sz w:val="32"/>
        </w:rPr>
        <w:t>（三）国有资产占用情况说明</w:t>
      </w:r>
    </w:p>
    <w:p w14:paraId="6488F0CD">
      <w:pPr>
        <w:spacing w:line="580" w:lineRule="exact"/>
        <w:ind w:firstLine="640"/>
        <w:jc w:val="both"/>
      </w:pPr>
      <w:r>
        <w:rPr>
          <w:rFonts w:ascii="仿宋_GB2312" w:hAnsi="仿宋_GB2312" w:eastAsia="仿宋_GB2312"/>
          <w:b w:val="0"/>
          <w:sz w:val="32"/>
        </w:rPr>
        <w:t>截至2024年12月31日，房屋2,402.02平方米，价值587.63万元。车辆1辆，价值37.60万元，其中：副部（省）级及以上领导用车0辆、主要负责人用车0辆、机要通信用车0辆、应急保障用车0辆、执法执勤用车0辆、特种专业技术用车0辆、离退休干部服务用车0辆、其他用车1辆，其他用车主要是：开展救助、宣传、募捐、培训等日常工作公务用车。单价100万元（含）以上设备（不含车辆）0台（套）。</w:t>
      </w:r>
    </w:p>
    <w:p w14:paraId="4790F25B">
      <w:pPr>
        <w:spacing w:line="640" w:lineRule="exact"/>
        <w:ind w:firstLine="640"/>
        <w:jc w:val="both"/>
        <w:outlineLvl w:val="2"/>
      </w:pPr>
      <w:r>
        <w:rPr>
          <w:rFonts w:ascii="黑体" w:hAnsi="黑体" w:eastAsia="黑体"/>
          <w:sz w:val="32"/>
        </w:rPr>
        <w:t>十一、预算绩效的情况说明</w:t>
      </w:r>
    </w:p>
    <w:p w14:paraId="191B8D8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273.33万元，实际执行总额269.71万元；预算绩效评价项目3个，全年预算数80.93万元，全年执行数79.96万元。预算绩效管理取得的成效：一是聚焦“三救、三献”主责主业。充分发挥红十字会作为联系服务困难群众的桥梁纽带，进一步完善困难家庭申报、审核、评审、公示流程，强化事后回访工作力度，不断加大对物资使用的监督。春节期间，统筹安排自治区下拨物资和全州红十字系统救助基金，组织开展昌吉州“新春博爱送万家”活动，共慰问困难家庭、大病患者、志愿者等3545户、14180人，发放救助款物111.2万元。扎实做好大病患者救助工作，多方募集资金开展大病患者救助，全州共救助大病困难家庭314户，发放救助金78.3万元。持续做好困难学生助学工作，开展红十字“1+1”关爱助学、“金秋助学”等活动，共帮扶贫困学生878名，发放助学金72.1万元。协调推动国药集团伊犁医疗器械有限公司向州卫健委捐献价值887.75万元的医疗设备。二是筹资渠道不断拓宽。广泛动员会员单位、红十字志愿服务组织、社会各界积极参与“博爱一日捐”募捐活动，全州各级红十字会募集捐款371.09万元，其中州本级接受捐款20.56万元。积极适应新时代新形势，转变思想观念和筹资模式，开展网络筹资工作，组织科室骨干学习网络筹资项目建设技能，在腾讯公益平台上线筹资项目。组织开展了“5·8人道公益日”“99公益日”网络众筹宣传系列活动，并赴昌吉高新区、准东开发区与企业面对面座谈推介，共募集资金15.49万余元。通过一年的实践全州各级红十</w:t>
      </w:r>
      <w:r>
        <w:rPr>
          <w:rFonts w:hint="eastAsia" w:ascii="仿宋_GB2312" w:hAnsi="仿宋_GB2312" w:eastAsia="仿宋_GB2312"/>
          <w:b w:val="0"/>
          <w:sz w:val="32"/>
          <w:lang w:eastAsia="zh-CN"/>
        </w:rPr>
        <w:t>字会</w:t>
      </w:r>
      <w:r>
        <w:rPr>
          <w:rFonts w:ascii="仿宋_GB2312" w:hAnsi="仿宋_GB2312" w:eastAsia="仿宋_GB2312"/>
          <w:b w:val="0"/>
          <w:sz w:val="32"/>
        </w:rPr>
        <w:t>已全部建成网络筹资平台、掌握筹资技能，拓宽了筹资覆盖面，为今后网络筹资工作奠定了坚实的基础。切实为红十字人道救助提供资金保障。发现的问题及原因：一是绩效指标的明确性、可衡量性、相关性还需进一步提升。预算精细化管理还需完善，预算编制管理水平仍有进一步提升的空间。二是人道救助资金募集的方式单一、范围较窄，动员全社会力量参与红十字募捐力度不够。三是红十字</w:t>
      </w:r>
      <w:r>
        <w:rPr>
          <w:rFonts w:hint="eastAsia" w:ascii="仿宋_GB2312" w:hAnsi="仿宋_GB2312" w:eastAsia="仿宋_GB2312"/>
          <w:b w:val="0"/>
          <w:sz w:val="32"/>
          <w:lang w:eastAsia="zh-CN"/>
        </w:rPr>
        <w:t>宣传</w:t>
      </w:r>
      <w:r>
        <w:rPr>
          <w:rFonts w:ascii="仿宋_GB2312" w:hAnsi="仿宋_GB2312" w:eastAsia="仿宋_GB2312"/>
          <w:b w:val="0"/>
          <w:sz w:val="32"/>
        </w:rPr>
        <w:t>影响力还不够高，宣传工作形式单一，充分运用新媒体开展红十字宣传工作不够。四是遗体器官捐献动员活动较为单一，志愿捐献社会普及率有待进一步提升。下一步改进措施：一是高度重视财政预决算工作，加强预算的约束力。加强内部管理，严格执行预算，坚持厉行节约，进一步降低财务支出。二是加强人道救助资金募集的方式，积极开展线上和线下捐款，人人捐款，救助弱势群体。三是积极宣传红十字工作，在重要节点通过车载媒体宣传红十字工作，提升红十字公信力。四是将遗体器官捐献与红十字志愿服务深入结合，在学雷锋月、清明祭奠缅怀等节点，广泛组织红十字志愿服务队、会员单位、大、中、小学生等开展普及活动。具体附整体支出绩效自评表，项目支出绩效自评表和评价报告。</w:t>
      </w:r>
    </w:p>
    <w:p w14:paraId="1506DB1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1115"/>
        <w:gridCol w:w="851"/>
        <w:gridCol w:w="983"/>
        <w:gridCol w:w="983"/>
        <w:gridCol w:w="983"/>
        <w:gridCol w:w="983"/>
      </w:tblGrid>
      <w:tr w14:paraId="7EEDE4BE">
        <w:tblPrEx>
          <w:tblCellMar>
            <w:top w:w="0" w:type="dxa"/>
            <w:left w:w="108" w:type="dxa"/>
            <w:bottom w:w="0" w:type="dxa"/>
            <w:right w:w="108" w:type="dxa"/>
          </w:tblCellMar>
        </w:tblPrEx>
        <w:tc>
          <w:tcPr>
            <w:tcW w:w="8847" w:type="dxa"/>
            <w:gridSpan w:val="9"/>
            <w:vAlign w:val="center"/>
          </w:tcPr>
          <w:p w14:paraId="0C9FE658">
            <w:pPr>
              <w:jc w:val="center"/>
            </w:pPr>
            <w:r>
              <w:rPr>
                <w:rFonts w:ascii="宋体" w:hAnsi="宋体" w:eastAsia="宋体"/>
                <w:sz w:val="24"/>
              </w:rPr>
              <w:t>单位整体支出绩效自评表</w:t>
            </w:r>
          </w:p>
        </w:tc>
      </w:tr>
      <w:tr w14:paraId="17786134">
        <w:tblPrEx>
          <w:tblCellMar>
            <w:top w:w="0" w:type="dxa"/>
            <w:left w:w="108" w:type="dxa"/>
            <w:bottom w:w="0" w:type="dxa"/>
            <w:right w:w="108" w:type="dxa"/>
          </w:tblCellMar>
        </w:tblPrEx>
        <w:tc>
          <w:tcPr>
            <w:tcW w:w="8847" w:type="dxa"/>
            <w:gridSpan w:val="9"/>
            <w:vAlign w:val="center"/>
          </w:tcPr>
          <w:p w14:paraId="1FFA4513">
            <w:pPr>
              <w:jc w:val="center"/>
            </w:pPr>
            <w:r>
              <w:rPr>
                <w:rFonts w:ascii="宋体" w:hAnsi="宋体" w:eastAsia="宋体"/>
                <w:sz w:val="24"/>
              </w:rPr>
              <w:t>（2024年度）</w:t>
            </w:r>
          </w:p>
        </w:tc>
      </w:tr>
      <w:tr w14:paraId="731CF8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5EDC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CAD23D2">
            <w:pPr>
              <w:jc w:val="center"/>
            </w:pPr>
            <w:r>
              <w:rPr>
                <w:rFonts w:ascii="宋体" w:hAnsi="宋体" w:eastAsia="宋体"/>
                <w:sz w:val="16"/>
              </w:rPr>
              <w:t>昌吉回族自治州红十字会</w:t>
            </w:r>
          </w:p>
        </w:tc>
      </w:tr>
      <w:tr w14:paraId="2D63C5D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994A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91BC2">
            <w:pPr>
              <w:jc w:val="center"/>
            </w:pPr>
            <w:r>
              <w:rPr>
                <w:rFonts w:ascii="宋体" w:hAnsi="宋体" w:eastAsia="宋体"/>
                <w:sz w:val="16"/>
              </w:rPr>
              <w:t>资金来源</w:t>
            </w:r>
          </w:p>
        </w:tc>
        <w:tc>
          <w:tcPr>
            <w:tcW w:w="1115" w:type="dxa"/>
            <w:tcBorders>
              <w:top w:val="single" w:color="auto" w:sz="10" w:space="0"/>
              <w:left w:val="single" w:color="auto" w:sz="10" w:space="0"/>
              <w:bottom w:val="single" w:color="auto" w:sz="10" w:space="0"/>
              <w:right w:val="single" w:color="auto" w:sz="10" w:space="0"/>
              <w:insideV w:val="single" w:sz="10" w:space="0"/>
            </w:tcBorders>
            <w:vAlign w:val="center"/>
          </w:tcPr>
          <w:p w14:paraId="362AF21A">
            <w:pPr>
              <w:jc w:val="center"/>
            </w:pPr>
            <w:r>
              <w:rPr>
                <w:rFonts w:ascii="宋体" w:hAnsi="宋体" w:eastAsia="宋体"/>
                <w:sz w:val="16"/>
              </w:rPr>
              <w:t>年初预算数</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5337AE6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3E35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A3DA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05F8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5A35F">
            <w:pPr>
              <w:jc w:val="center"/>
            </w:pPr>
            <w:r>
              <w:rPr>
                <w:rFonts w:ascii="宋体" w:hAnsi="宋体" w:eastAsia="宋体"/>
                <w:sz w:val="16"/>
              </w:rPr>
              <w:t>得分</w:t>
            </w:r>
          </w:p>
        </w:tc>
      </w:tr>
      <w:tr w14:paraId="424EAA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63A3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3847">
            <w:pPr>
              <w:jc w:val="center"/>
            </w:pPr>
            <w:r>
              <w:rPr>
                <w:rFonts w:ascii="宋体" w:hAnsi="宋体" w:eastAsia="宋体"/>
                <w:sz w:val="16"/>
              </w:rPr>
              <w:t>上级资金</w:t>
            </w:r>
          </w:p>
        </w:tc>
        <w:tc>
          <w:tcPr>
            <w:tcW w:w="1115" w:type="dxa"/>
            <w:tcBorders>
              <w:top w:val="single" w:color="auto" w:sz="10" w:space="0"/>
              <w:left w:val="single" w:color="auto" w:sz="10" w:space="0"/>
              <w:bottom w:val="single" w:color="auto" w:sz="10" w:space="0"/>
              <w:right w:val="single" w:color="auto" w:sz="10" w:space="0"/>
              <w:insideV w:val="single" w:sz="10" w:space="0"/>
            </w:tcBorders>
            <w:vAlign w:val="center"/>
          </w:tcPr>
          <w:p w14:paraId="42F07FD5">
            <w:pPr>
              <w:jc w:val="center"/>
            </w:pPr>
            <w:r>
              <w:rPr>
                <w:rFonts w:ascii="宋体" w:hAnsi="宋体" w:eastAsia="宋体"/>
                <w:sz w:val="16"/>
              </w:rPr>
              <w:t>0.00</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7108B04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F284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1FC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F27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A94D1">
            <w:pPr>
              <w:jc w:val="center"/>
            </w:pPr>
            <w:r>
              <w:rPr>
                <w:rFonts w:ascii="宋体" w:hAnsi="宋体" w:eastAsia="宋体"/>
                <w:sz w:val="16"/>
              </w:rPr>
              <w:t>-</w:t>
            </w:r>
          </w:p>
        </w:tc>
      </w:tr>
      <w:tr w14:paraId="2EF4CA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750F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C15AF">
            <w:pPr>
              <w:jc w:val="center"/>
            </w:pPr>
            <w:r>
              <w:rPr>
                <w:rFonts w:ascii="宋体" w:hAnsi="宋体" w:eastAsia="宋体"/>
                <w:sz w:val="16"/>
              </w:rPr>
              <w:t>本级资金</w:t>
            </w:r>
          </w:p>
        </w:tc>
        <w:tc>
          <w:tcPr>
            <w:tcW w:w="1115" w:type="dxa"/>
            <w:tcBorders>
              <w:top w:val="single" w:color="auto" w:sz="10" w:space="0"/>
              <w:left w:val="single" w:color="auto" w:sz="10" w:space="0"/>
              <w:bottom w:val="single" w:color="auto" w:sz="10" w:space="0"/>
              <w:right w:val="single" w:color="auto" w:sz="10" w:space="0"/>
              <w:insideV w:val="single" w:sz="10" w:space="0"/>
            </w:tcBorders>
            <w:vAlign w:val="center"/>
          </w:tcPr>
          <w:p w14:paraId="6C389C17">
            <w:pPr>
              <w:jc w:val="center"/>
            </w:pPr>
            <w:r>
              <w:rPr>
                <w:rFonts w:ascii="宋体" w:hAnsi="宋体" w:eastAsia="宋体"/>
                <w:sz w:val="16"/>
              </w:rPr>
              <w:t>246.62</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411E74A7">
            <w:pPr>
              <w:jc w:val="center"/>
            </w:pPr>
            <w:r>
              <w:rPr>
                <w:rFonts w:ascii="宋体" w:hAnsi="宋体" w:eastAsia="宋体"/>
                <w:sz w:val="16"/>
              </w:rPr>
              <w:t>228.78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B6F27">
            <w:pPr>
              <w:jc w:val="center"/>
            </w:pPr>
            <w:r>
              <w:rPr>
                <w:rFonts w:ascii="宋体" w:hAnsi="宋体" w:eastAsia="宋体"/>
                <w:sz w:val="16"/>
              </w:rPr>
              <w:t>228.78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628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A2B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7AC26">
            <w:pPr>
              <w:jc w:val="center"/>
            </w:pPr>
            <w:r>
              <w:rPr>
                <w:rFonts w:ascii="宋体" w:hAnsi="宋体" w:eastAsia="宋体"/>
                <w:sz w:val="16"/>
              </w:rPr>
              <w:t>-</w:t>
            </w:r>
          </w:p>
        </w:tc>
      </w:tr>
      <w:tr w14:paraId="338AD9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8DB1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9CE33">
            <w:pPr>
              <w:jc w:val="center"/>
            </w:pPr>
            <w:r>
              <w:rPr>
                <w:rFonts w:ascii="宋体" w:hAnsi="宋体" w:eastAsia="宋体"/>
                <w:sz w:val="16"/>
              </w:rPr>
              <w:t>其他资金</w:t>
            </w:r>
          </w:p>
        </w:tc>
        <w:tc>
          <w:tcPr>
            <w:tcW w:w="1115" w:type="dxa"/>
            <w:tcBorders>
              <w:top w:val="single" w:color="auto" w:sz="10" w:space="0"/>
              <w:left w:val="single" w:color="auto" w:sz="10" w:space="0"/>
              <w:bottom w:val="single" w:color="auto" w:sz="10" w:space="0"/>
              <w:right w:val="single" w:color="auto" w:sz="10" w:space="0"/>
              <w:insideV w:val="single" w:sz="10" w:space="0"/>
            </w:tcBorders>
            <w:vAlign w:val="center"/>
          </w:tcPr>
          <w:p w14:paraId="4AD06CB8">
            <w:pPr>
              <w:jc w:val="center"/>
            </w:pPr>
            <w:r>
              <w:rPr>
                <w:rFonts w:ascii="宋体" w:hAnsi="宋体" w:eastAsia="宋体"/>
                <w:sz w:val="16"/>
              </w:rPr>
              <w:t>0.00</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058AB978">
            <w:pPr>
              <w:jc w:val="center"/>
            </w:pPr>
            <w:r>
              <w:rPr>
                <w:rFonts w:ascii="宋体" w:hAnsi="宋体" w:eastAsia="宋体"/>
                <w:sz w:val="16"/>
              </w:rPr>
              <w:t>44.55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07AD3">
            <w:pPr>
              <w:jc w:val="center"/>
            </w:pPr>
            <w:r>
              <w:rPr>
                <w:rFonts w:ascii="宋体" w:hAnsi="宋体" w:eastAsia="宋体"/>
                <w:sz w:val="16"/>
              </w:rPr>
              <w:t>40.93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B1C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617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8C4A8">
            <w:pPr>
              <w:jc w:val="center"/>
            </w:pPr>
            <w:r>
              <w:rPr>
                <w:rFonts w:ascii="宋体" w:hAnsi="宋体" w:eastAsia="宋体"/>
                <w:sz w:val="16"/>
              </w:rPr>
              <w:t>-</w:t>
            </w:r>
          </w:p>
        </w:tc>
      </w:tr>
      <w:tr w14:paraId="6EE981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565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7133D">
            <w:pPr>
              <w:jc w:val="center"/>
            </w:pPr>
            <w:r>
              <w:rPr>
                <w:rFonts w:ascii="宋体" w:hAnsi="宋体" w:eastAsia="宋体"/>
                <w:sz w:val="16"/>
              </w:rPr>
              <w:t>合计</w:t>
            </w:r>
          </w:p>
        </w:tc>
        <w:tc>
          <w:tcPr>
            <w:tcW w:w="1115" w:type="dxa"/>
            <w:tcBorders>
              <w:top w:val="single" w:color="auto" w:sz="10" w:space="0"/>
              <w:left w:val="single" w:color="auto" w:sz="10" w:space="0"/>
              <w:bottom w:val="single" w:color="auto" w:sz="10" w:space="0"/>
              <w:right w:val="single" w:color="auto" w:sz="10" w:space="0"/>
              <w:insideV w:val="single" w:sz="10" w:space="0"/>
            </w:tcBorders>
            <w:vAlign w:val="center"/>
          </w:tcPr>
          <w:p w14:paraId="7073070A">
            <w:pPr>
              <w:jc w:val="center"/>
            </w:pPr>
            <w:r>
              <w:rPr>
                <w:rFonts w:ascii="宋体" w:hAnsi="宋体" w:eastAsia="宋体"/>
                <w:sz w:val="16"/>
              </w:rPr>
              <w:t>246.62</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0D3841B6">
            <w:pPr>
              <w:jc w:val="center"/>
            </w:pPr>
            <w:r>
              <w:rPr>
                <w:rFonts w:ascii="宋体" w:hAnsi="宋体" w:eastAsia="宋体"/>
                <w:sz w:val="16"/>
              </w:rPr>
              <w:t>273.33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7275B">
            <w:pPr>
              <w:jc w:val="center"/>
            </w:pPr>
            <w:r>
              <w:rPr>
                <w:rFonts w:ascii="宋体" w:hAnsi="宋体" w:eastAsia="宋体"/>
                <w:sz w:val="16"/>
              </w:rPr>
              <w:t>269.71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363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F7AE2">
            <w:pPr>
              <w:jc w:val="center"/>
            </w:pPr>
            <w:r>
              <w:rPr>
                <w:rFonts w:ascii="宋体" w:hAnsi="宋体" w:eastAsia="宋体"/>
                <w:sz w:val="16"/>
              </w:rPr>
              <w:t>98.68%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2B8B2">
            <w:pPr>
              <w:jc w:val="center"/>
            </w:pPr>
            <w:r>
              <w:rPr>
                <w:rFonts w:ascii="宋体" w:hAnsi="宋体" w:eastAsia="宋体"/>
                <w:sz w:val="16"/>
              </w:rPr>
              <w:t>9.87</w:t>
            </w:r>
          </w:p>
        </w:tc>
      </w:tr>
      <w:tr w14:paraId="7ECEB89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F75CA">
            <w:pPr>
              <w:jc w:val="center"/>
            </w:pPr>
            <w:r>
              <w:rPr>
                <w:rFonts w:ascii="宋体" w:hAnsi="宋体" w:eastAsia="宋体"/>
                <w:sz w:val="16"/>
              </w:rPr>
              <w:t>年度总体目标</w:t>
            </w:r>
          </w:p>
        </w:tc>
        <w:tc>
          <w:tcPr>
            <w:tcW w:w="30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0DE5C9">
            <w:pPr>
              <w:jc w:val="center"/>
            </w:pPr>
            <w:r>
              <w:rPr>
                <w:rFonts w:ascii="宋体" w:hAnsi="宋体" w:eastAsia="宋体"/>
                <w:sz w:val="16"/>
              </w:rPr>
              <w:t>预期目标</w:t>
            </w:r>
          </w:p>
        </w:tc>
        <w:tc>
          <w:tcPr>
            <w:tcW w:w="478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8B15C">
            <w:pPr>
              <w:jc w:val="center"/>
            </w:pPr>
            <w:r>
              <w:rPr>
                <w:rFonts w:ascii="宋体" w:hAnsi="宋体" w:eastAsia="宋体"/>
                <w:sz w:val="16"/>
              </w:rPr>
              <w:t>实际完成情况</w:t>
            </w:r>
          </w:p>
        </w:tc>
      </w:tr>
      <w:tr w14:paraId="42AD0A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DBAC7A"/>
        </w:tc>
        <w:tc>
          <w:tcPr>
            <w:tcW w:w="30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D7C7E7">
            <w:pPr>
              <w:jc w:val="both"/>
            </w:pPr>
            <w:r>
              <w:rPr>
                <w:rFonts w:ascii="宋体" w:hAnsi="宋体" w:eastAsia="宋体"/>
                <w:sz w:val="16"/>
              </w:rPr>
              <w:t>2024年，昌吉州红十字会坚持以习近平新时代中国特色社会主义思想为指导，深入贯彻落实习近平总书记视察新疆重要讲话重要指示精神，完整准确全面贯彻新发展理念，坚持以人民为中心的发展理念，广泛宣传倡导“人道、博爱、奉献”的红十字精神，大力开展应急救援、人道救助、应急救护培训，积极推动无偿献血、造血干细胞、遗体和（人体）器官捐献的宣传、动员、登记服务管理工作，积极推动开展红十字志愿服务、基层组织建设、红十字青少年工作、进一步推进昌吉州红十字事业高质量发展。</w:t>
            </w:r>
          </w:p>
        </w:tc>
        <w:tc>
          <w:tcPr>
            <w:tcW w:w="478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E9B7E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全年预算数为273.33万元，全年执行数为269.71万元，总预算执行率为98.68%。2024年</w:t>
            </w:r>
            <w:r>
              <w:rPr>
                <w:rFonts w:hint="eastAsia" w:ascii="宋体" w:hAnsi="宋体"/>
                <w:sz w:val="16"/>
                <w:lang w:eastAsia="zh-CN"/>
              </w:rPr>
              <w:t>本单位</w:t>
            </w:r>
            <w:r>
              <w:rPr>
                <w:rFonts w:ascii="宋体" w:hAnsi="宋体" w:eastAsia="宋体"/>
                <w:sz w:val="16"/>
              </w:rPr>
              <w:t>完成开展博爱一日捐活动1次；开展5·8红十字博爱州宣传活动1次；组织红十字博爱送温暖活动，慰问困难家庭20户；开展志愿服务活动8次；完成造血干细胞志愿者入库数100人次；开展无偿献血宣传活动次数1次；开展人体器官捐献宣传活动1次，通过以上工作实施，进一步推进了昌吉州红十字事业高质量发展。</w:t>
            </w:r>
          </w:p>
        </w:tc>
      </w:tr>
      <w:tr w14:paraId="591A358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7843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32969">
            <w:pPr>
              <w:jc w:val="center"/>
            </w:pPr>
            <w:r>
              <w:rPr>
                <w:rFonts w:ascii="宋体" w:hAnsi="宋体" w:eastAsia="宋体"/>
                <w:sz w:val="16"/>
              </w:rPr>
              <w:t>二级指标</w:t>
            </w:r>
          </w:p>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648F8">
            <w:pPr>
              <w:jc w:val="center"/>
            </w:pPr>
            <w:r>
              <w:rPr>
                <w:rFonts w:ascii="宋体" w:hAnsi="宋体" w:eastAsia="宋体"/>
                <w:sz w:val="16"/>
              </w:rPr>
              <w:t>三级指标</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1EE5B02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2086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8F52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19C2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B3D62">
            <w:pPr>
              <w:jc w:val="center"/>
            </w:pPr>
            <w:r>
              <w:rPr>
                <w:rFonts w:ascii="宋体" w:hAnsi="宋体" w:eastAsia="宋体"/>
                <w:sz w:val="16"/>
              </w:rPr>
              <w:t>得分</w:t>
            </w:r>
          </w:p>
        </w:tc>
      </w:tr>
      <w:tr w14:paraId="7DF0D6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25D5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9326C">
            <w:pPr>
              <w:jc w:val="center"/>
            </w:pPr>
            <w:r>
              <w:rPr>
                <w:rFonts w:ascii="宋体" w:hAnsi="宋体" w:eastAsia="宋体"/>
                <w:sz w:val="16"/>
              </w:rPr>
              <w:t>数量指标</w:t>
            </w:r>
          </w:p>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BB94F">
            <w:pPr>
              <w:jc w:val="center"/>
            </w:pPr>
            <w:r>
              <w:rPr>
                <w:rFonts w:ascii="宋体" w:hAnsi="宋体" w:eastAsia="宋体"/>
                <w:sz w:val="16"/>
              </w:rPr>
              <w:t>开展博爱一日捐活动</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0E48A876">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4A21B">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099A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AA3D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0BA62">
            <w:pPr>
              <w:jc w:val="center"/>
            </w:pPr>
            <w:r>
              <w:rPr>
                <w:rFonts w:ascii="宋体" w:hAnsi="宋体" w:eastAsia="宋体"/>
                <w:sz w:val="16"/>
              </w:rPr>
              <w:t>15</w:t>
            </w:r>
          </w:p>
        </w:tc>
      </w:tr>
      <w:tr w14:paraId="624B46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30CD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06F87B"/>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30DC3">
            <w:pPr>
              <w:jc w:val="center"/>
            </w:pPr>
            <w:r>
              <w:rPr>
                <w:rFonts w:ascii="宋体" w:hAnsi="宋体" w:eastAsia="宋体"/>
                <w:sz w:val="16"/>
              </w:rPr>
              <w:t>5·8红十字博爱周开展宣传活动</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3DB56A46">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A3178">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E4DE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5453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7FDBC">
            <w:pPr>
              <w:jc w:val="center"/>
            </w:pPr>
            <w:r>
              <w:rPr>
                <w:rFonts w:ascii="宋体" w:hAnsi="宋体" w:eastAsia="宋体"/>
                <w:sz w:val="16"/>
              </w:rPr>
              <w:t>15</w:t>
            </w:r>
          </w:p>
        </w:tc>
      </w:tr>
      <w:tr w14:paraId="01E846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CBC7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ACBD89"/>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AD7B2">
            <w:pPr>
              <w:jc w:val="center"/>
            </w:pPr>
            <w:r>
              <w:rPr>
                <w:rFonts w:ascii="宋体" w:hAnsi="宋体" w:eastAsia="宋体"/>
                <w:sz w:val="16"/>
              </w:rPr>
              <w:t>启动红十字博爱送温暖活动，慰问困难家庭</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37F4ADAF">
            <w:pPr>
              <w:jc w:val="center"/>
            </w:pPr>
            <w:r>
              <w:rPr>
                <w:rFonts w:ascii="宋体" w:hAnsi="宋体" w:eastAsia="宋体"/>
                <w:sz w:val="16"/>
              </w:rPr>
              <w:t>&gt;=20户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8C971">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0F3A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1E07D">
            <w:pPr>
              <w:jc w:val="center"/>
            </w:pPr>
            <w:r>
              <w:rPr>
                <w:rFonts w:ascii="宋体" w:hAnsi="宋体" w:eastAsia="宋体"/>
                <w:sz w:val="16"/>
              </w:rPr>
              <w:t>20户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BD855">
            <w:pPr>
              <w:jc w:val="center"/>
            </w:pPr>
            <w:r>
              <w:rPr>
                <w:rFonts w:ascii="宋体" w:hAnsi="宋体" w:eastAsia="宋体"/>
                <w:sz w:val="16"/>
              </w:rPr>
              <w:t>15</w:t>
            </w:r>
          </w:p>
        </w:tc>
      </w:tr>
      <w:tr w14:paraId="43A74D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C03E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47314E"/>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0052C">
            <w:pPr>
              <w:jc w:val="center"/>
            </w:pPr>
            <w:r>
              <w:rPr>
                <w:rFonts w:ascii="宋体" w:hAnsi="宋体" w:eastAsia="宋体"/>
                <w:sz w:val="16"/>
              </w:rPr>
              <w:t>开展志愿服务活动</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52455CCD">
            <w:pPr>
              <w:jc w:val="center"/>
            </w:pPr>
            <w:r>
              <w:rPr>
                <w:rFonts w:ascii="宋体" w:hAnsi="宋体" w:eastAsia="宋体"/>
                <w:sz w:val="16"/>
              </w:rPr>
              <w:t>&gt;=8次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A0963">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FE97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0798F">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10DB2">
            <w:pPr>
              <w:jc w:val="center"/>
            </w:pPr>
            <w:r>
              <w:rPr>
                <w:rFonts w:ascii="宋体" w:hAnsi="宋体" w:eastAsia="宋体"/>
                <w:sz w:val="16"/>
              </w:rPr>
              <w:t>15</w:t>
            </w:r>
          </w:p>
        </w:tc>
      </w:tr>
      <w:tr w14:paraId="22F79A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C71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D061BB"/>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1C4D7">
            <w:pPr>
              <w:jc w:val="center"/>
            </w:pPr>
            <w:r>
              <w:rPr>
                <w:rFonts w:ascii="宋体" w:hAnsi="宋体" w:eastAsia="宋体"/>
                <w:sz w:val="16"/>
              </w:rPr>
              <w:t>造血干细胞志愿者入库数量</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3C0F577C">
            <w:pPr>
              <w:jc w:val="center"/>
            </w:pPr>
            <w:r>
              <w:rPr>
                <w:rFonts w:ascii="宋体" w:hAnsi="宋体" w:eastAsia="宋体"/>
                <w:sz w:val="16"/>
              </w:rPr>
              <w:t>&gt;=100人次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B3D98">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4CB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3BC45">
            <w:pPr>
              <w:jc w:val="center"/>
            </w:pPr>
            <w:r>
              <w:rPr>
                <w:rFonts w:ascii="宋体" w:hAnsi="宋体" w:eastAsia="宋体"/>
                <w:sz w:val="16"/>
              </w:rPr>
              <w:t>100人次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359F5">
            <w:pPr>
              <w:jc w:val="center"/>
            </w:pPr>
            <w:r>
              <w:rPr>
                <w:rFonts w:ascii="宋体" w:hAnsi="宋体" w:eastAsia="宋体"/>
                <w:sz w:val="16"/>
              </w:rPr>
              <w:t>10</w:t>
            </w:r>
          </w:p>
        </w:tc>
      </w:tr>
      <w:tr w14:paraId="671A2E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A71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81C05B"/>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A4282">
            <w:pPr>
              <w:jc w:val="center"/>
            </w:pPr>
            <w:r>
              <w:rPr>
                <w:rFonts w:ascii="宋体" w:hAnsi="宋体" w:eastAsia="宋体"/>
                <w:sz w:val="16"/>
              </w:rPr>
              <w:t>开展无偿献血宣传活动次数</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6871B4A7">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97646">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13F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A4CC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E670A">
            <w:pPr>
              <w:jc w:val="center"/>
            </w:pPr>
            <w:r>
              <w:rPr>
                <w:rFonts w:ascii="宋体" w:hAnsi="宋体" w:eastAsia="宋体"/>
                <w:sz w:val="16"/>
              </w:rPr>
              <w:t>10</w:t>
            </w:r>
          </w:p>
        </w:tc>
      </w:tr>
      <w:tr w14:paraId="0196B9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88E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E4881A"/>
        </w:tc>
        <w:tc>
          <w:tcPr>
            <w:tcW w:w="20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2336E">
            <w:pPr>
              <w:jc w:val="center"/>
            </w:pPr>
            <w:r>
              <w:rPr>
                <w:rFonts w:ascii="宋体" w:hAnsi="宋体" w:eastAsia="宋体"/>
                <w:sz w:val="16"/>
              </w:rPr>
              <w:t>开展人体器官捐献宣传活动</w:t>
            </w:r>
          </w:p>
        </w:tc>
        <w:tc>
          <w:tcPr>
            <w:tcW w:w="851" w:type="dxa"/>
            <w:tcBorders>
              <w:top w:val="single" w:color="auto" w:sz="10" w:space="0"/>
              <w:left w:val="single" w:color="auto" w:sz="10" w:space="0"/>
              <w:bottom w:val="single" w:color="auto" w:sz="10" w:space="0"/>
              <w:right w:val="single" w:color="auto" w:sz="10" w:space="0"/>
              <w:insideV w:val="single" w:sz="10" w:space="0"/>
            </w:tcBorders>
            <w:vAlign w:val="center"/>
          </w:tcPr>
          <w:p w14:paraId="603CEAD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EB0DD">
            <w:pPr>
              <w:jc w:val="center"/>
            </w:pPr>
            <w:r>
              <w:rPr>
                <w:rFonts w:ascii="宋体" w:hAnsi="宋体" w:eastAsia="宋体"/>
                <w:sz w:val="16"/>
              </w:rPr>
              <w:t>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E3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9DB7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14372">
            <w:pPr>
              <w:jc w:val="center"/>
            </w:pPr>
            <w:r>
              <w:rPr>
                <w:rFonts w:ascii="宋体" w:hAnsi="宋体" w:eastAsia="宋体"/>
                <w:sz w:val="16"/>
              </w:rPr>
              <w:t>10</w:t>
            </w:r>
          </w:p>
        </w:tc>
      </w:tr>
    </w:tbl>
    <w:p w14:paraId="00A5D9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2BBA3C9A">
        <w:tblPrEx>
          <w:tblCellMar>
            <w:top w:w="0" w:type="dxa"/>
            <w:left w:w="108" w:type="dxa"/>
            <w:bottom w:w="0" w:type="dxa"/>
            <w:right w:w="108" w:type="dxa"/>
          </w:tblCellMar>
        </w:tblPrEx>
        <w:tc>
          <w:tcPr>
            <w:tcW w:w="8848" w:type="dxa"/>
            <w:gridSpan w:val="14"/>
            <w:vAlign w:val="center"/>
          </w:tcPr>
          <w:p w14:paraId="4B81235D">
            <w:pPr>
              <w:jc w:val="center"/>
            </w:pPr>
            <w:r>
              <w:rPr>
                <w:rFonts w:ascii="宋体" w:hAnsi="宋体" w:eastAsia="宋体"/>
                <w:sz w:val="24"/>
              </w:rPr>
              <w:t>项目支出绩效自评表</w:t>
            </w:r>
          </w:p>
        </w:tc>
      </w:tr>
      <w:tr w14:paraId="47806D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7BD936">
            <w:pPr>
              <w:jc w:val="center"/>
            </w:pPr>
            <w:r>
              <w:rPr>
                <w:rFonts w:ascii="宋体" w:hAnsi="宋体" w:eastAsia="宋体"/>
                <w:sz w:val="24"/>
              </w:rPr>
              <w:t>(2024年度)</w:t>
            </w:r>
          </w:p>
        </w:tc>
      </w:tr>
      <w:tr w14:paraId="515054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F0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10BDA3">
            <w:pPr>
              <w:jc w:val="center"/>
            </w:pPr>
            <w:r>
              <w:rPr>
                <w:rFonts w:ascii="宋体" w:hAnsi="宋体" w:eastAsia="宋体"/>
                <w:sz w:val="16"/>
              </w:rPr>
              <w:t>应急救护能力专题培训</w:t>
            </w:r>
          </w:p>
        </w:tc>
      </w:tr>
      <w:tr w14:paraId="6ABD2B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19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AA988B">
            <w:pPr>
              <w:jc w:val="center"/>
            </w:pPr>
            <w:r>
              <w:rPr>
                <w:rFonts w:ascii="宋体" w:hAnsi="宋体" w:eastAsia="宋体"/>
                <w:sz w:val="16"/>
              </w:rPr>
              <w:t>昌吉回族自治州红十字会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8F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8A667C">
            <w:pPr>
              <w:jc w:val="center"/>
            </w:pPr>
            <w:r>
              <w:rPr>
                <w:rFonts w:ascii="宋体" w:hAnsi="宋体" w:eastAsia="宋体"/>
                <w:sz w:val="16"/>
              </w:rPr>
              <w:t>昌吉回族自治州红十字会</w:t>
            </w:r>
          </w:p>
        </w:tc>
      </w:tr>
      <w:tr w14:paraId="54D1A8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840C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9E2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EC9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6D2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DA5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E74F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CA8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0C62">
            <w:pPr>
              <w:jc w:val="center"/>
            </w:pPr>
            <w:r>
              <w:rPr>
                <w:rFonts w:ascii="宋体" w:hAnsi="宋体" w:eastAsia="宋体"/>
                <w:sz w:val="16"/>
              </w:rPr>
              <w:t>得分</w:t>
            </w:r>
          </w:p>
        </w:tc>
      </w:tr>
      <w:tr w14:paraId="33E453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5CE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B29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F76C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1289A">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0D36D">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A1D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1BF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65B4">
            <w:pPr>
              <w:jc w:val="center"/>
            </w:pPr>
            <w:r>
              <w:rPr>
                <w:rFonts w:ascii="宋体" w:hAnsi="宋体" w:eastAsia="宋体"/>
                <w:sz w:val="16"/>
              </w:rPr>
              <w:t>10.00</w:t>
            </w:r>
          </w:p>
        </w:tc>
      </w:tr>
      <w:tr w14:paraId="53E17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60C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78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9AE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0B9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A23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F2D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25C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2998">
            <w:pPr>
              <w:jc w:val="center"/>
            </w:pPr>
            <w:r>
              <w:rPr>
                <w:rFonts w:ascii="宋体" w:hAnsi="宋体" w:eastAsia="宋体"/>
                <w:sz w:val="16"/>
              </w:rPr>
              <w:t>—</w:t>
            </w:r>
          </w:p>
        </w:tc>
      </w:tr>
      <w:tr w14:paraId="5E69F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5D7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C5A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E5E21">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5C328">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6DEB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AEE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351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3FC2">
            <w:pPr>
              <w:jc w:val="center"/>
            </w:pPr>
            <w:r>
              <w:rPr>
                <w:rFonts w:ascii="宋体" w:hAnsi="宋体" w:eastAsia="宋体"/>
                <w:sz w:val="16"/>
              </w:rPr>
              <w:t>—</w:t>
            </w:r>
          </w:p>
        </w:tc>
      </w:tr>
      <w:tr w14:paraId="3DBBB9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E1CC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EBC0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3DF74C">
            <w:pPr>
              <w:jc w:val="center"/>
            </w:pPr>
            <w:r>
              <w:rPr>
                <w:rFonts w:ascii="宋体" w:hAnsi="宋体" w:eastAsia="宋体"/>
                <w:sz w:val="16"/>
              </w:rPr>
              <w:t>实际完成情况</w:t>
            </w:r>
          </w:p>
        </w:tc>
      </w:tr>
      <w:tr w14:paraId="15087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D79A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EED57B">
            <w:pPr>
              <w:jc w:val="both"/>
            </w:pPr>
            <w:r>
              <w:rPr>
                <w:rFonts w:ascii="宋体" w:hAnsi="宋体" w:eastAsia="宋体"/>
                <w:sz w:val="16"/>
              </w:rPr>
              <w:t>2024年该项目计划在党校培训1期，为期5天，参训人数40人，预算经费4万元。通过严格管理和优质教学，丰富的课程设置和人性化的管理，培训出勤率达到100%，学员满意度达到90%以上，进一步提升学员业务素质和综合能力。开阔学员的视野，增强爱国情怀。项目计划于2024年9月30日前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1FECB4">
            <w:pPr>
              <w:jc w:val="both"/>
            </w:pPr>
            <w:r>
              <w:rPr>
                <w:rFonts w:hint="eastAsia" w:ascii="宋体" w:hAnsi="宋体"/>
                <w:sz w:val="16"/>
                <w:lang w:eastAsia="zh-CN"/>
              </w:rPr>
              <w:t>截至</w:t>
            </w:r>
            <w:r>
              <w:rPr>
                <w:rFonts w:ascii="宋体" w:hAnsi="宋体" w:eastAsia="宋体"/>
                <w:sz w:val="16"/>
              </w:rPr>
              <w:t>2024年12月31日，该项目实际完成培训1期，为期5天，参训人数40人，住宿费110元/人·天，餐费60元/人·天，开展现场教学3场次，交流研讨1场次，培训出勤保障率达到100%，学员满意度达到90%，通过该项目的实施，进一步提升学员业务素质和综合能力，促进了红十字应急救护培训工作的大力发展。</w:t>
            </w:r>
          </w:p>
        </w:tc>
      </w:tr>
      <w:tr w14:paraId="7B3E72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5244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CB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64A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368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CE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DA6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F9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8BB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40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230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96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1A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0033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9C3F">
            <w:pPr>
              <w:jc w:val="center"/>
            </w:pPr>
            <w:r>
              <w:rPr>
                <w:rFonts w:ascii="宋体" w:hAnsi="宋体" w:eastAsia="宋体"/>
                <w:sz w:val="16"/>
              </w:rPr>
              <w:t>偏差原因分析及改进措施</w:t>
            </w:r>
          </w:p>
        </w:tc>
      </w:tr>
      <w:tr w14:paraId="2CBE1A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1DAA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3FAD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A93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7A34">
            <w:pPr>
              <w:jc w:val="center"/>
            </w:pPr>
            <w:r>
              <w:rPr>
                <w:rFonts w:ascii="宋体" w:hAnsi="宋体" w:eastAsia="宋体"/>
                <w:sz w:val="16"/>
              </w:rPr>
              <w:t>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17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1A52">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7BCB3">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E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9FC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28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22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F9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1D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3B24">
            <w:pPr>
              <w:jc w:val="center"/>
            </w:pPr>
          </w:p>
        </w:tc>
      </w:tr>
      <w:tr w14:paraId="233403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F96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9AB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85F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4BAB">
            <w:pPr>
              <w:jc w:val="center"/>
            </w:pPr>
            <w:r>
              <w:rPr>
                <w:rFonts w:ascii="宋体" w:hAnsi="宋体" w:eastAsia="宋体"/>
                <w:sz w:val="16"/>
              </w:rPr>
              <w:t>完成现场教学次数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81A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B852">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AF2F">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C0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EB9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19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59E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27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FEA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D286">
            <w:pPr>
              <w:jc w:val="center"/>
            </w:pPr>
          </w:p>
        </w:tc>
      </w:tr>
      <w:tr w14:paraId="531AD8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96E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C07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EE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F7C0">
            <w:pPr>
              <w:jc w:val="center"/>
            </w:pPr>
            <w:r>
              <w:rPr>
                <w:rFonts w:ascii="宋体" w:hAnsi="宋体" w:eastAsia="宋体"/>
                <w:sz w:val="16"/>
              </w:rPr>
              <w:t>完成交流研讨次数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95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61B1">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389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C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A27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AD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12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D9F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0E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553A">
            <w:pPr>
              <w:jc w:val="center"/>
            </w:pPr>
          </w:p>
        </w:tc>
      </w:tr>
      <w:tr w14:paraId="03AEB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FD5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9B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FA6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8303">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BF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9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740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E0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187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3F2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DD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2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28F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0A46">
            <w:pPr>
              <w:jc w:val="center"/>
            </w:pPr>
          </w:p>
        </w:tc>
      </w:tr>
      <w:tr w14:paraId="2A060A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07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A29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C25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A36E">
            <w:pPr>
              <w:jc w:val="center"/>
            </w:pPr>
            <w:r>
              <w:rPr>
                <w:rFonts w:ascii="宋体" w:hAnsi="宋体" w:eastAsia="宋体"/>
                <w:sz w:val="16"/>
              </w:rPr>
              <w:t>培训完成时限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2A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5BD7">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4887">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F5F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F10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A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5A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542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8E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18C2">
            <w:pPr>
              <w:jc w:val="center"/>
            </w:pPr>
          </w:p>
        </w:tc>
      </w:tr>
      <w:tr w14:paraId="08FEB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A81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BA9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E52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BC7BB">
            <w:pPr>
              <w:jc w:val="center"/>
            </w:pPr>
            <w:r>
              <w:rPr>
                <w:rFonts w:ascii="宋体" w:hAnsi="宋体" w:eastAsia="宋体"/>
                <w:sz w:val="16"/>
              </w:rPr>
              <w:t>住宿标准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FC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A00D">
            <w:pPr>
              <w:jc w:val="center"/>
            </w:pPr>
            <w:r>
              <w:rPr>
                <w:rFonts w:ascii="宋体" w:hAnsi="宋体" w:eastAsia="宋体"/>
                <w:sz w:val="16"/>
              </w:rPr>
              <w:t>&lt;=110元/人·天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7D61">
            <w:pPr>
              <w:jc w:val="center"/>
            </w:pPr>
            <w:r>
              <w:rPr>
                <w:rFonts w:ascii="宋体" w:hAnsi="宋体" w:eastAsia="宋体"/>
                <w:sz w:val="16"/>
              </w:rPr>
              <w:t>=110元/人·天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B8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8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36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4EF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6E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11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A5B6">
            <w:pPr>
              <w:jc w:val="center"/>
            </w:pPr>
          </w:p>
        </w:tc>
      </w:tr>
      <w:tr w14:paraId="5D0D8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2CD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6C9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3A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51053">
            <w:pPr>
              <w:jc w:val="center"/>
            </w:pPr>
            <w:r>
              <w:rPr>
                <w:rFonts w:ascii="宋体" w:hAnsi="宋体" w:eastAsia="宋体"/>
                <w:sz w:val="16"/>
              </w:rPr>
              <w:t>餐费标准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45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BED32">
            <w:pPr>
              <w:jc w:val="center"/>
            </w:pPr>
            <w:r>
              <w:rPr>
                <w:rFonts w:ascii="宋体" w:hAnsi="宋体" w:eastAsia="宋体"/>
                <w:sz w:val="16"/>
              </w:rPr>
              <w:t>&lt;=60元/人·天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8F19">
            <w:pPr>
              <w:jc w:val="center"/>
            </w:pPr>
            <w:r>
              <w:rPr>
                <w:rFonts w:ascii="宋体" w:hAnsi="宋体" w:eastAsia="宋体"/>
                <w:sz w:val="16"/>
              </w:rPr>
              <w:t>=60元/人·天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37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F2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8E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27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26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8A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D56F">
            <w:pPr>
              <w:jc w:val="center"/>
            </w:pPr>
          </w:p>
        </w:tc>
      </w:tr>
      <w:tr w14:paraId="2F91C7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1C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4C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C2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879A">
            <w:pPr>
              <w:jc w:val="center"/>
            </w:pPr>
            <w:r>
              <w:rPr>
                <w:rFonts w:ascii="宋体" w:hAnsi="宋体" w:eastAsia="宋体"/>
                <w:sz w:val="16"/>
              </w:rPr>
              <w:t>提升应急救护培训业务能力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5B5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B41A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3F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C28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4B6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12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F3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CBD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D7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698AE">
            <w:pPr>
              <w:jc w:val="center"/>
            </w:pPr>
          </w:p>
        </w:tc>
      </w:tr>
      <w:tr w14:paraId="73070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C26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B92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8DA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1208">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0B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B1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F5B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C1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5A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6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87E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F8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FB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DF58">
            <w:pPr>
              <w:jc w:val="center"/>
            </w:pPr>
          </w:p>
        </w:tc>
      </w:tr>
      <w:tr w14:paraId="20B77A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9CE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84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9F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F4E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F8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20A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CB8E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56F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FE5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1CF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8C9EC"/>
        </w:tc>
      </w:tr>
    </w:tbl>
    <w:p w14:paraId="1D6328E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5B24C00E">
        <w:tc>
          <w:tcPr>
            <w:tcW w:w="8848" w:type="dxa"/>
            <w:gridSpan w:val="14"/>
            <w:vAlign w:val="center"/>
          </w:tcPr>
          <w:p w14:paraId="772034DE">
            <w:pPr>
              <w:jc w:val="center"/>
            </w:pPr>
            <w:r>
              <w:rPr>
                <w:rFonts w:ascii="宋体" w:hAnsi="宋体" w:eastAsia="宋体"/>
                <w:sz w:val="24"/>
              </w:rPr>
              <w:t>项目支出绩效自评表</w:t>
            </w:r>
          </w:p>
        </w:tc>
      </w:tr>
      <w:tr w14:paraId="631BD0C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D8EB44">
            <w:pPr>
              <w:jc w:val="center"/>
            </w:pPr>
            <w:r>
              <w:rPr>
                <w:rFonts w:ascii="宋体" w:hAnsi="宋体" w:eastAsia="宋体"/>
                <w:sz w:val="24"/>
              </w:rPr>
              <w:t>(2024年度)</w:t>
            </w:r>
          </w:p>
        </w:tc>
      </w:tr>
      <w:tr w14:paraId="4FB815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F1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70831C">
            <w:pPr>
              <w:jc w:val="center"/>
            </w:pPr>
            <w:r>
              <w:rPr>
                <w:rFonts w:ascii="宋体" w:hAnsi="宋体" w:eastAsia="宋体"/>
                <w:sz w:val="16"/>
              </w:rPr>
              <w:t>昌吉回族自治州红十字会事业费</w:t>
            </w:r>
          </w:p>
        </w:tc>
      </w:tr>
      <w:tr w14:paraId="2FC69D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DB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52010D">
            <w:pPr>
              <w:jc w:val="center"/>
            </w:pPr>
            <w:r>
              <w:rPr>
                <w:rFonts w:ascii="宋体" w:hAnsi="宋体" w:eastAsia="宋体"/>
                <w:sz w:val="16"/>
              </w:rPr>
              <w:t>昌吉回族自治州红十字会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D1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627FEF">
            <w:pPr>
              <w:jc w:val="center"/>
            </w:pPr>
            <w:r>
              <w:rPr>
                <w:rFonts w:ascii="宋体" w:hAnsi="宋体" w:eastAsia="宋体"/>
                <w:sz w:val="16"/>
              </w:rPr>
              <w:t>昌吉回族自治州红十字会</w:t>
            </w:r>
          </w:p>
        </w:tc>
      </w:tr>
      <w:tr w14:paraId="794F5E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80E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652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D36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61A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2C8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86DD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428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3740">
            <w:pPr>
              <w:jc w:val="center"/>
            </w:pPr>
            <w:r>
              <w:rPr>
                <w:rFonts w:ascii="宋体" w:hAnsi="宋体" w:eastAsia="宋体"/>
                <w:sz w:val="16"/>
              </w:rPr>
              <w:t>得分</w:t>
            </w:r>
          </w:p>
        </w:tc>
      </w:tr>
      <w:tr w14:paraId="64654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175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204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FD23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4A552">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17286">
            <w:pPr>
              <w:jc w:val="center"/>
            </w:pPr>
            <w:r>
              <w:rPr>
                <w:rFonts w:ascii="宋体" w:hAnsi="宋体" w:eastAsia="宋体"/>
                <w:sz w:val="16"/>
              </w:rPr>
              <w:t>39.03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D59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487F0">
            <w:pPr>
              <w:jc w:val="center"/>
            </w:pPr>
            <w:r>
              <w:rPr>
                <w:rFonts w:ascii="宋体" w:hAnsi="宋体" w:eastAsia="宋体"/>
                <w:sz w:val="16"/>
              </w:rPr>
              <w:t>97.58%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C242">
            <w:pPr>
              <w:jc w:val="center"/>
            </w:pPr>
            <w:r>
              <w:rPr>
                <w:rFonts w:ascii="宋体" w:hAnsi="宋体" w:eastAsia="宋体"/>
                <w:sz w:val="16"/>
              </w:rPr>
              <w:t>9.39</w:t>
            </w:r>
          </w:p>
        </w:tc>
      </w:tr>
      <w:tr w14:paraId="0D185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1B1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F35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9910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BF8BF">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7E8FF">
            <w:pPr>
              <w:jc w:val="center"/>
            </w:pPr>
            <w:r>
              <w:rPr>
                <w:rFonts w:ascii="宋体" w:hAnsi="宋体" w:eastAsia="宋体"/>
                <w:sz w:val="16"/>
              </w:rPr>
              <w:t>39.03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9BD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753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D6921">
            <w:pPr>
              <w:jc w:val="center"/>
            </w:pPr>
            <w:r>
              <w:rPr>
                <w:rFonts w:ascii="宋体" w:hAnsi="宋体" w:eastAsia="宋体"/>
                <w:sz w:val="16"/>
              </w:rPr>
              <w:t>—</w:t>
            </w:r>
          </w:p>
        </w:tc>
      </w:tr>
      <w:tr w14:paraId="42B74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0CC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8E3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749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200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8B4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E6D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DBD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123C">
            <w:pPr>
              <w:jc w:val="center"/>
            </w:pPr>
            <w:r>
              <w:rPr>
                <w:rFonts w:ascii="宋体" w:hAnsi="宋体" w:eastAsia="宋体"/>
                <w:sz w:val="16"/>
              </w:rPr>
              <w:t>—</w:t>
            </w:r>
          </w:p>
        </w:tc>
      </w:tr>
      <w:tr w14:paraId="3272A0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560A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BA52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63CEC1">
            <w:pPr>
              <w:jc w:val="center"/>
            </w:pPr>
            <w:r>
              <w:rPr>
                <w:rFonts w:ascii="宋体" w:hAnsi="宋体" w:eastAsia="宋体"/>
                <w:sz w:val="16"/>
              </w:rPr>
              <w:t>实际完成情况</w:t>
            </w:r>
          </w:p>
        </w:tc>
      </w:tr>
      <w:tr w14:paraId="37DB8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448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E63207">
            <w:pPr>
              <w:jc w:val="both"/>
            </w:pPr>
            <w:r>
              <w:rPr>
                <w:rFonts w:ascii="宋体" w:hAnsi="宋体" w:eastAsia="宋体"/>
                <w:sz w:val="16"/>
              </w:rPr>
              <w:t>（一）宣传贯彻《中华人民共和国红十字会法</w:t>
            </w:r>
            <w:r>
              <w:rPr>
                <w:rFonts w:hint="eastAsia" w:ascii="宋体" w:hAnsi="宋体"/>
                <w:sz w:val="16"/>
                <w:lang w:eastAsia="zh-CN"/>
              </w:rPr>
              <w:t>》《</w:t>
            </w:r>
            <w:r>
              <w:rPr>
                <w:rFonts w:ascii="宋体" w:hAnsi="宋体" w:eastAsia="宋体"/>
                <w:sz w:val="16"/>
              </w:rPr>
              <w:t>红十字会章程》，指导全州各级红十字会开展工作；（二）开展救援、救灾的相关工作，建立红十字应急救援体系，在自然灾害和突发事件中，对伤病人员和其他受害者进行人道救助；（三）开展群众性应急救护培训，普及应急救护、防灾避险和卫生健康知识。（四）参与推动无偿献血、遗体和人体器官捐献工作，参与开展造血干细胞捐献的相关工作；（五）组织开展红十字志愿服务、红十字青少年工作；积极在社会上大力倡导“人道、博爱、奉献”红十字精神；1、组织开展人道救助工作；2、开展应急救护知识技能培训“五进”工作，普及救护技能与防病知识培训；3、运营维护场所的维护；4、开展造血干细胞捐献、人体和遗体器官捐献、无偿献血宣传动员；5、微信公众号做好红十字事业宣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F17D18">
            <w:pPr>
              <w:jc w:val="both"/>
            </w:pPr>
            <w:r>
              <w:rPr>
                <w:rFonts w:hint="eastAsia" w:ascii="宋体" w:hAnsi="宋体"/>
                <w:sz w:val="16"/>
                <w:lang w:eastAsia="zh-CN"/>
              </w:rPr>
              <w:t>截至</w:t>
            </w:r>
            <w:r>
              <w:rPr>
                <w:rFonts w:ascii="宋体" w:hAnsi="宋体" w:eastAsia="宋体"/>
                <w:sz w:val="16"/>
              </w:rPr>
              <w:t>2024年12月31日，该项目实际完成人道救助活动3次；完成运营场所维修次数3次；完成三救三献活动宣传次数8次；宣传、救助活动支付经费25万元；运营场所维修维护支付完成了14.03万元；通过该项目的实施，提升了红十字事业公信力，大力弘扬红十字事业的人道、博爱、奉献精神，促进了红十字事业的大力发展。</w:t>
            </w:r>
          </w:p>
        </w:tc>
      </w:tr>
      <w:tr w14:paraId="58783A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E40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20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5FA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72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132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70D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A8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72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97B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5D5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F5C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440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F4F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4202">
            <w:pPr>
              <w:jc w:val="center"/>
            </w:pPr>
            <w:r>
              <w:rPr>
                <w:rFonts w:ascii="宋体" w:hAnsi="宋体" w:eastAsia="宋体"/>
                <w:sz w:val="16"/>
              </w:rPr>
              <w:t>偏差原因分析及改进措施</w:t>
            </w:r>
          </w:p>
        </w:tc>
      </w:tr>
      <w:tr w14:paraId="724472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09B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D3A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D09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08360">
            <w:pPr>
              <w:jc w:val="center"/>
            </w:pPr>
            <w:r>
              <w:rPr>
                <w:rFonts w:ascii="宋体" w:hAnsi="宋体" w:eastAsia="宋体"/>
                <w:sz w:val="16"/>
              </w:rPr>
              <w:t>运营维护场所次数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335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9DA8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7C29">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24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37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6F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96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1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3D5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5A59">
            <w:pPr>
              <w:jc w:val="center"/>
            </w:pPr>
          </w:p>
        </w:tc>
      </w:tr>
      <w:tr w14:paraId="132DAC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C9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618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B6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5ED11">
            <w:pPr>
              <w:jc w:val="center"/>
            </w:pPr>
            <w:r>
              <w:rPr>
                <w:rFonts w:ascii="宋体" w:hAnsi="宋体" w:eastAsia="宋体"/>
                <w:sz w:val="16"/>
              </w:rPr>
              <w:t>救助活动次数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9D6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1CB6">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38D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8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928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35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217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F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E2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769C">
            <w:pPr>
              <w:jc w:val="center"/>
            </w:pPr>
          </w:p>
        </w:tc>
      </w:tr>
      <w:tr w14:paraId="5C363D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CC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C8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37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F021B">
            <w:pPr>
              <w:jc w:val="center"/>
            </w:pPr>
            <w:r>
              <w:rPr>
                <w:rFonts w:ascii="宋体" w:hAnsi="宋体" w:eastAsia="宋体"/>
                <w:sz w:val="16"/>
              </w:rPr>
              <w:t>开展三救三献宣传活动次数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D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5A22">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690E">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A0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2E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B6F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6C35">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BD7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A60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50CF">
            <w:pPr>
              <w:jc w:val="center"/>
            </w:pPr>
          </w:p>
        </w:tc>
      </w:tr>
      <w:tr w14:paraId="1A7A6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B4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74B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1BF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871F">
            <w:pPr>
              <w:jc w:val="center"/>
            </w:pPr>
            <w:r>
              <w:rPr>
                <w:rFonts w:ascii="宋体" w:hAnsi="宋体" w:eastAsia="宋体"/>
                <w:sz w:val="16"/>
              </w:rPr>
              <w:t>宣传活动完成率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8B5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D8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5B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9D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524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E6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FB91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22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6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A6C1">
            <w:pPr>
              <w:jc w:val="center"/>
            </w:pPr>
          </w:p>
        </w:tc>
      </w:tr>
      <w:tr w14:paraId="6CB29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AE4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C57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730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7C60">
            <w:pPr>
              <w:jc w:val="center"/>
            </w:pPr>
            <w:r>
              <w:rPr>
                <w:rFonts w:ascii="宋体" w:hAnsi="宋体" w:eastAsia="宋体"/>
                <w:sz w:val="16"/>
              </w:rPr>
              <w:t>运营场所维护完成率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49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9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A6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F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6A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D3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943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70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50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2FE0">
            <w:pPr>
              <w:jc w:val="center"/>
            </w:pPr>
          </w:p>
        </w:tc>
      </w:tr>
      <w:tr w14:paraId="2CB26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7B1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D2C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9ED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03C64">
            <w:pPr>
              <w:jc w:val="center"/>
            </w:pPr>
            <w:r>
              <w:rPr>
                <w:rFonts w:ascii="宋体" w:hAnsi="宋体" w:eastAsia="宋体"/>
                <w:sz w:val="16"/>
              </w:rPr>
              <w:t>宣传活动完成的时间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D0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D9A9">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CC1B">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08C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AF1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BA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28A5">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71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8D9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AE74">
            <w:pPr>
              <w:jc w:val="center"/>
            </w:pPr>
          </w:p>
        </w:tc>
      </w:tr>
      <w:tr w14:paraId="36323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D44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D6E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F7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C0E9">
            <w:pPr>
              <w:jc w:val="center"/>
            </w:pPr>
            <w:r>
              <w:rPr>
                <w:rFonts w:ascii="宋体" w:hAnsi="宋体" w:eastAsia="宋体"/>
                <w:sz w:val="16"/>
              </w:rPr>
              <w:t>运营场所维护完成时间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72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5C4B">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50B33">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1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22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94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6C5BE">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87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FA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213C">
            <w:pPr>
              <w:jc w:val="center"/>
            </w:pPr>
          </w:p>
        </w:tc>
      </w:tr>
      <w:tr w14:paraId="6F31E7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6B4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0EC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651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DB30">
            <w:pPr>
              <w:jc w:val="center"/>
            </w:pPr>
            <w:r>
              <w:rPr>
                <w:rFonts w:ascii="宋体" w:hAnsi="宋体" w:eastAsia="宋体"/>
                <w:sz w:val="16"/>
              </w:rPr>
              <w:t>完成宣传、救助活动需经费保障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4DE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EED3">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23A1">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FC1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2D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C53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DF9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1F7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68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BC3D">
            <w:pPr>
              <w:jc w:val="center"/>
            </w:pPr>
          </w:p>
        </w:tc>
      </w:tr>
      <w:tr w14:paraId="6E20F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EC9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360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E4C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E65B">
            <w:pPr>
              <w:jc w:val="center"/>
            </w:pPr>
            <w:r>
              <w:rPr>
                <w:rFonts w:ascii="宋体" w:hAnsi="宋体" w:eastAsia="宋体"/>
                <w:sz w:val="16"/>
              </w:rPr>
              <w:t>运营维护</w:t>
            </w:r>
            <w:r>
              <w:rPr>
                <w:rFonts w:hint="eastAsia" w:ascii="宋体" w:hAnsi="宋体"/>
                <w:sz w:val="16"/>
                <w:lang w:eastAsia="zh-CN"/>
              </w:rPr>
              <w:t>所</w:t>
            </w:r>
            <w:r>
              <w:rPr>
                <w:rFonts w:ascii="宋体" w:hAnsi="宋体" w:eastAsia="宋体"/>
                <w:sz w:val="16"/>
              </w:rPr>
              <w:t>需经费保障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DB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24A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8908">
            <w:pPr>
              <w:jc w:val="center"/>
            </w:pPr>
            <w:r>
              <w:rPr>
                <w:rFonts w:ascii="宋体" w:hAnsi="宋体" w:eastAsia="宋体"/>
                <w:sz w:val="16"/>
              </w:rPr>
              <w:t>=14.03万元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1DF1">
            <w:pPr>
              <w:jc w:val="center"/>
            </w:pPr>
            <w:r>
              <w:rPr>
                <w:rFonts w:ascii="宋体" w:hAnsi="宋体" w:eastAsia="宋体"/>
                <w:sz w:val="16"/>
              </w:rPr>
              <w:t>93.53%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1D61">
            <w:pPr>
              <w:jc w:val="center"/>
            </w:pPr>
            <w:r>
              <w:rPr>
                <w:rFonts w:ascii="宋体" w:hAnsi="宋体" w:eastAsia="宋体"/>
                <w:sz w:val="16"/>
              </w:rPr>
              <w:t>8.38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6A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314E">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19C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60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C89B">
            <w:pPr>
              <w:jc w:val="center"/>
            </w:pPr>
            <w:r>
              <w:rPr>
                <w:rFonts w:ascii="宋体" w:hAnsi="宋体" w:eastAsia="宋体"/>
                <w:sz w:val="16"/>
              </w:rPr>
              <w:t>预算做</w:t>
            </w:r>
            <w:r>
              <w:rPr>
                <w:rFonts w:hint="eastAsia" w:ascii="宋体" w:hAnsi="宋体"/>
                <w:sz w:val="16"/>
                <w:lang w:eastAsia="zh-CN"/>
              </w:rPr>
              <w:t>得</w:t>
            </w:r>
            <w:r>
              <w:rPr>
                <w:rFonts w:ascii="宋体" w:hAnsi="宋体" w:eastAsia="宋体"/>
                <w:sz w:val="16"/>
              </w:rPr>
              <w:t>不精确，实际支付节约了成本，导致偏差</w:t>
            </w:r>
          </w:p>
        </w:tc>
      </w:tr>
      <w:tr w14:paraId="1E993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58D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E8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012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7627">
            <w:pPr>
              <w:jc w:val="center"/>
            </w:pPr>
            <w:r>
              <w:rPr>
                <w:rFonts w:ascii="宋体" w:hAnsi="宋体" w:eastAsia="宋体"/>
                <w:sz w:val="16"/>
              </w:rPr>
              <w:t>大力弘扬人道、博爱、奉献的红十字精神，提高</w:t>
            </w:r>
            <w:r>
              <w:rPr>
                <w:rFonts w:hint="eastAsia" w:ascii="宋体" w:hAnsi="宋体"/>
                <w:sz w:val="16"/>
                <w:lang w:eastAsia="zh-CN"/>
              </w:rPr>
              <w:t>社会主义精神文明建设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FB1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8B3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461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F4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A33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0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ABB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17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B0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01C53">
            <w:pPr>
              <w:jc w:val="center"/>
            </w:pPr>
          </w:p>
        </w:tc>
      </w:tr>
      <w:tr w14:paraId="72A375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4149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5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03D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249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A2FA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8876">
            <w:pPr>
              <w:jc w:val="center"/>
            </w:pPr>
            <w:r>
              <w:rPr>
                <w:rFonts w:ascii="宋体" w:hAnsi="宋体" w:eastAsia="宋体"/>
                <w:sz w:val="16"/>
              </w:rPr>
              <w:t>97.77分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8278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91F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1AD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9D0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76F04"/>
        </w:tc>
      </w:tr>
    </w:tbl>
    <w:p w14:paraId="387BBB80">
      <w:r>
        <w:br w:type="page"/>
      </w:r>
    </w:p>
    <w:tbl>
      <w:tblPr>
        <w:tblStyle w:val="9"/>
        <w:tblW w:w="0" w:type="auto"/>
        <w:tblInd w:w="0" w:type="dxa"/>
        <w:tblLayout w:type="autofit"/>
        <w:tblCellMar>
          <w:top w:w="0" w:type="dxa"/>
          <w:left w:w="108" w:type="dxa"/>
          <w:bottom w:w="0" w:type="dxa"/>
          <w:right w:w="108" w:type="dxa"/>
        </w:tblCellMar>
      </w:tblPr>
      <w:tblGrid>
        <w:gridCol w:w="618"/>
        <w:gridCol w:w="596"/>
        <w:gridCol w:w="596"/>
        <w:gridCol w:w="597"/>
        <w:gridCol w:w="608"/>
        <w:gridCol w:w="776"/>
        <w:gridCol w:w="776"/>
        <w:gridCol w:w="776"/>
        <w:gridCol w:w="696"/>
        <w:gridCol w:w="597"/>
        <w:gridCol w:w="597"/>
        <w:gridCol w:w="599"/>
        <w:gridCol w:w="598"/>
        <w:gridCol w:w="630"/>
      </w:tblGrid>
      <w:tr w14:paraId="5308ACF4">
        <w:tc>
          <w:tcPr>
            <w:tcW w:w="8848" w:type="dxa"/>
            <w:gridSpan w:val="14"/>
            <w:vAlign w:val="center"/>
          </w:tcPr>
          <w:p w14:paraId="41A6C43D">
            <w:pPr>
              <w:jc w:val="center"/>
            </w:pPr>
            <w:r>
              <w:rPr>
                <w:rFonts w:ascii="宋体" w:hAnsi="宋体" w:eastAsia="宋体"/>
                <w:sz w:val="24"/>
              </w:rPr>
              <w:t>项目支出绩效自评表</w:t>
            </w:r>
          </w:p>
        </w:tc>
      </w:tr>
      <w:tr w14:paraId="3D2A07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128B31">
            <w:pPr>
              <w:jc w:val="center"/>
            </w:pPr>
            <w:r>
              <w:rPr>
                <w:rFonts w:ascii="宋体" w:hAnsi="宋体" w:eastAsia="宋体"/>
                <w:sz w:val="24"/>
              </w:rPr>
              <w:t>(2024年度)</w:t>
            </w:r>
          </w:p>
        </w:tc>
      </w:tr>
      <w:tr w14:paraId="6EDB9E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A23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6CE425">
            <w:pPr>
              <w:jc w:val="center"/>
            </w:pPr>
            <w:r>
              <w:rPr>
                <w:rFonts w:ascii="宋体" w:hAnsi="宋体" w:eastAsia="宋体"/>
                <w:sz w:val="16"/>
              </w:rPr>
              <w:t>综合素质提升和交流交融培训班</w:t>
            </w:r>
          </w:p>
        </w:tc>
      </w:tr>
      <w:tr w14:paraId="0D8EC1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6C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90978C">
            <w:pPr>
              <w:jc w:val="center"/>
            </w:pPr>
            <w:r>
              <w:rPr>
                <w:rFonts w:ascii="宋体" w:hAnsi="宋体" w:eastAsia="宋体"/>
                <w:sz w:val="16"/>
              </w:rPr>
              <w:t>昌吉回族自治州红十字会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B55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AFBA89">
            <w:pPr>
              <w:jc w:val="center"/>
            </w:pPr>
            <w:r>
              <w:rPr>
                <w:rFonts w:ascii="宋体" w:hAnsi="宋体" w:eastAsia="宋体"/>
                <w:sz w:val="16"/>
              </w:rPr>
              <w:t>昌吉回族自治州红十字会</w:t>
            </w:r>
          </w:p>
        </w:tc>
      </w:tr>
      <w:tr w14:paraId="743984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955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087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00D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0BA3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67B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6972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59B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A507">
            <w:pPr>
              <w:jc w:val="center"/>
            </w:pPr>
            <w:r>
              <w:rPr>
                <w:rFonts w:ascii="宋体" w:hAnsi="宋体" w:eastAsia="宋体"/>
                <w:sz w:val="16"/>
              </w:rPr>
              <w:t>得分</w:t>
            </w:r>
          </w:p>
        </w:tc>
      </w:tr>
      <w:tr w14:paraId="199EEB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7DC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67B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AA82E">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04C9D">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7E08E">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8F1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C85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8924">
            <w:pPr>
              <w:jc w:val="center"/>
            </w:pPr>
            <w:r>
              <w:rPr>
                <w:rFonts w:ascii="宋体" w:hAnsi="宋体" w:eastAsia="宋体"/>
                <w:sz w:val="16"/>
              </w:rPr>
              <w:t>10.00</w:t>
            </w:r>
          </w:p>
        </w:tc>
      </w:tr>
      <w:tr w14:paraId="5D9CB9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E1D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C15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CCD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52E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A1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EF9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165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851A">
            <w:pPr>
              <w:jc w:val="center"/>
            </w:pPr>
            <w:r>
              <w:rPr>
                <w:rFonts w:ascii="宋体" w:hAnsi="宋体" w:eastAsia="宋体"/>
                <w:sz w:val="16"/>
              </w:rPr>
              <w:t>—</w:t>
            </w:r>
          </w:p>
        </w:tc>
      </w:tr>
      <w:tr w14:paraId="2FD93A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5C5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743B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26FF9">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5353B">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88599">
            <w:pPr>
              <w:jc w:val="center"/>
            </w:pPr>
            <w:r>
              <w:rPr>
                <w:rFonts w:ascii="宋体" w:hAnsi="宋体" w:eastAsia="宋体"/>
                <w:sz w:val="16"/>
              </w:rPr>
              <w:t>36.93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61D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2EF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1B8BC">
            <w:pPr>
              <w:jc w:val="center"/>
            </w:pPr>
            <w:r>
              <w:rPr>
                <w:rFonts w:ascii="宋体" w:hAnsi="宋体" w:eastAsia="宋体"/>
                <w:sz w:val="16"/>
              </w:rPr>
              <w:t>—</w:t>
            </w:r>
          </w:p>
        </w:tc>
      </w:tr>
      <w:tr w14:paraId="367E19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B3D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1A65C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7780A2">
            <w:pPr>
              <w:jc w:val="center"/>
            </w:pPr>
            <w:r>
              <w:rPr>
                <w:rFonts w:ascii="宋体" w:hAnsi="宋体" w:eastAsia="宋体"/>
                <w:sz w:val="16"/>
              </w:rPr>
              <w:t>实际完成情况</w:t>
            </w:r>
          </w:p>
        </w:tc>
      </w:tr>
      <w:tr w14:paraId="49F929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042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57B3FA">
            <w:pPr>
              <w:jc w:val="both"/>
            </w:pPr>
            <w:r>
              <w:rPr>
                <w:rFonts w:ascii="宋体" w:hAnsi="宋体" w:eastAsia="宋体"/>
                <w:sz w:val="16"/>
              </w:rPr>
              <w:t>2024年该项目计划开展培训2期，其中党校培训为期5天，参训人数40人，预算经费4万元。赴福建考察培训为期8天，参训人数40人，预算经费32.94万元。通过严格管理和优质教学，丰富的课程设置和人性化的管理，培训出勤率达到100%，学员满意度达到90%以上，进一步提升学员业务素质和综合能力。开阔学员的视野，增强爱国情怀。项目计划于2024年10月31日前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A01915">
            <w:pPr>
              <w:jc w:val="both"/>
            </w:pPr>
            <w:r>
              <w:rPr>
                <w:rFonts w:ascii="宋体" w:hAnsi="宋体" w:eastAsia="宋体"/>
                <w:sz w:val="16"/>
              </w:rPr>
              <w:t>2024年该项目计划开展培训2期，</w:t>
            </w:r>
            <w:bookmarkStart w:id="0" w:name="_GoBack"/>
            <w:r>
              <w:rPr>
                <w:rFonts w:hint="eastAsia" w:ascii="宋体" w:hAnsi="宋体"/>
                <w:sz w:val="16"/>
                <w:lang w:eastAsia="zh-CN"/>
              </w:rPr>
              <w:t>完成</w:t>
            </w:r>
            <w:bookmarkEnd w:id="0"/>
            <w:r>
              <w:rPr>
                <w:rFonts w:ascii="宋体" w:hAnsi="宋体" w:eastAsia="宋体"/>
                <w:sz w:val="16"/>
              </w:rPr>
              <w:t>党校培训为期5天，参训人数40人；支出经费4万元；赴福建考察培训为期8天，参训人数40人；完成支出经费32.94万元。通过严格管理和优质教学，丰富的课程设置和人性化的管理，培训出勤率达到100%，学员满意度达到90%以上，进一步提升学员业务素质和综合能力。开阔学员的视野，增强爱国情怀。项目已经于2024年10月31日前完成。</w:t>
            </w:r>
          </w:p>
        </w:tc>
      </w:tr>
      <w:tr w14:paraId="5DE5E7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CADB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A3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55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43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F0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AD2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4C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56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E2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59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3CC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BE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DC2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D3F2">
            <w:pPr>
              <w:jc w:val="center"/>
            </w:pPr>
            <w:r>
              <w:rPr>
                <w:rFonts w:ascii="宋体" w:hAnsi="宋体" w:eastAsia="宋体"/>
                <w:sz w:val="16"/>
              </w:rPr>
              <w:t>偏差原因分析及改进措施</w:t>
            </w:r>
          </w:p>
        </w:tc>
      </w:tr>
      <w:tr w14:paraId="6CF84D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3F6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4A8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ADC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AED6">
            <w:pPr>
              <w:jc w:val="center"/>
            </w:pPr>
            <w:r>
              <w:rPr>
                <w:rFonts w:ascii="宋体" w:hAnsi="宋体" w:eastAsia="宋体"/>
                <w:sz w:val="16"/>
              </w:rPr>
              <w:t>党校培训人数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B1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2D01">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CC68">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6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44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3F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7DF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87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6F3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940D0">
            <w:pPr>
              <w:jc w:val="center"/>
            </w:pPr>
          </w:p>
        </w:tc>
      </w:tr>
      <w:tr w14:paraId="122C1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15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EE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5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0C76A">
            <w:pPr>
              <w:jc w:val="center"/>
            </w:pPr>
            <w:r>
              <w:rPr>
                <w:rFonts w:ascii="宋体" w:hAnsi="宋体" w:eastAsia="宋体"/>
                <w:sz w:val="16"/>
              </w:rPr>
              <w:t>外出参加培训人数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634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C905">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06E38">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A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8D88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8F8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62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5A7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88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7969">
            <w:pPr>
              <w:jc w:val="center"/>
            </w:pPr>
          </w:p>
        </w:tc>
      </w:tr>
      <w:tr w14:paraId="77CFFB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E89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9B1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A0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2D57">
            <w:pPr>
              <w:jc w:val="center"/>
            </w:pPr>
            <w:r>
              <w:rPr>
                <w:rFonts w:ascii="宋体" w:hAnsi="宋体" w:eastAsia="宋体"/>
                <w:sz w:val="16"/>
              </w:rPr>
              <w:t>党校培训出勤率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8D8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46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E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1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D9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5B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CD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92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30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5B08">
            <w:pPr>
              <w:jc w:val="center"/>
            </w:pPr>
          </w:p>
        </w:tc>
      </w:tr>
      <w:tr w14:paraId="24C2F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09D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92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0A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17F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32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AF3E">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BDBA">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3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F1E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15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92B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0FA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32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B43A">
            <w:pPr>
              <w:jc w:val="center"/>
            </w:pPr>
          </w:p>
        </w:tc>
      </w:tr>
      <w:tr w14:paraId="12583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D0A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C281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BB4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D1F5">
            <w:pPr>
              <w:jc w:val="center"/>
            </w:pPr>
            <w:r>
              <w:rPr>
                <w:rFonts w:ascii="宋体" w:hAnsi="宋体" w:eastAsia="宋体"/>
                <w:sz w:val="16"/>
              </w:rPr>
              <w:t>党校培训费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302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7D65">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66AB">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C5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104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2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667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23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DD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F0808">
            <w:pPr>
              <w:jc w:val="center"/>
            </w:pPr>
          </w:p>
        </w:tc>
      </w:tr>
      <w:tr w14:paraId="2B1E70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64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1C2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B5B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CD3B">
            <w:pPr>
              <w:jc w:val="center"/>
            </w:pPr>
            <w:r>
              <w:rPr>
                <w:rFonts w:ascii="宋体" w:hAnsi="宋体" w:eastAsia="宋体"/>
                <w:sz w:val="16"/>
              </w:rPr>
              <w:t>外出培训费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A767E">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12EA">
            <w:pPr>
              <w:jc w:val="center"/>
            </w:pPr>
            <w:r>
              <w:rPr>
                <w:rFonts w:ascii="宋体" w:hAnsi="宋体" w:eastAsia="宋体"/>
                <w:sz w:val="16"/>
              </w:rPr>
              <w:t>&lt;=32.94万元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5ADE">
            <w:pPr>
              <w:jc w:val="center"/>
            </w:pPr>
            <w:r>
              <w:rPr>
                <w:rFonts w:ascii="宋体" w:hAnsi="宋体" w:eastAsia="宋体"/>
                <w:sz w:val="16"/>
              </w:rPr>
              <w:t>=32.93万元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2D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6E82C">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C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B4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7A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235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0315">
            <w:pPr>
              <w:jc w:val="center"/>
            </w:pPr>
          </w:p>
        </w:tc>
      </w:tr>
      <w:tr w14:paraId="12B1D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8B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C3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A1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60D0A">
            <w:pPr>
              <w:jc w:val="center"/>
            </w:pPr>
            <w:r>
              <w:rPr>
                <w:rFonts w:ascii="宋体" w:hAnsi="宋体" w:eastAsia="宋体"/>
                <w:sz w:val="16"/>
              </w:rPr>
              <w:t>提升业务能力和综合素质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87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E58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393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E42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79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72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29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CA4B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1F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C6CB">
            <w:pPr>
              <w:jc w:val="center"/>
            </w:pPr>
          </w:p>
        </w:tc>
      </w:tr>
      <w:tr w14:paraId="5FDB8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94A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5D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DE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2A5E">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BB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C2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A67F">
            <w:pPr>
              <w:jc w:val="center"/>
            </w:pPr>
            <w:r>
              <w:rPr>
                <w:rFonts w:ascii="宋体" w:hAnsi="宋体" w:eastAsia="宋体"/>
                <w:sz w:val="16"/>
              </w:rPr>
              <w:t>=90.44%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EF12">
            <w:pPr>
              <w:jc w:val="center"/>
            </w:pPr>
            <w:r>
              <w:rPr>
                <w:rFonts w:ascii="宋体" w:hAnsi="宋体" w:eastAsia="宋体"/>
                <w:sz w:val="16"/>
              </w:rPr>
              <w:t>100.44%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F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B2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E1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465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BB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5BFA">
            <w:pPr>
              <w:jc w:val="center"/>
            </w:pPr>
          </w:p>
        </w:tc>
      </w:tr>
      <w:tr w14:paraId="2D1665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A724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DE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28E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129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19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A62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0B7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41B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C097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F88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B30C8"/>
        </w:tc>
      </w:tr>
    </w:tbl>
    <w:p w14:paraId="6F3712C5">
      <w:r>
        <w:br w:type="page"/>
      </w:r>
    </w:p>
    <w:p w14:paraId="110C07D3">
      <w:pPr>
        <w:spacing w:line="640" w:lineRule="exact"/>
        <w:ind w:firstLine="640"/>
        <w:jc w:val="both"/>
        <w:outlineLvl w:val="2"/>
      </w:pPr>
      <w:r>
        <w:rPr>
          <w:rFonts w:ascii="黑体" w:hAnsi="黑体" w:eastAsia="黑体"/>
          <w:sz w:val="32"/>
        </w:rPr>
        <w:t>十二、其他需说明的事项</w:t>
      </w:r>
    </w:p>
    <w:p w14:paraId="23386C3A">
      <w:pPr>
        <w:spacing w:line="580" w:lineRule="exact"/>
        <w:ind w:firstLine="640"/>
        <w:jc w:val="both"/>
      </w:pPr>
      <w:r>
        <w:rPr>
          <w:rFonts w:ascii="仿宋_GB2312" w:hAnsi="仿宋_GB2312" w:eastAsia="仿宋_GB2312"/>
          <w:b w:val="0"/>
          <w:sz w:val="32"/>
        </w:rPr>
        <w:t>本单位无其他需说明的事项。</w:t>
      </w:r>
    </w:p>
    <w:p w14:paraId="155205BF">
      <w:r>
        <w:br w:type="page"/>
      </w:r>
    </w:p>
    <w:p w14:paraId="75C0AC76">
      <w:pPr>
        <w:spacing w:line="240" w:lineRule="auto"/>
        <w:jc w:val="center"/>
        <w:outlineLvl w:val="1"/>
      </w:pPr>
      <w:r>
        <w:rPr>
          <w:rFonts w:ascii="黑体" w:hAnsi="黑体" w:eastAsia="黑体"/>
          <w:sz w:val="32"/>
        </w:rPr>
        <w:t>第三部分 专业名词解释</w:t>
      </w:r>
    </w:p>
    <w:p w14:paraId="1B3381B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2AC37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D8EFF0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AFF321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307676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97F499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FB3F9D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5B5C81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4A820A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099645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1CE687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2D5241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3ED922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9003D1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47288B8">
      <w:r>
        <w:br w:type="page"/>
      </w:r>
    </w:p>
    <w:p w14:paraId="46AD5152">
      <w:pPr>
        <w:spacing w:line="240" w:lineRule="auto"/>
        <w:jc w:val="center"/>
        <w:outlineLvl w:val="1"/>
      </w:pPr>
      <w:r>
        <w:rPr>
          <w:rFonts w:ascii="黑体" w:hAnsi="黑体" w:eastAsia="黑体"/>
          <w:sz w:val="32"/>
        </w:rPr>
        <w:t>第四部分 部门决算报表（见附表）</w:t>
      </w:r>
    </w:p>
    <w:p w14:paraId="706687CA">
      <w:pPr>
        <w:spacing w:line="240" w:lineRule="auto"/>
        <w:ind w:firstLine="640"/>
        <w:jc w:val="both"/>
      </w:pPr>
      <w:r>
        <w:rPr>
          <w:rFonts w:ascii="仿宋_GB2312" w:hAnsi="仿宋_GB2312" w:eastAsia="仿宋_GB2312"/>
          <w:b w:val="0"/>
          <w:sz w:val="32"/>
        </w:rPr>
        <w:t>一、《收入支出决算总表》</w:t>
      </w:r>
    </w:p>
    <w:p w14:paraId="0EBFD371">
      <w:pPr>
        <w:spacing w:line="240" w:lineRule="auto"/>
        <w:ind w:firstLine="640"/>
        <w:jc w:val="both"/>
      </w:pPr>
      <w:r>
        <w:rPr>
          <w:rFonts w:ascii="仿宋_GB2312" w:hAnsi="仿宋_GB2312" w:eastAsia="仿宋_GB2312"/>
          <w:b w:val="0"/>
          <w:sz w:val="32"/>
        </w:rPr>
        <w:t>二、《收入决算表》</w:t>
      </w:r>
    </w:p>
    <w:p w14:paraId="74C75A6F">
      <w:pPr>
        <w:spacing w:line="240" w:lineRule="auto"/>
        <w:ind w:firstLine="640"/>
        <w:jc w:val="both"/>
      </w:pPr>
      <w:r>
        <w:rPr>
          <w:rFonts w:ascii="仿宋_GB2312" w:hAnsi="仿宋_GB2312" w:eastAsia="仿宋_GB2312"/>
          <w:b w:val="0"/>
          <w:sz w:val="32"/>
        </w:rPr>
        <w:t>三、《支出决算表》</w:t>
      </w:r>
    </w:p>
    <w:p w14:paraId="093B035A">
      <w:pPr>
        <w:spacing w:line="240" w:lineRule="auto"/>
        <w:ind w:firstLine="640"/>
        <w:jc w:val="both"/>
      </w:pPr>
      <w:r>
        <w:rPr>
          <w:rFonts w:ascii="仿宋_GB2312" w:hAnsi="仿宋_GB2312" w:eastAsia="仿宋_GB2312"/>
          <w:b w:val="0"/>
          <w:sz w:val="32"/>
        </w:rPr>
        <w:t>四、《财政拨款收入支出决算总表》</w:t>
      </w:r>
    </w:p>
    <w:p w14:paraId="151D19B1">
      <w:pPr>
        <w:spacing w:line="240" w:lineRule="auto"/>
        <w:ind w:firstLine="640"/>
        <w:jc w:val="both"/>
      </w:pPr>
      <w:r>
        <w:rPr>
          <w:rFonts w:ascii="仿宋_GB2312" w:hAnsi="仿宋_GB2312" w:eastAsia="仿宋_GB2312"/>
          <w:b w:val="0"/>
          <w:sz w:val="32"/>
        </w:rPr>
        <w:t>五、《一般公共预算财政拨款支出决算表》</w:t>
      </w:r>
    </w:p>
    <w:p w14:paraId="6C0D8D71">
      <w:pPr>
        <w:spacing w:line="240" w:lineRule="auto"/>
        <w:ind w:firstLine="640"/>
        <w:jc w:val="both"/>
      </w:pPr>
      <w:r>
        <w:rPr>
          <w:rFonts w:ascii="仿宋_GB2312" w:hAnsi="仿宋_GB2312" w:eastAsia="仿宋_GB2312"/>
          <w:b w:val="0"/>
          <w:sz w:val="32"/>
        </w:rPr>
        <w:t>六、《一般公共预算财政拨款基本支出决算表》</w:t>
      </w:r>
    </w:p>
    <w:p w14:paraId="2A5C1539">
      <w:pPr>
        <w:spacing w:line="240" w:lineRule="auto"/>
        <w:ind w:firstLine="640"/>
        <w:jc w:val="both"/>
      </w:pPr>
      <w:r>
        <w:rPr>
          <w:rFonts w:ascii="仿宋_GB2312" w:hAnsi="仿宋_GB2312" w:eastAsia="仿宋_GB2312"/>
          <w:b w:val="0"/>
          <w:sz w:val="32"/>
        </w:rPr>
        <w:t>七、《政府性基金预算财政拨款收入支出决算表》</w:t>
      </w:r>
    </w:p>
    <w:p w14:paraId="7B6DDA05">
      <w:pPr>
        <w:spacing w:line="240" w:lineRule="auto"/>
        <w:ind w:firstLine="640"/>
        <w:jc w:val="both"/>
      </w:pPr>
      <w:r>
        <w:rPr>
          <w:rFonts w:ascii="仿宋_GB2312" w:hAnsi="仿宋_GB2312" w:eastAsia="仿宋_GB2312"/>
          <w:b w:val="0"/>
          <w:sz w:val="32"/>
        </w:rPr>
        <w:t>八、《国有资本经营预算财政拨款收入支出决算表》</w:t>
      </w:r>
    </w:p>
    <w:p w14:paraId="6A137F9D">
      <w:pPr>
        <w:spacing w:line="240" w:lineRule="auto"/>
        <w:ind w:firstLine="640"/>
        <w:jc w:val="both"/>
      </w:pPr>
      <w:r>
        <w:rPr>
          <w:rFonts w:ascii="仿宋_GB2312" w:hAnsi="仿宋_GB2312" w:eastAsia="仿宋_GB2312"/>
          <w:b w:val="0"/>
          <w:sz w:val="32"/>
        </w:rPr>
        <w:t>九、《财政拨款“三公”经费支出决算表》</w:t>
      </w:r>
    </w:p>
    <w:p w14:paraId="1EB77887">
      <w:pPr>
        <w:spacing w:line="240" w:lineRule="auto"/>
        <w:ind w:firstLine="640"/>
        <w:jc w:val="both"/>
      </w:pPr>
    </w:p>
    <w:p w14:paraId="50183122">
      <w:pPr>
        <w:spacing w:line="240" w:lineRule="auto"/>
        <w:ind w:firstLine="640"/>
        <w:jc w:val="both"/>
      </w:pPr>
    </w:p>
    <w:p w14:paraId="5732E5E0">
      <w:pPr>
        <w:spacing w:line="240" w:lineRule="auto"/>
        <w:ind w:firstLine="640"/>
        <w:jc w:val="both"/>
      </w:pPr>
    </w:p>
    <w:p w14:paraId="1AE7251C">
      <w:pPr>
        <w:spacing w:line="240" w:lineRule="auto"/>
        <w:ind w:firstLine="640"/>
        <w:jc w:val="both"/>
      </w:pPr>
    </w:p>
    <w:p w14:paraId="03BD89E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1F6DB7-EAF1-4F26-A3D4-EB63AF7600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751259F-8B6B-48E2-9160-A5F329761829}"/>
  </w:font>
  <w:font w:name="仿宋_GB2312">
    <w:altName w:val="仿宋"/>
    <w:panose1 w:val="02010609030101010101"/>
    <w:charset w:val="86"/>
    <w:family w:val="modern"/>
    <w:pitch w:val="default"/>
    <w:sig w:usb0="00000000" w:usb1="00000000" w:usb2="00000000" w:usb3="00000000" w:csb0="00040000" w:csb1="00000000"/>
    <w:embedRegular r:id="rId3" w:fontKey="{9038A0BA-4381-4347-B69A-205D606861E8}"/>
  </w:font>
  <w:font w:name="楷体_GB2312">
    <w:altName w:val="楷体"/>
    <w:panose1 w:val="00000000000000000000"/>
    <w:charset w:val="00"/>
    <w:family w:val="auto"/>
    <w:pitch w:val="default"/>
    <w:sig w:usb0="00000000" w:usb1="00000000" w:usb2="00000000" w:usb3="00000000" w:csb0="00000000" w:csb1="00000000"/>
    <w:embedRegular r:id="rId4" w:fontKey="{C9838C90-D7D8-47F0-AFD3-8AA86900CAC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68979C0"/>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5604</Words>
  <Characters>6306</Characters>
  <Lines>0</Lines>
  <Paragraphs>0</Paragraphs>
  <TotalTime>2</TotalTime>
  <ScaleCrop>false</ScaleCrop>
  <LinksUpToDate>false</LinksUpToDate>
  <CharactersWithSpaces>6314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