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1319DF2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val="en-US" w:eastAsia="zh-CN"/>
        </w:rPr>
        <w:t>昌吉回族自治州归国华侨联合会2024</w:t>
      </w:r>
      <w:r>
        <w:rPr>
          <w:rFonts w:hint="eastAsia" w:ascii="方正小标宋_GBK" w:hAnsi="宋体" w:eastAsia="方正小标宋_GBK"/>
          <w:sz w:val="44"/>
          <w:szCs w:val="44"/>
          <w:highlight w:val="none"/>
          <w:lang w:eastAsia="zh-CN"/>
        </w:rPr>
        <w:t>年度</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0DFC392">
      <w:r>
        <w:br w:type="page"/>
      </w:r>
    </w:p>
    <w:p w14:paraId="418847F3">
      <w:pPr>
        <w:spacing w:line="640" w:lineRule="exact"/>
        <w:jc w:val="center"/>
        <w:outlineLvl w:val="1"/>
      </w:pPr>
      <w:r>
        <w:rPr>
          <w:rFonts w:ascii="黑体" w:hAnsi="黑体" w:eastAsia="黑体"/>
          <w:sz w:val="32"/>
        </w:rPr>
        <w:t>第一部分 单位概况</w:t>
      </w:r>
    </w:p>
    <w:p w14:paraId="19F3E0C0">
      <w:pPr>
        <w:spacing w:line="640" w:lineRule="exact"/>
        <w:ind w:firstLine="640"/>
        <w:jc w:val="both"/>
        <w:outlineLvl w:val="2"/>
      </w:pPr>
      <w:r>
        <w:rPr>
          <w:rFonts w:ascii="黑体" w:hAnsi="黑体" w:eastAsia="黑体"/>
          <w:sz w:val="32"/>
        </w:rPr>
        <w:t>一、主要职能</w:t>
      </w:r>
    </w:p>
    <w:p w14:paraId="152F8F82">
      <w:pPr>
        <w:spacing w:line="580" w:lineRule="exact"/>
        <w:ind w:firstLine="640"/>
        <w:jc w:val="both"/>
      </w:pPr>
      <w:r>
        <w:rPr>
          <w:rFonts w:ascii="仿宋_GB2312" w:hAnsi="仿宋_GB2312" w:eastAsia="仿宋_GB2312"/>
          <w:sz w:val="32"/>
        </w:rPr>
        <w:t>（1）宣传和贯彻执行党的侨务工作方针政策，加强对侨界群众的思想政治引领，增强侨界群众对党的拥护，对民族、国家和中国特色社会主义制度的认同，巩固党在侨界的执政基础和群众基础。以爱国主义为核心，积极培育和践行社会主义核心价值观，宣传归侨侨眷和海外侨胞的先进人物、典型事迹。</w:t>
      </w:r>
    </w:p>
    <w:p w14:paraId="3DB6BE67">
      <w:pPr>
        <w:spacing w:line="580" w:lineRule="exact"/>
        <w:ind w:firstLine="640"/>
        <w:jc w:val="both"/>
      </w:pPr>
      <w:r>
        <w:rPr>
          <w:rFonts w:ascii="仿宋_GB2312" w:hAnsi="仿宋_GB2312" w:eastAsia="仿宋_GB2312"/>
          <w:sz w:val="32"/>
        </w:rPr>
        <w:t>（2）贯彻落实上级侨联和自治州党委、人民政府的工作部署、发展规划和工作计划，组织实施全国和自治区归侨侨属侨眷代表大会、委员会、常务委员会的决议、决定。指导县（市）侨联工作。</w:t>
      </w:r>
    </w:p>
    <w:p w14:paraId="307689F4">
      <w:pPr>
        <w:spacing w:line="580" w:lineRule="exact"/>
        <w:ind w:firstLine="640"/>
        <w:jc w:val="both"/>
      </w:pPr>
      <w:r>
        <w:rPr>
          <w:rFonts w:ascii="仿宋_GB2312" w:hAnsi="仿宋_GB2312" w:eastAsia="仿宋_GB2312"/>
          <w:sz w:val="32"/>
        </w:rPr>
        <w:t>（3）组织开展归侨侨眷联谊联络工作；促进和支持海外华人华侨社团之间加强沟通合作；鼓励海外侨胞更好融入和回馈当地社会，树立良好形象；扩大同海外传统侨团的联系，做好同台湾省籍侨团和人士的联络，加强同港澳侨界社团的联系；引导和团结更多海外侨胞及国际友人支持新疆改革开放和稳定发展。</w:t>
      </w:r>
    </w:p>
    <w:p w14:paraId="2A9F0D86">
      <w:pPr>
        <w:spacing w:line="580" w:lineRule="exact"/>
        <w:ind w:firstLine="640"/>
        <w:jc w:val="both"/>
      </w:pPr>
      <w:r>
        <w:rPr>
          <w:rFonts w:ascii="仿宋_GB2312" w:hAnsi="仿宋_GB2312" w:eastAsia="仿宋_GB2312"/>
          <w:sz w:val="32"/>
        </w:rPr>
        <w:t>（4）开展涉侨文化品牌项目建设，增进海外侨胞对中华文化的了解和认同；推动中华文化走出去，增强中华文化在世界上的影响；支持和参与海外华文教育，开展涉侨文化交流合作。</w:t>
      </w:r>
    </w:p>
    <w:p w14:paraId="33241404">
      <w:pPr>
        <w:spacing w:line="580" w:lineRule="exact"/>
        <w:ind w:firstLine="640"/>
        <w:jc w:val="both"/>
      </w:pPr>
      <w:r>
        <w:rPr>
          <w:rFonts w:ascii="仿宋_GB2312" w:hAnsi="仿宋_GB2312" w:eastAsia="仿宋_GB2312"/>
          <w:sz w:val="32"/>
        </w:rPr>
        <w:t>（5）加强与华侨华人工商、科技界社团、重要人士的联系；强化服务，搭建平台，引导广大归侨侨眷和海外侨胞参与和支持新疆经济建设，服务国家和地方发展大局，服务国家“一带一路”建设，服务人才强国战略和创新驱动发展战略；做好海外引才引智工作，为侨胞创新创业搭建平台。</w:t>
      </w:r>
    </w:p>
    <w:p w14:paraId="67D52F7A">
      <w:pPr>
        <w:spacing w:line="580" w:lineRule="exact"/>
        <w:ind w:firstLine="640"/>
        <w:jc w:val="both"/>
      </w:pPr>
      <w:r>
        <w:rPr>
          <w:rFonts w:ascii="仿宋_GB2312" w:hAnsi="仿宋_GB2312" w:eastAsia="仿宋_GB2312"/>
          <w:sz w:val="32"/>
        </w:rPr>
        <w:t>（6）依法维护归侨、侨眷的合法权益和海外侨胞在国内的正当权益；反映归侨、侨眷和海外侨胞的意见和要求；开展涉侨法律法规宣传教育，为基层侨联组织、归侨侨眷和海外侨胞等提供法律咨询服务。</w:t>
      </w:r>
    </w:p>
    <w:p w14:paraId="10035A4F">
      <w:pPr>
        <w:spacing w:line="580" w:lineRule="exact"/>
        <w:ind w:firstLine="640"/>
        <w:jc w:val="both"/>
      </w:pPr>
      <w:r>
        <w:rPr>
          <w:rFonts w:ascii="仿宋_GB2312" w:hAnsi="仿宋_GB2312" w:eastAsia="仿宋_GB2312"/>
          <w:sz w:val="32"/>
        </w:rPr>
        <w:t>（7）了解掌握归侨侨眷工作生活状况，推动各项保障和改善民生政策落实，建立健全困难归侨侨眷帮扶机制；为海外侨胞回国工作生活提供服务；组织归侨眷积极参与城乡社区治理，为归侨侨眷和海外侨胞参与各类公益慈善事业提供服务。</w:t>
      </w:r>
    </w:p>
    <w:p w14:paraId="6E01E52A">
      <w:pPr>
        <w:spacing w:line="580" w:lineRule="exact"/>
        <w:ind w:firstLine="640"/>
        <w:jc w:val="both"/>
      </w:pPr>
      <w:r>
        <w:rPr>
          <w:rFonts w:ascii="仿宋_GB2312" w:hAnsi="仿宋_GB2312" w:eastAsia="仿宋_GB2312"/>
          <w:sz w:val="32"/>
        </w:rPr>
        <w:t>（8）参与国家政治、经济、文化和社会事务活动，参与社会管理和公共服务；参与政治协商，发挥民主监督作用；参与协商和推荐人民代表大会归侨侨眷代表人选，提名政治协商会议的归侨侨眷委员人选；协助人大归侨侨眷代表、政协侨联界委员了解社情民意；参与起草修订有关</w:t>
      </w:r>
      <w:r>
        <w:rPr>
          <w:rFonts w:hint="eastAsia" w:ascii="仿宋_GB2312" w:hAnsi="仿宋_GB2312" w:eastAsia="仿宋_GB2312"/>
          <w:sz w:val="32"/>
          <w:lang w:eastAsia="zh-CN"/>
        </w:rPr>
        <w:t>法律法规</w:t>
      </w:r>
      <w:r>
        <w:rPr>
          <w:rFonts w:ascii="仿宋_GB2312" w:hAnsi="仿宋_GB2312" w:eastAsia="仿宋_GB2312"/>
          <w:sz w:val="32"/>
        </w:rPr>
        <w:t>草案，促进社会主义民主政治建设。</w:t>
      </w:r>
    </w:p>
    <w:p w14:paraId="3F67242F">
      <w:pPr>
        <w:spacing w:line="580" w:lineRule="exact"/>
        <w:ind w:firstLine="640"/>
        <w:jc w:val="both"/>
      </w:pPr>
      <w:r>
        <w:rPr>
          <w:rFonts w:ascii="仿宋_GB2312" w:hAnsi="仿宋_GB2312" w:eastAsia="仿宋_GB2312"/>
          <w:sz w:val="32"/>
        </w:rPr>
        <w:t>（9）加强侨联组织和信息网络建设，推进“党建带侨建”，扩大侨联基层组织覆盖面，建好“侨胞之家”，打造专职、挂职、兼职相结合的高</w:t>
      </w:r>
      <w:r>
        <w:rPr>
          <w:rFonts w:hint="eastAsia" w:ascii="仿宋_GB2312" w:hAnsi="仿宋_GB2312" w:eastAsia="仿宋_GB2312"/>
          <w:sz w:val="32"/>
          <w:lang w:eastAsia="zh-CN"/>
        </w:rPr>
        <w:t>素质</w:t>
      </w:r>
      <w:r>
        <w:rPr>
          <w:rFonts w:ascii="仿宋_GB2312" w:hAnsi="仿宋_GB2312" w:eastAsia="仿宋_GB2312"/>
          <w:sz w:val="32"/>
        </w:rPr>
        <w:t>。</w:t>
      </w:r>
    </w:p>
    <w:p w14:paraId="16205C2B">
      <w:pPr>
        <w:spacing w:line="640" w:lineRule="exact"/>
        <w:ind w:firstLine="640"/>
        <w:jc w:val="both"/>
        <w:outlineLvl w:val="2"/>
      </w:pPr>
      <w:r>
        <w:rPr>
          <w:rFonts w:ascii="黑体" w:hAnsi="黑体" w:eastAsia="黑体"/>
          <w:sz w:val="32"/>
        </w:rPr>
        <w:t>二、机构设置及人员情况</w:t>
      </w:r>
    </w:p>
    <w:p w14:paraId="38E769C7">
      <w:pPr>
        <w:spacing w:line="580" w:lineRule="exact"/>
        <w:ind w:firstLine="640"/>
        <w:jc w:val="both"/>
      </w:pPr>
      <w:r>
        <w:rPr>
          <w:rFonts w:ascii="仿宋_GB2312" w:hAnsi="仿宋_GB2312" w:eastAsia="仿宋_GB2312"/>
          <w:sz w:val="32"/>
        </w:rPr>
        <w:t>昌吉回族自治州归国华侨联合会2024年度，实有人数4人，其中：在职人员3人，增加0人；离休人员0人，增加0人；退休人员1人,增加0人。</w:t>
      </w:r>
    </w:p>
    <w:p w14:paraId="3784FFBA">
      <w:pPr>
        <w:spacing w:line="580" w:lineRule="exact"/>
        <w:ind w:firstLine="640"/>
        <w:jc w:val="both"/>
      </w:pPr>
      <w:r>
        <w:rPr>
          <w:rFonts w:ascii="仿宋_GB2312" w:hAnsi="仿宋_GB2312" w:eastAsia="仿宋_GB2312"/>
          <w:sz w:val="32"/>
        </w:rPr>
        <w:t>昌吉回族自治州归国华侨联合会无下属预算单位，下设1个科室，分别是：秘书处。</w:t>
      </w:r>
    </w:p>
    <w:p w14:paraId="7B7ADEAE">
      <w:r>
        <w:br w:type="page"/>
      </w:r>
    </w:p>
    <w:p w14:paraId="53F4F681">
      <w:pPr>
        <w:spacing w:line="240" w:lineRule="auto"/>
        <w:jc w:val="center"/>
        <w:outlineLvl w:val="1"/>
      </w:pPr>
      <w:r>
        <w:rPr>
          <w:rFonts w:ascii="黑体" w:hAnsi="黑体" w:eastAsia="黑体"/>
          <w:sz w:val="32"/>
        </w:rPr>
        <w:t>第二部分 部门决算情况说明</w:t>
      </w:r>
    </w:p>
    <w:p w14:paraId="5486637A">
      <w:pPr>
        <w:spacing w:line="640" w:lineRule="exact"/>
        <w:ind w:firstLine="640"/>
        <w:jc w:val="both"/>
        <w:outlineLvl w:val="2"/>
      </w:pPr>
      <w:r>
        <w:rPr>
          <w:rFonts w:ascii="黑体" w:hAnsi="黑体" w:eastAsia="黑体"/>
          <w:sz w:val="32"/>
        </w:rPr>
        <w:t>一、收入支出决算总体情况说明</w:t>
      </w:r>
    </w:p>
    <w:p w14:paraId="54E1FFAD">
      <w:pPr>
        <w:spacing w:line="580" w:lineRule="exact"/>
        <w:ind w:firstLine="640"/>
        <w:jc w:val="both"/>
      </w:pPr>
      <w:r>
        <w:rPr>
          <w:rFonts w:ascii="仿宋_GB2312" w:hAnsi="仿宋_GB2312" w:eastAsia="仿宋_GB2312"/>
          <w:b/>
          <w:sz w:val="32"/>
        </w:rPr>
        <w:t>2024年度收入总计96.90万元，</w:t>
      </w:r>
      <w:r>
        <w:rPr>
          <w:rFonts w:ascii="仿宋_GB2312" w:hAnsi="仿宋_GB2312" w:eastAsia="仿宋_GB2312"/>
          <w:b w:val="0"/>
          <w:sz w:val="32"/>
        </w:rPr>
        <w:t>其中：本年收入合计81.47万元，使用非财政拨款结余（含专用结余）0.00万元，年初结转和结余15.43万元。</w:t>
      </w:r>
    </w:p>
    <w:p w14:paraId="793DECCF">
      <w:pPr>
        <w:spacing w:line="580" w:lineRule="exact"/>
        <w:ind w:firstLine="640"/>
        <w:jc w:val="both"/>
      </w:pPr>
      <w:r>
        <w:rPr>
          <w:rFonts w:ascii="仿宋_GB2312" w:hAnsi="仿宋_GB2312" w:eastAsia="仿宋_GB2312"/>
          <w:b/>
          <w:sz w:val="32"/>
        </w:rPr>
        <w:t>2024年度支出总计96.90万元，</w:t>
      </w:r>
      <w:r>
        <w:rPr>
          <w:rFonts w:ascii="仿宋_GB2312" w:hAnsi="仿宋_GB2312" w:eastAsia="仿宋_GB2312"/>
          <w:b w:val="0"/>
          <w:sz w:val="32"/>
        </w:rPr>
        <w:t>其中：本年支出合计84.84万元，结余分配0.00万元，年末结转和结余12.06万元。</w:t>
      </w:r>
    </w:p>
    <w:p w14:paraId="353ED632">
      <w:pPr>
        <w:spacing w:line="580" w:lineRule="exact"/>
        <w:ind w:firstLine="640"/>
        <w:jc w:val="both"/>
      </w:pPr>
      <w:r>
        <w:rPr>
          <w:rFonts w:ascii="仿宋_GB2312" w:hAnsi="仿宋_GB2312" w:eastAsia="仿宋_GB2312"/>
          <w:b w:val="0"/>
          <w:sz w:val="32"/>
        </w:rPr>
        <w:t>收入支出总体与上年相比，增加4.00万元，增长4.31%，主要原因是：本年增加侨务工作经费</w:t>
      </w:r>
      <w:r>
        <w:rPr>
          <w:rFonts w:hint="eastAsia" w:ascii="仿宋_GB2312" w:hAnsi="仿宋_GB2312" w:eastAsia="仿宋_GB2312"/>
          <w:b w:val="0"/>
          <w:sz w:val="32"/>
          <w:lang w:eastAsia="zh-CN"/>
        </w:rPr>
        <w:t>、</w:t>
      </w:r>
      <w:r>
        <w:rPr>
          <w:rFonts w:ascii="仿宋_GB2312" w:hAnsi="仿宋_GB2312" w:eastAsia="仿宋_GB2312"/>
          <w:b w:val="0"/>
          <w:sz w:val="32"/>
        </w:rPr>
        <w:t>寺管员人员生活补助等，导致经费较上年增加。</w:t>
      </w:r>
    </w:p>
    <w:p w14:paraId="53D4EF43">
      <w:pPr>
        <w:spacing w:line="640" w:lineRule="exact"/>
        <w:ind w:firstLine="640"/>
        <w:jc w:val="both"/>
        <w:outlineLvl w:val="2"/>
      </w:pPr>
      <w:r>
        <w:rPr>
          <w:rFonts w:ascii="黑体" w:hAnsi="黑体" w:eastAsia="黑体"/>
          <w:sz w:val="32"/>
        </w:rPr>
        <w:t>二、收入决算情况说明</w:t>
      </w:r>
    </w:p>
    <w:p w14:paraId="3E88C95A">
      <w:pPr>
        <w:spacing w:line="580" w:lineRule="exact"/>
        <w:ind w:firstLine="640"/>
        <w:jc w:val="both"/>
      </w:pPr>
      <w:r>
        <w:rPr>
          <w:rFonts w:ascii="仿宋_GB2312" w:hAnsi="仿宋_GB2312" w:eastAsia="仿宋_GB2312"/>
          <w:b/>
          <w:sz w:val="32"/>
        </w:rPr>
        <w:t>本年收入81.47万元，</w:t>
      </w:r>
      <w:r>
        <w:rPr>
          <w:rFonts w:ascii="仿宋_GB2312" w:hAnsi="仿宋_GB2312" w:eastAsia="仿宋_GB2312"/>
          <w:b w:val="0"/>
          <w:sz w:val="32"/>
        </w:rPr>
        <w:t>其中：财政拨款收入81.44万元，占99.96%；上级补助收入0.00万元，占0.00%；事业收入0.00万元，占0.00%；经营收入0.00万元，占0.00%；附属单位上缴收入0.00万元，占0.00%；其他收入0.04万元，占0.05%。</w:t>
      </w:r>
    </w:p>
    <w:p w14:paraId="70AC7893">
      <w:pPr>
        <w:spacing w:line="640" w:lineRule="exact"/>
        <w:ind w:firstLine="640"/>
        <w:jc w:val="both"/>
        <w:outlineLvl w:val="2"/>
      </w:pPr>
      <w:r>
        <w:rPr>
          <w:rFonts w:ascii="黑体" w:hAnsi="黑体" w:eastAsia="黑体"/>
          <w:sz w:val="32"/>
        </w:rPr>
        <w:t>三、支出决算情况说明</w:t>
      </w:r>
    </w:p>
    <w:p w14:paraId="56B11193">
      <w:pPr>
        <w:spacing w:line="580" w:lineRule="exact"/>
        <w:ind w:firstLine="640"/>
        <w:jc w:val="both"/>
      </w:pPr>
      <w:r>
        <w:rPr>
          <w:rFonts w:ascii="仿宋_GB2312" w:hAnsi="仿宋_GB2312" w:eastAsia="仿宋_GB2312"/>
          <w:b/>
          <w:sz w:val="32"/>
        </w:rPr>
        <w:t>本年支出84.84万元，</w:t>
      </w:r>
      <w:r>
        <w:rPr>
          <w:rFonts w:ascii="仿宋_GB2312" w:hAnsi="仿宋_GB2312" w:eastAsia="仿宋_GB2312"/>
          <w:b w:val="0"/>
          <w:sz w:val="32"/>
        </w:rPr>
        <w:t>其中：基本支出77.88万元，占91.80%；项目支出6.96万元，占8.20%；上缴上级支出0.00万元，占0.00%；经营支出0.00万元，占0.00%；对附属单位补助支出0.00万元，占0.00%。</w:t>
      </w:r>
    </w:p>
    <w:p w14:paraId="41EE2ADA">
      <w:pPr>
        <w:spacing w:line="640" w:lineRule="exact"/>
        <w:ind w:firstLine="640"/>
        <w:jc w:val="both"/>
        <w:outlineLvl w:val="2"/>
      </w:pPr>
      <w:r>
        <w:rPr>
          <w:rFonts w:ascii="黑体" w:hAnsi="黑体" w:eastAsia="黑体"/>
          <w:sz w:val="32"/>
        </w:rPr>
        <w:t>四、财政拨款收入支出决算总体情况说明</w:t>
      </w:r>
    </w:p>
    <w:p w14:paraId="6DC06EF3">
      <w:pPr>
        <w:spacing w:line="580" w:lineRule="exact"/>
        <w:ind w:firstLine="640"/>
        <w:jc w:val="both"/>
      </w:pPr>
      <w:r>
        <w:rPr>
          <w:rFonts w:ascii="仿宋_GB2312" w:hAnsi="仿宋_GB2312" w:eastAsia="仿宋_GB2312"/>
          <w:b/>
          <w:sz w:val="32"/>
        </w:rPr>
        <w:t>2024年度财政拨款收入总计81.44万元，</w:t>
      </w:r>
      <w:r>
        <w:rPr>
          <w:rFonts w:ascii="仿宋_GB2312" w:hAnsi="仿宋_GB2312" w:eastAsia="仿宋_GB2312"/>
          <w:b w:val="0"/>
          <w:sz w:val="32"/>
        </w:rPr>
        <w:t>其中：年初财政拨款结转和结余0.00万元，本年财政拨款收入81.44万元。</w:t>
      </w:r>
      <w:r>
        <w:rPr>
          <w:rFonts w:ascii="仿宋_GB2312" w:hAnsi="仿宋_GB2312" w:eastAsia="仿宋_GB2312"/>
          <w:b/>
          <w:sz w:val="32"/>
        </w:rPr>
        <w:t>财政拨款支出总计81.44万元，</w:t>
      </w:r>
      <w:r>
        <w:rPr>
          <w:rFonts w:ascii="仿宋_GB2312" w:hAnsi="仿宋_GB2312" w:eastAsia="仿宋_GB2312"/>
          <w:b w:val="0"/>
          <w:sz w:val="32"/>
        </w:rPr>
        <w:t>其中：年末财政拨款结转和结余0.00万元，本年财政拨款支出81.44万元。</w:t>
      </w:r>
    </w:p>
    <w:p w14:paraId="6E65FFB0">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增加9.19万元，增长12.72%，主要原因是：本年增加侨务工作经费、寺管员人员生活补助等，导致经费较上年增加。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年初预算数77.98万元，决算数81.44万元，预决算差异率4.44%，主要原因是：本年在职人员工资调薪，工资、社保、公积金等相关人员经费增加，年中追加人员经费。</w:t>
      </w:r>
    </w:p>
    <w:p w14:paraId="258828F4">
      <w:pPr>
        <w:spacing w:line="640" w:lineRule="exact"/>
        <w:ind w:firstLine="640"/>
        <w:jc w:val="both"/>
        <w:outlineLvl w:val="2"/>
      </w:pPr>
      <w:r>
        <w:rPr>
          <w:rFonts w:ascii="黑体" w:hAnsi="黑体" w:eastAsia="黑体"/>
          <w:sz w:val="32"/>
        </w:rPr>
        <w:t>五、一般公共预算财政拨款支出决算情况说明</w:t>
      </w:r>
    </w:p>
    <w:p w14:paraId="07FBBC8F">
      <w:pPr>
        <w:spacing w:line="640" w:lineRule="exact"/>
        <w:ind w:firstLine="640"/>
        <w:jc w:val="both"/>
        <w:outlineLvl w:val="3"/>
      </w:pPr>
      <w:r>
        <w:rPr>
          <w:rFonts w:ascii="楷体_GB2312" w:hAnsi="楷体_GB2312" w:eastAsia="楷体_GB2312"/>
          <w:b/>
          <w:sz w:val="32"/>
        </w:rPr>
        <w:t>（一）一般公共预算财政拨款支出决算总体情况</w:t>
      </w:r>
    </w:p>
    <w:p w14:paraId="5B7908D3">
      <w:pPr>
        <w:spacing w:line="580" w:lineRule="exact"/>
        <w:ind w:firstLine="640"/>
        <w:jc w:val="both"/>
      </w:pPr>
      <w:r>
        <w:rPr>
          <w:rFonts w:ascii="仿宋_GB2312" w:hAnsi="仿宋_GB2312" w:eastAsia="仿宋_GB2312"/>
          <w:b/>
          <w:sz w:val="32"/>
        </w:rPr>
        <w:t>2024年度一般公共预算财政拨款支出81.44万元，</w:t>
      </w:r>
      <w:r>
        <w:rPr>
          <w:rFonts w:ascii="仿宋_GB2312" w:hAnsi="仿宋_GB2312" w:eastAsia="仿宋_GB2312"/>
          <w:b w:val="0"/>
          <w:sz w:val="32"/>
        </w:rPr>
        <w:t>占本年支出合计的95.99%。</w:t>
      </w:r>
      <w:r>
        <w:rPr>
          <w:rFonts w:ascii="仿宋_GB2312" w:hAnsi="仿宋_GB2312" w:eastAsia="仿宋_GB2312"/>
          <w:b/>
          <w:sz w:val="32"/>
        </w:rPr>
        <w:t>与上年相比，</w:t>
      </w:r>
      <w:r>
        <w:rPr>
          <w:rFonts w:ascii="仿宋_GB2312" w:hAnsi="仿宋_GB2312" w:eastAsia="仿宋_GB2312"/>
          <w:b w:val="0"/>
          <w:sz w:val="32"/>
        </w:rPr>
        <w:t>增加9.19万元，增长12.72%，主要原因是：本年增加侨务工作经费、寺管员人员生活补助等，导致经费较上年增加。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年初预算数77.98万元，决算数81.44万元，预决算差异率4.44%，主要原因是：年中追加人员工资、社保、公积金基数调增部分资金，导致预决算存在差异。</w:t>
      </w:r>
    </w:p>
    <w:p w14:paraId="5B90E4BF">
      <w:pPr>
        <w:spacing w:line="640" w:lineRule="exact"/>
        <w:ind w:firstLine="640"/>
        <w:jc w:val="both"/>
        <w:outlineLvl w:val="3"/>
      </w:pPr>
      <w:r>
        <w:rPr>
          <w:rFonts w:ascii="楷体_GB2312" w:hAnsi="楷体_GB2312" w:eastAsia="楷体_GB2312"/>
          <w:b/>
          <w:sz w:val="32"/>
        </w:rPr>
        <w:t>（二）一般公共预算财政拨款支出决算结构情况</w:t>
      </w:r>
    </w:p>
    <w:p w14:paraId="6E0109A4">
      <w:pPr>
        <w:spacing w:line="580" w:lineRule="exact"/>
        <w:ind w:firstLine="640"/>
        <w:jc w:val="both"/>
      </w:pPr>
      <w:r>
        <w:rPr>
          <w:rFonts w:ascii="仿宋_GB2312" w:hAnsi="仿宋_GB2312" w:eastAsia="仿宋_GB2312"/>
          <w:b w:val="0"/>
          <w:sz w:val="32"/>
        </w:rPr>
        <w:t>1.一般公共服务支出(类)63.91万元,占78.47%。</w:t>
      </w:r>
    </w:p>
    <w:p w14:paraId="19035E54">
      <w:pPr>
        <w:spacing w:line="580" w:lineRule="exact"/>
        <w:ind w:firstLine="640"/>
        <w:jc w:val="both"/>
      </w:pPr>
      <w:r>
        <w:rPr>
          <w:rFonts w:ascii="仿宋_GB2312" w:hAnsi="仿宋_GB2312" w:eastAsia="仿宋_GB2312"/>
          <w:b w:val="0"/>
          <w:sz w:val="32"/>
        </w:rPr>
        <w:t>2.社会保障和就业支出(类)9.67万元,占11.87%。</w:t>
      </w:r>
    </w:p>
    <w:p w14:paraId="59A3235D">
      <w:pPr>
        <w:spacing w:line="580" w:lineRule="exact"/>
        <w:ind w:firstLine="640"/>
        <w:jc w:val="both"/>
      </w:pPr>
      <w:r>
        <w:rPr>
          <w:rFonts w:ascii="仿宋_GB2312" w:hAnsi="仿宋_GB2312" w:eastAsia="仿宋_GB2312"/>
          <w:b w:val="0"/>
          <w:sz w:val="32"/>
        </w:rPr>
        <w:t>3.卫生健康支出(类)3.15万元,占3.87%。</w:t>
      </w:r>
    </w:p>
    <w:p w14:paraId="1AF23D50">
      <w:pPr>
        <w:spacing w:line="580" w:lineRule="exact"/>
        <w:ind w:firstLine="640"/>
        <w:jc w:val="both"/>
      </w:pPr>
      <w:r>
        <w:rPr>
          <w:rFonts w:ascii="仿宋_GB2312" w:hAnsi="仿宋_GB2312" w:eastAsia="仿宋_GB2312"/>
          <w:b w:val="0"/>
          <w:sz w:val="32"/>
        </w:rPr>
        <w:t>4.住房保障支出(类)4.71万元,占5.78%。</w:t>
      </w:r>
    </w:p>
    <w:p w14:paraId="7C0877FD">
      <w:pPr>
        <w:spacing w:line="640" w:lineRule="exact"/>
        <w:ind w:firstLine="640"/>
        <w:jc w:val="both"/>
        <w:outlineLvl w:val="3"/>
      </w:pPr>
      <w:r>
        <w:rPr>
          <w:rFonts w:ascii="楷体_GB2312" w:hAnsi="楷体_GB2312" w:eastAsia="楷体_GB2312"/>
          <w:b/>
          <w:sz w:val="32"/>
        </w:rPr>
        <w:t>（三）一般公共预算财政拨款支出决算具体情况</w:t>
      </w:r>
    </w:p>
    <w:p w14:paraId="0103EE5C">
      <w:pPr>
        <w:spacing w:line="580" w:lineRule="exact"/>
        <w:ind w:firstLine="640"/>
        <w:jc w:val="both"/>
      </w:pPr>
      <w:r>
        <w:rPr>
          <w:rFonts w:ascii="仿宋_GB2312" w:hAnsi="仿宋_GB2312" w:eastAsia="仿宋_GB2312"/>
          <w:b w:val="0"/>
          <w:sz w:val="32"/>
        </w:rPr>
        <w:t>1.一般公共服务支出(类)统战事务(款)宗教事务(项):支出决算数为3.67万元，比上年决算增加2.02万元，增长122.42%,主要原因是：本年增加寺管员人员生活补助支出，相应支出增加。</w:t>
      </w:r>
    </w:p>
    <w:p w14:paraId="4106B790">
      <w:pPr>
        <w:spacing w:line="580" w:lineRule="exact"/>
        <w:ind w:firstLine="640"/>
        <w:jc w:val="both"/>
      </w:pPr>
      <w:r>
        <w:rPr>
          <w:rFonts w:ascii="仿宋_GB2312" w:hAnsi="仿宋_GB2312" w:eastAsia="仿宋_GB2312"/>
          <w:b w:val="0"/>
          <w:sz w:val="32"/>
        </w:rPr>
        <w:t>2.一般公共服务支出(类)统战事务(款)华侨事务(项):支出决算数为6.96万元，比上年决算增加6.96万元，增长100.00%,主要原因是：本年增加侨务工作经费，导致经费较上年增加。</w:t>
      </w:r>
    </w:p>
    <w:p w14:paraId="711E9B49">
      <w:pPr>
        <w:spacing w:line="580" w:lineRule="exact"/>
        <w:ind w:firstLine="640"/>
        <w:jc w:val="both"/>
      </w:pPr>
      <w:r>
        <w:rPr>
          <w:rFonts w:ascii="仿宋_GB2312" w:hAnsi="仿宋_GB2312" w:eastAsia="仿宋_GB2312"/>
          <w:b w:val="0"/>
          <w:sz w:val="32"/>
        </w:rPr>
        <w:t>3.一般公共服务支出(类)</w:t>
      </w:r>
      <w:bookmarkStart w:id="0" w:name="_GoBack"/>
      <w:r>
        <w:rPr>
          <w:rFonts w:ascii="仿宋_GB2312" w:hAnsi="仿宋_GB2312" w:eastAsia="仿宋_GB2312"/>
          <w:b w:val="0"/>
          <w:sz w:val="32"/>
        </w:rPr>
        <w:t>统战</w:t>
      </w:r>
      <w:bookmarkEnd w:id="0"/>
      <w:r>
        <w:rPr>
          <w:rFonts w:ascii="仿宋_GB2312" w:hAnsi="仿宋_GB2312" w:eastAsia="仿宋_GB2312"/>
          <w:b w:val="0"/>
          <w:sz w:val="32"/>
        </w:rPr>
        <w:t>事务(款)事业运行(项):支出决算数为53.29万元，比上年决算增加17.28万元，增长47.99%,主要原因是：本年在职人员工资调增，相关人员经费增加；增加人员津贴补贴，奖金等。</w:t>
      </w:r>
    </w:p>
    <w:p w14:paraId="66F03725">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0.10万元，比上年决算减少0.29万元，下降74.36%,主要原因是：本年科目调整，部分退休费调整至事业单位离退休列支，导致经费减少。</w:t>
      </w:r>
    </w:p>
    <w:p w14:paraId="53F51689">
      <w:pPr>
        <w:spacing w:line="580" w:lineRule="exact"/>
        <w:ind w:firstLine="640"/>
        <w:jc w:val="both"/>
      </w:pPr>
      <w:r>
        <w:rPr>
          <w:rFonts w:ascii="仿宋_GB2312" w:hAnsi="仿宋_GB2312" w:eastAsia="仿宋_GB2312"/>
          <w:b w:val="0"/>
          <w:sz w:val="32"/>
        </w:rPr>
        <w:t>5.社会保障和就业支出(类)行政事业单位养老支出(款)事业单位离退休(项):支出决算数为0.75万元，比上年决算增加0.75万元，增长100.00%,主要原因是：本年科目调整，部分退休费上年在行政单位离退休，本年单独列支，导致经费增加。</w:t>
      </w:r>
    </w:p>
    <w:p w14:paraId="03FFC0E2">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5.88万元，比上年决算减少1.04万元，下降15.03%,主要原因是：本年在职人员调入调出，人员职级不同，基数不同，导致养老保险缴费减少。</w:t>
      </w:r>
    </w:p>
    <w:p w14:paraId="2EC27E7F">
      <w:pPr>
        <w:spacing w:line="580" w:lineRule="exact"/>
        <w:ind w:firstLine="640"/>
        <w:jc w:val="both"/>
      </w:pPr>
      <w:r>
        <w:rPr>
          <w:rFonts w:ascii="仿宋_GB2312" w:hAnsi="仿宋_GB2312" w:eastAsia="仿宋_GB2312"/>
          <w:b w:val="0"/>
          <w:sz w:val="32"/>
        </w:rPr>
        <w:t>7.社会保障和就业支出(类)行政事业单位养老支出(款)机关事业单位职业年金缴费支出(项):支出决算数为2.94万元，比上年决算减少15.85万元，下降84.35%,主要原因是：本年无新增退休人员，职业年金缴费支出减少。</w:t>
      </w:r>
    </w:p>
    <w:p w14:paraId="129CD00B">
      <w:pPr>
        <w:spacing w:line="580" w:lineRule="exact"/>
        <w:ind w:firstLine="640"/>
        <w:jc w:val="both"/>
      </w:pPr>
      <w:r>
        <w:rPr>
          <w:rFonts w:ascii="仿宋_GB2312" w:hAnsi="仿宋_GB2312" w:eastAsia="仿宋_GB2312"/>
          <w:b w:val="0"/>
          <w:sz w:val="32"/>
        </w:rPr>
        <w:t>8.卫生健康支出(类)行政事业单位医疗(款)行政单位医疗(项):支出决算数为2.94万元，比上年决算增加0.46万元，增长18.55%,主要原因是：本年科目调整，事业单位医疗上年单独列支，本年调整至行政单位医疗，导致经费增加。</w:t>
      </w:r>
    </w:p>
    <w:p w14:paraId="42DD9294">
      <w:pPr>
        <w:spacing w:line="580" w:lineRule="exact"/>
        <w:ind w:firstLine="640"/>
        <w:jc w:val="both"/>
      </w:pPr>
      <w:r>
        <w:rPr>
          <w:rFonts w:ascii="仿宋_GB2312" w:hAnsi="仿宋_GB2312" w:eastAsia="仿宋_GB2312"/>
          <w:b w:val="0"/>
          <w:sz w:val="32"/>
        </w:rPr>
        <w:t>9.卫生健康支出(类)行政事业单位医疗(款)事业单位医疗(项):支出决算数为0.00万元，比上年决算减少0.31万元，下降100.00%,主要原因是：本年科目调整，事业单位医疗上年单独列支，本年调整至行政单位医疗，导致经费减少。</w:t>
      </w:r>
    </w:p>
    <w:p w14:paraId="15C06E2A">
      <w:pPr>
        <w:spacing w:line="580" w:lineRule="exact"/>
        <w:ind w:firstLine="640"/>
        <w:jc w:val="both"/>
      </w:pPr>
      <w:r>
        <w:rPr>
          <w:rFonts w:ascii="仿宋_GB2312" w:hAnsi="仿宋_GB2312" w:eastAsia="仿宋_GB2312"/>
          <w:b w:val="0"/>
          <w:sz w:val="32"/>
        </w:rPr>
        <w:t>10.卫生健康支出(类)行政事业单位医疗(款)公务员医疗补助(项):支出决算数为0.18万元，比上年决算减少0.06万元，下降25.00%,主要原因是：本年在职人员调入调出，人员职级不同，缴费基数不同，导致</w:t>
      </w:r>
      <w:r>
        <w:rPr>
          <w:rFonts w:hint="eastAsia" w:ascii="仿宋_GB2312" w:hAnsi="仿宋_GB2312" w:eastAsia="仿宋_GB2312"/>
          <w:b w:val="0"/>
          <w:sz w:val="32"/>
          <w:lang w:val="en-US" w:eastAsia="zh-CN"/>
        </w:rPr>
        <w:t>公务员医疗补助</w:t>
      </w:r>
      <w:r>
        <w:rPr>
          <w:rFonts w:ascii="仿宋_GB2312" w:hAnsi="仿宋_GB2312" w:eastAsia="仿宋_GB2312"/>
          <w:b w:val="0"/>
          <w:sz w:val="32"/>
        </w:rPr>
        <w:t>较上年减少。</w:t>
      </w:r>
    </w:p>
    <w:p w14:paraId="366E0471">
      <w:pPr>
        <w:spacing w:line="580" w:lineRule="exact"/>
        <w:ind w:firstLine="640"/>
        <w:jc w:val="both"/>
      </w:pPr>
      <w:r>
        <w:rPr>
          <w:rFonts w:ascii="仿宋_GB2312" w:hAnsi="仿宋_GB2312" w:eastAsia="仿宋_GB2312"/>
          <w:b w:val="0"/>
          <w:sz w:val="32"/>
        </w:rPr>
        <w:t>11.卫生健康支出(类)行政事业单位医疗(款)其他行政事业单位医疗支出(项):支出决算数为0.02万元，比上年决算增加0.00万元，增长0.00%,主要原因是：本年工伤保险支出与上年一致，无变动。</w:t>
      </w:r>
    </w:p>
    <w:p w14:paraId="73826605">
      <w:pPr>
        <w:spacing w:line="580" w:lineRule="exact"/>
        <w:ind w:firstLine="640"/>
        <w:jc w:val="both"/>
      </w:pPr>
      <w:r>
        <w:rPr>
          <w:rFonts w:ascii="仿宋_GB2312" w:hAnsi="仿宋_GB2312" w:eastAsia="仿宋_GB2312"/>
          <w:b w:val="0"/>
          <w:sz w:val="32"/>
        </w:rPr>
        <w:t>12.住房保障支出(类)住房改革支出(款)住房公积金(项):支出决算数为4.71万元，比上年决算减少0.74万元，下降13.58%,主要原因是：本年在职人员调入调出，人员职级不同，缴费基数不同，导致住房公积金较上年减少。</w:t>
      </w:r>
    </w:p>
    <w:p w14:paraId="7005C345">
      <w:pPr>
        <w:spacing w:line="640" w:lineRule="exact"/>
        <w:ind w:firstLine="640"/>
        <w:jc w:val="both"/>
        <w:outlineLvl w:val="2"/>
      </w:pPr>
      <w:r>
        <w:rPr>
          <w:rFonts w:ascii="黑体" w:hAnsi="黑体" w:eastAsia="黑体"/>
          <w:sz w:val="32"/>
        </w:rPr>
        <w:t>六、一般公共预算财政拨款基本支出决算情况说明</w:t>
      </w:r>
    </w:p>
    <w:p w14:paraId="7A952E1D">
      <w:pPr>
        <w:spacing w:line="580" w:lineRule="exact"/>
        <w:ind w:firstLine="640"/>
        <w:jc w:val="both"/>
      </w:pPr>
      <w:r>
        <w:rPr>
          <w:rFonts w:ascii="仿宋_GB2312" w:hAnsi="仿宋_GB2312" w:eastAsia="仿宋_GB2312"/>
          <w:b w:val="0"/>
          <w:sz w:val="32"/>
        </w:rPr>
        <w:t>2024年度一般公共预算财政拨款基本支出74.48万元，其中：</w:t>
      </w:r>
      <w:r>
        <w:rPr>
          <w:rFonts w:ascii="仿宋_GB2312" w:hAnsi="仿宋_GB2312" w:eastAsia="仿宋_GB2312"/>
          <w:b/>
          <w:sz w:val="32"/>
        </w:rPr>
        <w:t>人员经费70.21万元，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包括：基本工资、津贴补贴、奖金、机关事业单位基本养老保险缴费、职业年金缴费、职工基本医疗保险缴费、公务员医疗补助缴费、其他社会保障缴费、住房公积金、其他工资福利支出、退休费、奖励金。</w:t>
      </w:r>
    </w:p>
    <w:p w14:paraId="30C448A1">
      <w:pPr>
        <w:spacing w:line="580" w:lineRule="exact"/>
        <w:ind w:firstLine="640"/>
        <w:jc w:val="both"/>
      </w:pPr>
      <w:r>
        <w:rPr>
          <w:rFonts w:ascii="仿宋_GB2312" w:hAnsi="仿宋_GB2312" w:eastAsia="仿宋_GB2312"/>
          <w:b/>
          <w:sz w:val="32"/>
        </w:rPr>
        <w:t>公用经费4.27万元，</w:t>
      </w:r>
      <w:r>
        <w:rPr>
          <w:rFonts w:ascii="仿宋_GB2312" w:hAnsi="仿宋_GB2312" w:eastAsia="仿宋_GB2312"/>
          <w:b w:val="0"/>
          <w:sz w:val="32"/>
        </w:rPr>
        <w:t>包括：办公费、邮电费、差旅费、维修（护）费、委托业务费、工会经费、福利费、公务用车运行维护费、其他商品和服务支出。</w:t>
      </w:r>
    </w:p>
    <w:p w14:paraId="6A5C1921">
      <w:pPr>
        <w:spacing w:line="640" w:lineRule="exact"/>
        <w:ind w:firstLine="640"/>
        <w:jc w:val="both"/>
        <w:outlineLvl w:val="2"/>
      </w:pPr>
      <w:r>
        <w:rPr>
          <w:rFonts w:ascii="黑体" w:hAnsi="黑体" w:eastAsia="黑体"/>
          <w:sz w:val="32"/>
        </w:rPr>
        <w:t>七、政府性基金预算财政拨款收入支出决算情况说明</w:t>
      </w:r>
    </w:p>
    <w:p w14:paraId="7C80B73B">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2050A91">
      <w:pPr>
        <w:spacing w:line="640" w:lineRule="exact"/>
        <w:ind w:firstLine="640"/>
        <w:jc w:val="both"/>
        <w:outlineLvl w:val="2"/>
      </w:pPr>
      <w:r>
        <w:rPr>
          <w:rFonts w:ascii="黑体" w:hAnsi="黑体" w:eastAsia="黑体"/>
          <w:sz w:val="32"/>
        </w:rPr>
        <w:t>八、国有资本经营预算财政拨款收入支出决算情况说明</w:t>
      </w:r>
    </w:p>
    <w:p w14:paraId="289E61D7">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7A41561">
      <w:pPr>
        <w:spacing w:line="640" w:lineRule="exact"/>
        <w:ind w:firstLine="640"/>
        <w:jc w:val="both"/>
        <w:outlineLvl w:val="2"/>
      </w:pPr>
      <w:r>
        <w:rPr>
          <w:rFonts w:ascii="黑体" w:hAnsi="黑体" w:eastAsia="黑体"/>
          <w:sz w:val="32"/>
        </w:rPr>
        <w:t>九、财政拨款“三公”经费支出决算情况说明</w:t>
      </w:r>
    </w:p>
    <w:p w14:paraId="5171E85C">
      <w:pPr>
        <w:spacing w:line="580" w:lineRule="exact"/>
        <w:ind w:firstLine="640"/>
        <w:jc w:val="both"/>
      </w:pPr>
      <w:r>
        <w:rPr>
          <w:rFonts w:ascii="仿宋_GB2312" w:hAnsi="仿宋_GB2312" w:eastAsia="仿宋_GB2312"/>
          <w:b/>
          <w:sz w:val="32"/>
        </w:rPr>
        <w:t>2024年度财政拨款“三公”经费支出1.46万元，</w:t>
      </w:r>
      <w:r>
        <w:rPr>
          <w:rFonts w:ascii="仿宋_GB2312" w:hAnsi="仿宋_GB2312" w:eastAsia="仿宋_GB2312"/>
          <w:b w:val="0"/>
          <w:sz w:val="32"/>
        </w:rPr>
        <w:t>比上年减少0.04万元，下降2.67%，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1.46万元，占100.00%，比上年减少0.04万元，下降2.67%，主要原因是：严格落实中央八项规定精神，厉行节约，减少公务用车运行维护费。公务接待费支出0.00万元，占0.00%，比上年增加0.00万元，增长0.00%，主要原因是：2023年与2024年均未安排公务接待费支出。</w:t>
      </w:r>
    </w:p>
    <w:p w14:paraId="10957B6E">
      <w:pPr>
        <w:spacing w:line="580" w:lineRule="exact"/>
        <w:ind w:firstLine="640"/>
        <w:jc w:val="both"/>
      </w:pPr>
      <w:r>
        <w:rPr>
          <w:rFonts w:ascii="仿宋_GB2312" w:hAnsi="仿宋_GB2312" w:eastAsia="仿宋_GB2312"/>
          <w:b/>
          <w:sz w:val="32"/>
        </w:rPr>
        <w:t>具体情况如下：</w:t>
      </w:r>
    </w:p>
    <w:p w14:paraId="0525211F">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BC09AA9">
      <w:pPr>
        <w:spacing w:line="580" w:lineRule="exact"/>
        <w:ind w:firstLine="640"/>
        <w:jc w:val="both"/>
      </w:pPr>
      <w:r>
        <w:rPr>
          <w:rFonts w:ascii="仿宋_GB2312" w:hAnsi="仿宋_GB2312" w:eastAsia="仿宋_GB2312"/>
          <w:b w:val="0"/>
          <w:sz w:val="32"/>
        </w:rPr>
        <w:t>公务用车购置及运行维护费1.46万元，其中：公务用车购置费0.00万元，公务用车运行维护费1.46万元。公务用车运行维护费开支内容包括车辆加油费、维修费、保险费、审车费、过路费等。公务用车购置数0辆，公务用车保有量1辆。国有资产占用情况中固定资产车辆1辆，与公务用车保有量差异原因是：本单位固定资产车辆与公务用车保有量一致无差异。</w:t>
      </w:r>
    </w:p>
    <w:p w14:paraId="0F0841AD">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3449A0FE">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1.46万元，决算数1.46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1.46万元，决算数1.46万元，预决算差异率0.00%，主要原因是：严格按照预算执行，预决算无差异。公务接待费全年预算数0.00万元，决算数0.00万元，预决算差异率0.00%，主要原因是：本单位无公务接待费。</w:t>
      </w:r>
    </w:p>
    <w:p w14:paraId="09730885">
      <w:pPr>
        <w:spacing w:line="640" w:lineRule="exact"/>
        <w:ind w:firstLine="640"/>
        <w:jc w:val="both"/>
        <w:outlineLvl w:val="2"/>
      </w:pPr>
      <w:r>
        <w:rPr>
          <w:rFonts w:ascii="黑体" w:hAnsi="黑体" w:eastAsia="黑体"/>
          <w:sz w:val="32"/>
        </w:rPr>
        <w:t>十、其他重要事项的情况说明</w:t>
      </w:r>
    </w:p>
    <w:p w14:paraId="09742311">
      <w:pPr>
        <w:spacing w:line="640" w:lineRule="exact"/>
        <w:ind w:firstLine="640"/>
        <w:jc w:val="both"/>
        <w:outlineLvl w:val="3"/>
      </w:pPr>
      <w:r>
        <w:rPr>
          <w:rFonts w:ascii="楷体_GB2312" w:hAnsi="楷体_GB2312" w:eastAsia="楷体_GB2312"/>
          <w:b/>
          <w:sz w:val="32"/>
        </w:rPr>
        <w:t>（一）机关运行经费及公用经费支出情况</w:t>
      </w:r>
    </w:p>
    <w:p w14:paraId="4104D657">
      <w:pPr>
        <w:spacing w:line="580" w:lineRule="exact"/>
        <w:ind w:firstLine="640"/>
        <w:jc w:val="both"/>
      </w:pPr>
      <w:r>
        <w:rPr>
          <w:rFonts w:ascii="仿宋_GB2312" w:hAnsi="仿宋_GB2312" w:eastAsia="仿宋_GB2312"/>
          <w:b w:val="0"/>
          <w:sz w:val="32"/>
        </w:rPr>
        <w:t>2024年度昌吉回族自治州归国华侨联合会（行政单位和参照公务员法管理事业单位）机关运行经费支出4.27万元，比上年减少0.31万元，下降6.77%，主要原因是：严控经费支出，厉行节约，减少经费支出。</w:t>
      </w:r>
    </w:p>
    <w:p w14:paraId="50F6C03C">
      <w:pPr>
        <w:spacing w:line="640" w:lineRule="exact"/>
        <w:ind w:firstLine="640"/>
        <w:jc w:val="both"/>
        <w:outlineLvl w:val="3"/>
      </w:pPr>
      <w:r>
        <w:rPr>
          <w:rFonts w:ascii="楷体_GB2312" w:hAnsi="楷体_GB2312" w:eastAsia="楷体_GB2312"/>
          <w:b/>
          <w:sz w:val="32"/>
        </w:rPr>
        <w:t>（二）政府采购情况</w:t>
      </w:r>
    </w:p>
    <w:p w14:paraId="30B31973">
      <w:pPr>
        <w:spacing w:line="580" w:lineRule="exact"/>
        <w:ind w:firstLine="640"/>
        <w:jc w:val="both"/>
      </w:pPr>
      <w:r>
        <w:rPr>
          <w:rFonts w:ascii="仿宋_GB2312" w:hAnsi="仿宋_GB2312" w:eastAsia="仿宋_GB2312"/>
          <w:b w:val="0"/>
          <w:sz w:val="32"/>
        </w:rPr>
        <w:t>2024年度政府采购支出总额1.46万元，其中：政府采购货物支出0.00万元、政府采购工程支出0.00万元、政府采购服务支出1.46万元。</w:t>
      </w:r>
    </w:p>
    <w:p w14:paraId="115EFDE9">
      <w:pPr>
        <w:spacing w:line="580" w:lineRule="exact"/>
        <w:ind w:firstLine="640"/>
        <w:jc w:val="both"/>
      </w:pPr>
      <w:r>
        <w:rPr>
          <w:rFonts w:ascii="仿宋_GB2312" w:hAnsi="仿宋_GB2312" w:eastAsia="仿宋_GB2312"/>
          <w:b w:val="0"/>
          <w:sz w:val="32"/>
        </w:rPr>
        <w:t>授予中小企业合同金额1.46万元，占政府采购支出总额的100.00%，其中：授予小微企业合同金额1.46万元，占政府采购支出总额的100.00%。</w:t>
      </w:r>
    </w:p>
    <w:p w14:paraId="6C0C2B3B">
      <w:pPr>
        <w:spacing w:line="640" w:lineRule="exact"/>
        <w:ind w:firstLine="640"/>
        <w:jc w:val="both"/>
        <w:outlineLvl w:val="3"/>
      </w:pPr>
      <w:r>
        <w:rPr>
          <w:rFonts w:ascii="楷体_GB2312" w:hAnsi="楷体_GB2312" w:eastAsia="楷体_GB2312"/>
          <w:b/>
          <w:sz w:val="32"/>
        </w:rPr>
        <w:t>（三）国有资产占用情况说明</w:t>
      </w:r>
    </w:p>
    <w:p w14:paraId="1AF4C5AB">
      <w:pPr>
        <w:spacing w:line="580" w:lineRule="exact"/>
        <w:ind w:firstLine="640"/>
        <w:jc w:val="both"/>
      </w:pPr>
      <w:r>
        <w:rPr>
          <w:rFonts w:ascii="仿宋_GB2312" w:hAnsi="仿宋_GB2312" w:eastAsia="仿宋_GB2312"/>
          <w:b w:val="0"/>
          <w:sz w:val="32"/>
        </w:rPr>
        <w:t>截至2024年12月31日，房屋0.00平方米，价值0.00万元。车辆1辆，价值23.32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6C2CA8CA">
      <w:pPr>
        <w:spacing w:line="640" w:lineRule="exact"/>
        <w:ind w:firstLine="640"/>
        <w:jc w:val="both"/>
        <w:outlineLvl w:val="2"/>
      </w:pPr>
      <w:r>
        <w:rPr>
          <w:rFonts w:ascii="黑体" w:hAnsi="黑体" w:eastAsia="黑体"/>
          <w:sz w:val="32"/>
        </w:rPr>
        <w:t>十一、预算绩效的情况说明</w:t>
      </w:r>
    </w:p>
    <w:p w14:paraId="5627DB93">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96.90万元，实际执行总额84.84万元；预算绩效评价项目2个，全年预算数11.36万元，全年执行数10.29万元。预算绩效管理取得的成效：一是建立健全了预算管理规章制度，各部门严格按预算编制和要求做好当年预算编制工作，在预算绩效管理工作中，做到合理安排各项资金，重点保障基本支出，按轻重缓急顺序原则，优先安排了阜康市人民政府办公室事业发展中关系民生与稳定的项目，切实优化资源配置，提高了资金使用的效率和效果。二是进一步完善单位财务制度，严格执行财务管理，按财政部门的要求进行决算、编制财务报告，并到相关业务科室进行审核，能按要求时间准时上报财政部门。发现的问题及原因：一是要加强财务人员业务学习能力和自身素质的提高，才能保证财务工作的严要求、高标准。二是进一步加强预算管理，预算编制依据充分合理，避免预算统筹考虑不足，出现预算执行不均衡现象。下一步改进措施：一是加强预算绩效目标编制的培训学习，科学合理编制预算，严格执行预算，提高财务信息质量；二是进一步加强单位内部机构的预算管理意识，严格按照预算编制的相关制度和要求进行预算编制，加强单位财务管理，健全单位财务管理制度体系，规范单位财务行为。具体附整体支出绩效自评表，项目支出绩效自评表和评价报告。</w:t>
      </w:r>
    </w:p>
    <w:p w14:paraId="6DADFBAB">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9CB2C3D">
        <w:tblPrEx>
          <w:tblCellMar>
            <w:top w:w="0" w:type="dxa"/>
            <w:left w:w="108" w:type="dxa"/>
            <w:bottom w:w="0" w:type="dxa"/>
            <w:right w:w="108" w:type="dxa"/>
          </w:tblCellMar>
        </w:tblPrEx>
        <w:tc>
          <w:tcPr>
            <w:tcW w:w="8847" w:type="dxa"/>
            <w:gridSpan w:val="9"/>
            <w:vAlign w:val="center"/>
          </w:tcPr>
          <w:p w14:paraId="3F7E16D6">
            <w:pPr>
              <w:jc w:val="center"/>
            </w:pPr>
            <w:r>
              <w:rPr>
                <w:rFonts w:ascii="宋体" w:hAnsi="宋体" w:eastAsia="宋体"/>
                <w:sz w:val="24"/>
              </w:rPr>
              <w:t>单位整体支出绩效自评表</w:t>
            </w:r>
          </w:p>
        </w:tc>
      </w:tr>
      <w:tr w14:paraId="7768485C">
        <w:tblPrEx>
          <w:tblCellMar>
            <w:top w:w="0" w:type="dxa"/>
            <w:left w:w="108" w:type="dxa"/>
            <w:bottom w:w="0" w:type="dxa"/>
            <w:right w:w="108" w:type="dxa"/>
          </w:tblCellMar>
        </w:tblPrEx>
        <w:tc>
          <w:tcPr>
            <w:tcW w:w="8847" w:type="dxa"/>
            <w:gridSpan w:val="9"/>
            <w:vAlign w:val="center"/>
          </w:tcPr>
          <w:p w14:paraId="43543869">
            <w:pPr>
              <w:jc w:val="center"/>
            </w:pPr>
            <w:r>
              <w:rPr>
                <w:rFonts w:ascii="宋体" w:hAnsi="宋体" w:eastAsia="宋体"/>
                <w:sz w:val="24"/>
              </w:rPr>
              <w:t>（2024年度）</w:t>
            </w:r>
          </w:p>
        </w:tc>
      </w:tr>
      <w:tr w14:paraId="3BC9A6B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3BA0BB">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DE06F9B">
            <w:pPr>
              <w:jc w:val="center"/>
            </w:pPr>
            <w:r>
              <w:rPr>
                <w:rFonts w:ascii="宋体" w:hAnsi="宋体" w:eastAsia="宋体"/>
                <w:sz w:val="16"/>
              </w:rPr>
              <w:t>昌吉回族自治州归国华侨联合会</w:t>
            </w:r>
          </w:p>
        </w:tc>
      </w:tr>
      <w:tr w14:paraId="5371DC6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E97A8E">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3FD3C7">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4734BF">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86A174">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58D4E2">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16C6F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AD663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5BAE92">
            <w:pPr>
              <w:jc w:val="center"/>
            </w:pPr>
            <w:r>
              <w:rPr>
                <w:rFonts w:ascii="宋体" w:hAnsi="宋体" w:eastAsia="宋体"/>
                <w:sz w:val="16"/>
              </w:rPr>
              <w:t>得分</w:t>
            </w:r>
          </w:p>
        </w:tc>
      </w:tr>
      <w:tr w14:paraId="09BC632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277B0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2AD998">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1BC60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9AB0E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D3DF4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B9191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89CC0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20024A">
            <w:pPr>
              <w:jc w:val="center"/>
            </w:pPr>
            <w:r>
              <w:rPr>
                <w:rFonts w:ascii="宋体" w:hAnsi="宋体" w:eastAsia="宋体"/>
                <w:sz w:val="16"/>
              </w:rPr>
              <w:t>-</w:t>
            </w:r>
          </w:p>
        </w:tc>
      </w:tr>
      <w:tr w14:paraId="742959B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5479B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EB5D5E">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2466DB">
            <w:pPr>
              <w:jc w:val="center"/>
            </w:pPr>
            <w:r>
              <w:rPr>
                <w:rFonts w:ascii="宋体" w:hAnsi="宋体" w:eastAsia="宋体"/>
                <w:sz w:val="16"/>
              </w:rPr>
              <w:t>77.98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CCA084">
            <w:pPr>
              <w:jc w:val="center"/>
            </w:pPr>
            <w:r>
              <w:rPr>
                <w:rFonts w:ascii="宋体" w:hAnsi="宋体" w:eastAsia="宋体"/>
                <w:sz w:val="16"/>
              </w:rPr>
              <w:t>92.50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3B2CBA">
            <w:pPr>
              <w:jc w:val="center"/>
            </w:pPr>
            <w:r>
              <w:rPr>
                <w:rFonts w:ascii="宋体" w:hAnsi="宋体" w:eastAsia="宋体"/>
                <w:sz w:val="16"/>
              </w:rPr>
              <w:t>81.44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C86C4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45BA6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31D229">
            <w:pPr>
              <w:jc w:val="center"/>
            </w:pPr>
            <w:r>
              <w:rPr>
                <w:rFonts w:ascii="宋体" w:hAnsi="宋体" w:eastAsia="宋体"/>
                <w:sz w:val="16"/>
              </w:rPr>
              <w:t>-</w:t>
            </w:r>
          </w:p>
        </w:tc>
      </w:tr>
      <w:tr w14:paraId="7425340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CBCDB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0DD9E5">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D36CFB">
            <w:pPr>
              <w:jc w:val="center"/>
            </w:pPr>
            <w:r>
              <w:rPr>
                <w:rFonts w:ascii="宋体" w:hAnsi="宋体" w:eastAsia="宋体"/>
                <w:sz w:val="16"/>
              </w:rPr>
              <w:t>4.40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6D80D5">
            <w:pPr>
              <w:jc w:val="center"/>
            </w:pPr>
            <w:r>
              <w:rPr>
                <w:rFonts w:ascii="宋体" w:hAnsi="宋体" w:eastAsia="宋体"/>
                <w:sz w:val="16"/>
              </w:rPr>
              <w:t>4.40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722B86">
            <w:pPr>
              <w:jc w:val="center"/>
            </w:pPr>
            <w:r>
              <w:rPr>
                <w:rFonts w:ascii="宋体" w:hAnsi="宋体" w:eastAsia="宋体"/>
                <w:sz w:val="16"/>
              </w:rPr>
              <w:t>3.40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FB53B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035B7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9A3A98">
            <w:pPr>
              <w:jc w:val="center"/>
            </w:pPr>
            <w:r>
              <w:rPr>
                <w:rFonts w:ascii="宋体" w:hAnsi="宋体" w:eastAsia="宋体"/>
                <w:sz w:val="16"/>
              </w:rPr>
              <w:t>-</w:t>
            </w:r>
          </w:p>
        </w:tc>
      </w:tr>
      <w:tr w14:paraId="175A1C0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62A22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4D55F7">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0FB2F2">
            <w:pPr>
              <w:jc w:val="center"/>
            </w:pPr>
            <w:r>
              <w:rPr>
                <w:rFonts w:ascii="宋体" w:hAnsi="宋体" w:eastAsia="宋体"/>
                <w:sz w:val="16"/>
              </w:rPr>
              <w:t>82.38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837E98">
            <w:pPr>
              <w:jc w:val="center"/>
            </w:pPr>
            <w:r>
              <w:rPr>
                <w:rFonts w:ascii="宋体" w:hAnsi="宋体" w:eastAsia="宋体"/>
                <w:sz w:val="16"/>
              </w:rPr>
              <w:t>96.90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5AF259">
            <w:pPr>
              <w:jc w:val="center"/>
            </w:pPr>
            <w:r>
              <w:rPr>
                <w:rFonts w:ascii="宋体" w:hAnsi="宋体" w:eastAsia="宋体"/>
                <w:sz w:val="16"/>
              </w:rPr>
              <w:t>84.84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7F145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92C597">
            <w:pPr>
              <w:jc w:val="center"/>
            </w:pPr>
            <w:r>
              <w:rPr>
                <w:rFonts w:ascii="宋体" w:hAnsi="宋体" w:eastAsia="宋体"/>
                <w:sz w:val="16"/>
              </w:rPr>
              <w:t>87.55%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689202">
            <w:pPr>
              <w:jc w:val="center"/>
            </w:pPr>
            <w:r>
              <w:rPr>
                <w:rFonts w:ascii="宋体" w:hAnsi="宋体" w:eastAsia="宋体"/>
                <w:sz w:val="16"/>
              </w:rPr>
              <w:t>8.76</w:t>
            </w:r>
          </w:p>
        </w:tc>
      </w:tr>
      <w:tr w14:paraId="2AED768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5302EF">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37CC7E9">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D204819">
            <w:pPr>
              <w:jc w:val="center"/>
            </w:pPr>
            <w:r>
              <w:rPr>
                <w:rFonts w:ascii="宋体" w:hAnsi="宋体" w:eastAsia="宋体"/>
                <w:sz w:val="16"/>
              </w:rPr>
              <w:t>实际完成情况</w:t>
            </w:r>
          </w:p>
        </w:tc>
      </w:tr>
      <w:tr w14:paraId="4A924F2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56AFE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176F881">
            <w:pPr>
              <w:jc w:val="both"/>
            </w:pPr>
            <w:r>
              <w:rPr>
                <w:rFonts w:ascii="宋体" w:hAnsi="宋体" w:eastAsia="宋体"/>
                <w:sz w:val="16"/>
              </w:rPr>
              <w:t>全州侨联以学习宣传贯彻党的二十大精神、习近平总书记二十大报告和侨务工作重要论述为重点为动力，认真贯彻党的侨务政策，发挥桥梁纽带作用，凝聚侨心侨力，围绕州党委中心工作，服务大局积极开展工作，坚定信心，创新实干，为在新征程上奋发有为建设美好新疆作出昌吉侨界贡献</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CF2BA52">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全年预算数为96.90万元，全年执行数为84.84万元，总预算执行率为87.55%。2024年</w:t>
            </w:r>
            <w:r>
              <w:rPr>
                <w:rFonts w:hint="eastAsia" w:ascii="宋体" w:hAnsi="宋体"/>
                <w:sz w:val="16"/>
                <w:lang w:eastAsia="zh-CN"/>
              </w:rPr>
              <w:t>本单位</w:t>
            </w:r>
            <w:r>
              <w:rPr>
                <w:rFonts w:ascii="宋体" w:hAnsi="宋体" w:eastAsia="宋体"/>
                <w:sz w:val="16"/>
              </w:rPr>
              <w:t>完成以下工作内容：1、该项目实际完成慰问归侨侨眷20户；2.开展宣传活动1次；3.开展侨务工作会议1次。通过以上工作的实施，提升了服务质量和工作效率，加强侨界思想政治引领，凝聚侨心、发挥侨力。促进了部门业务开展工作，保障了单位机构正常运转。</w:t>
            </w:r>
          </w:p>
        </w:tc>
      </w:tr>
      <w:tr w14:paraId="1E8FF03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8DB998">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F82ADD">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CB224B">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C5D333">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69BF30">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4555C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5C91B3">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FE4A83">
            <w:pPr>
              <w:jc w:val="center"/>
            </w:pPr>
            <w:r>
              <w:rPr>
                <w:rFonts w:ascii="宋体" w:hAnsi="宋体" w:eastAsia="宋体"/>
                <w:sz w:val="16"/>
              </w:rPr>
              <w:t>得分</w:t>
            </w:r>
          </w:p>
        </w:tc>
      </w:tr>
      <w:tr w14:paraId="14179C8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755F9C">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844FD5">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F90229">
            <w:pPr>
              <w:jc w:val="center"/>
            </w:pPr>
            <w:r>
              <w:rPr>
                <w:rFonts w:ascii="宋体" w:hAnsi="宋体" w:eastAsia="宋体"/>
                <w:sz w:val="16"/>
              </w:rPr>
              <w:t>慰问归侨侨眷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1A4EAD">
            <w:pPr>
              <w:jc w:val="center"/>
            </w:pPr>
            <w:r>
              <w:rPr>
                <w:rFonts w:ascii="宋体" w:hAnsi="宋体" w:eastAsia="宋体"/>
                <w:sz w:val="16"/>
              </w:rPr>
              <w:t>&gt;=20户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24C3B4">
            <w:pPr>
              <w:jc w:val="center"/>
            </w:pPr>
            <w:r>
              <w:rPr>
                <w:rFonts w:ascii="宋体" w:hAnsi="宋体" w:eastAsia="宋体"/>
                <w:sz w:val="16"/>
              </w:rPr>
              <w:t>自治州归国华侨联合会工作要点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A5E95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E53B5B">
            <w:pPr>
              <w:jc w:val="center"/>
            </w:pPr>
            <w:r>
              <w:rPr>
                <w:rFonts w:ascii="宋体" w:hAnsi="宋体" w:eastAsia="宋体"/>
                <w:sz w:val="16"/>
              </w:rPr>
              <w:t>20户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397DB4">
            <w:pPr>
              <w:jc w:val="center"/>
            </w:pPr>
            <w:r>
              <w:rPr>
                <w:rFonts w:ascii="宋体" w:hAnsi="宋体" w:eastAsia="宋体"/>
                <w:sz w:val="16"/>
              </w:rPr>
              <w:t>20</w:t>
            </w:r>
          </w:p>
        </w:tc>
      </w:tr>
      <w:tr w14:paraId="6D4D7F5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3143A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EA305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1DCE6A">
            <w:pPr>
              <w:jc w:val="center"/>
            </w:pPr>
            <w:r>
              <w:rPr>
                <w:rFonts w:ascii="宋体" w:hAnsi="宋体" w:eastAsia="宋体"/>
                <w:sz w:val="16"/>
              </w:rPr>
              <w:t>宣传贯彻党的涉侨政策及侨法活动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2670C0">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3141DA">
            <w:pPr>
              <w:jc w:val="center"/>
            </w:pPr>
            <w:r>
              <w:rPr>
                <w:rFonts w:ascii="宋体" w:hAnsi="宋体" w:eastAsia="宋体"/>
                <w:sz w:val="16"/>
              </w:rPr>
              <w:t>自治州归国华侨联合会工作要点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E843B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E52A84">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3C12A5">
            <w:pPr>
              <w:jc w:val="center"/>
            </w:pPr>
            <w:r>
              <w:rPr>
                <w:rFonts w:ascii="宋体" w:hAnsi="宋体" w:eastAsia="宋体"/>
                <w:sz w:val="16"/>
              </w:rPr>
              <w:t>20</w:t>
            </w:r>
          </w:p>
        </w:tc>
      </w:tr>
      <w:tr w14:paraId="3A0DADA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5354F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AF087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737F56">
            <w:pPr>
              <w:jc w:val="center"/>
            </w:pPr>
            <w:r>
              <w:rPr>
                <w:rFonts w:ascii="宋体" w:hAnsi="宋体" w:eastAsia="宋体"/>
                <w:sz w:val="16"/>
              </w:rPr>
              <w:t>召开州侨联</w:t>
            </w:r>
            <w:r>
              <w:rPr>
                <w:rFonts w:hint="eastAsia" w:ascii="宋体" w:hAnsi="宋体"/>
                <w:sz w:val="16"/>
                <w:lang w:eastAsia="zh-CN"/>
              </w:rPr>
              <w:t>联席会议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CF22FD">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6B8597">
            <w:pPr>
              <w:jc w:val="center"/>
            </w:pPr>
            <w:r>
              <w:rPr>
                <w:rFonts w:ascii="宋体" w:hAnsi="宋体" w:eastAsia="宋体"/>
                <w:sz w:val="16"/>
              </w:rPr>
              <w:t>自治州归国华侨联合会工作要点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7BD40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83E3DF">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12BA5C">
            <w:pPr>
              <w:jc w:val="center"/>
            </w:pPr>
            <w:r>
              <w:rPr>
                <w:rFonts w:ascii="宋体" w:hAnsi="宋体" w:eastAsia="宋体"/>
                <w:sz w:val="16"/>
              </w:rPr>
              <w:t>20</w:t>
            </w:r>
          </w:p>
        </w:tc>
      </w:tr>
      <w:tr w14:paraId="7C6DC59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B6FAE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B434F4">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A29391">
            <w:pPr>
              <w:jc w:val="center"/>
            </w:pPr>
            <w:r>
              <w:rPr>
                <w:rFonts w:ascii="宋体" w:hAnsi="宋体" w:eastAsia="宋体"/>
                <w:sz w:val="16"/>
              </w:rPr>
              <w:t>侨联服务工作完成率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763D2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B641CE">
            <w:pPr>
              <w:jc w:val="center"/>
            </w:pPr>
            <w:r>
              <w:rPr>
                <w:rFonts w:ascii="宋体" w:hAnsi="宋体" w:eastAsia="宋体"/>
                <w:sz w:val="16"/>
              </w:rPr>
              <w:t>自治州归国华侨联合会工作要点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DD6AEC">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07BD4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83F644">
            <w:pPr>
              <w:jc w:val="center"/>
            </w:pPr>
            <w:r>
              <w:rPr>
                <w:rFonts w:ascii="宋体" w:hAnsi="宋体" w:eastAsia="宋体"/>
                <w:sz w:val="16"/>
              </w:rPr>
              <w:t>30</w:t>
            </w:r>
          </w:p>
        </w:tc>
      </w:tr>
    </w:tbl>
    <w:p w14:paraId="58ADE86B">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3"/>
        <w:gridCol w:w="625"/>
        <w:gridCol w:w="619"/>
        <w:gridCol w:w="696"/>
        <w:gridCol w:w="631"/>
        <w:gridCol w:w="776"/>
        <w:gridCol w:w="696"/>
        <w:gridCol w:w="613"/>
        <w:gridCol w:w="631"/>
        <w:gridCol w:w="614"/>
        <w:gridCol w:w="614"/>
        <w:gridCol w:w="696"/>
      </w:tblGrid>
      <w:tr w14:paraId="1A3660C0">
        <w:tblPrEx>
          <w:tblCellMar>
            <w:top w:w="0" w:type="dxa"/>
            <w:left w:w="108" w:type="dxa"/>
            <w:bottom w:w="0" w:type="dxa"/>
            <w:right w:w="108" w:type="dxa"/>
          </w:tblCellMar>
        </w:tblPrEx>
        <w:tc>
          <w:tcPr>
            <w:tcW w:w="8848" w:type="dxa"/>
            <w:gridSpan w:val="14"/>
            <w:vAlign w:val="center"/>
          </w:tcPr>
          <w:p w14:paraId="27F5C16A">
            <w:pPr>
              <w:jc w:val="center"/>
            </w:pPr>
            <w:r>
              <w:rPr>
                <w:rFonts w:ascii="宋体" w:hAnsi="宋体" w:eastAsia="宋体"/>
                <w:sz w:val="24"/>
              </w:rPr>
              <w:t>项目支出绩效自评表</w:t>
            </w:r>
          </w:p>
        </w:tc>
      </w:tr>
      <w:tr w14:paraId="61978A3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A7FCB73">
            <w:pPr>
              <w:jc w:val="center"/>
            </w:pPr>
            <w:r>
              <w:rPr>
                <w:rFonts w:ascii="宋体" w:hAnsi="宋体" w:eastAsia="宋体"/>
                <w:sz w:val="24"/>
              </w:rPr>
              <w:t>(2024年度)</w:t>
            </w:r>
          </w:p>
        </w:tc>
      </w:tr>
      <w:tr w14:paraId="74A0A93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13F8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7ADBB0E">
            <w:pPr>
              <w:jc w:val="center"/>
            </w:pPr>
            <w:r>
              <w:rPr>
                <w:rFonts w:ascii="宋体" w:hAnsi="宋体" w:eastAsia="宋体"/>
                <w:sz w:val="16"/>
              </w:rPr>
              <w:t>侨务工作经费</w:t>
            </w:r>
          </w:p>
        </w:tc>
      </w:tr>
      <w:tr w14:paraId="6C5C594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9143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3A892D">
            <w:pPr>
              <w:jc w:val="center"/>
            </w:pPr>
            <w:r>
              <w:rPr>
                <w:rFonts w:ascii="宋体" w:hAnsi="宋体" w:eastAsia="宋体"/>
                <w:sz w:val="16"/>
              </w:rPr>
              <w:t>昌吉回族自治州归国华侨联合会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594D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9B9C0DD">
            <w:pPr>
              <w:jc w:val="center"/>
            </w:pPr>
            <w:r>
              <w:rPr>
                <w:rFonts w:ascii="宋体" w:hAnsi="宋体" w:eastAsia="宋体"/>
                <w:sz w:val="16"/>
              </w:rPr>
              <w:t>昌吉回族自治州归国华侨联合会</w:t>
            </w:r>
          </w:p>
        </w:tc>
      </w:tr>
      <w:tr w14:paraId="6D9578B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68A50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15DA4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A8D2D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55388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60528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BBBFA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CCC91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B31F6">
            <w:pPr>
              <w:jc w:val="center"/>
            </w:pPr>
            <w:r>
              <w:rPr>
                <w:rFonts w:ascii="宋体" w:hAnsi="宋体" w:eastAsia="宋体"/>
                <w:sz w:val="16"/>
              </w:rPr>
              <w:t>得分</w:t>
            </w:r>
          </w:p>
        </w:tc>
      </w:tr>
      <w:tr w14:paraId="5B37D1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7146A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D24F6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5FFEB1">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1C791E">
            <w:pPr>
              <w:jc w:val="center"/>
            </w:pPr>
            <w:r>
              <w:rPr>
                <w:rFonts w:ascii="宋体" w:hAnsi="宋体" w:eastAsia="宋体"/>
                <w:sz w:val="16"/>
              </w:rPr>
              <w:t>6.96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B0F8A0">
            <w:pPr>
              <w:jc w:val="center"/>
            </w:pPr>
            <w:r>
              <w:rPr>
                <w:rFonts w:ascii="宋体" w:hAnsi="宋体" w:eastAsia="宋体"/>
                <w:sz w:val="16"/>
              </w:rPr>
              <w:t>6.96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27BF5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EBC9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D6F4D">
            <w:pPr>
              <w:jc w:val="center"/>
            </w:pPr>
            <w:r>
              <w:rPr>
                <w:rFonts w:ascii="宋体" w:hAnsi="宋体" w:eastAsia="宋体"/>
                <w:sz w:val="16"/>
              </w:rPr>
              <w:t>10.00</w:t>
            </w:r>
          </w:p>
        </w:tc>
      </w:tr>
      <w:tr w14:paraId="119672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0AAE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77FFC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865DB1">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6FD613">
            <w:pPr>
              <w:jc w:val="center"/>
            </w:pPr>
            <w:r>
              <w:rPr>
                <w:rFonts w:ascii="宋体" w:hAnsi="宋体" w:eastAsia="宋体"/>
                <w:sz w:val="16"/>
              </w:rPr>
              <w:t>6.96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591846">
            <w:pPr>
              <w:jc w:val="center"/>
            </w:pPr>
            <w:r>
              <w:rPr>
                <w:rFonts w:ascii="宋体" w:hAnsi="宋体" w:eastAsia="宋体"/>
                <w:sz w:val="16"/>
              </w:rPr>
              <w:t>6.96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AF00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2060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F56DA">
            <w:pPr>
              <w:jc w:val="center"/>
            </w:pPr>
            <w:r>
              <w:rPr>
                <w:rFonts w:ascii="宋体" w:hAnsi="宋体" w:eastAsia="宋体"/>
                <w:sz w:val="16"/>
              </w:rPr>
              <w:t>—</w:t>
            </w:r>
          </w:p>
        </w:tc>
      </w:tr>
      <w:tr w14:paraId="0FC4F4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40926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86E4D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93B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C7DD0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1DE3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63CA1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8A10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E479A">
            <w:pPr>
              <w:jc w:val="center"/>
            </w:pPr>
            <w:r>
              <w:rPr>
                <w:rFonts w:ascii="宋体" w:hAnsi="宋体" w:eastAsia="宋体"/>
                <w:sz w:val="16"/>
              </w:rPr>
              <w:t>—</w:t>
            </w:r>
          </w:p>
        </w:tc>
      </w:tr>
      <w:tr w14:paraId="45C6077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788BE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597CC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99E89C3">
            <w:pPr>
              <w:jc w:val="center"/>
            </w:pPr>
            <w:r>
              <w:rPr>
                <w:rFonts w:ascii="宋体" w:hAnsi="宋体" w:eastAsia="宋体"/>
                <w:sz w:val="16"/>
              </w:rPr>
              <w:t>实际完成情况</w:t>
            </w:r>
          </w:p>
        </w:tc>
      </w:tr>
      <w:tr w14:paraId="7F58B5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D37CF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478C49">
            <w:pPr>
              <w:jc w:val="both"/>
            </w:pPr>
            <w:r>
              <w:rPr>
                <w:rFonts w:ascii="宋体" w:hAnsi="宋体" w:eastAsia="宋体"/>
                <w:sz w:val="16"/>
              </w:rPr>
              <w:t>2024年该项目计划慰问归侨侨眷15户，开展1次宣传活动，开展1次侨务工作会议，归侨侨眷慰问准确率达到100%，政府采购率达到100%，宣传品验收合格率达到100%，项目预计2024年12月20日前完成。通过该项目的实施，加强侨界思想政治引领，凝聚侨心、发挥侨力。慰问归侨侨眷满意度不低于90%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50FE6D">
            <w:pPr>
              <w:jc w:val="both"/>
            </w:pPr>
            <w:r>
              <w:rPr>
                <w:rFonts w:ascii="宋体" w:hAnsi="宋体" w:eastAsia="宋体"/>
                <w:sz w:val="16"/>
              </w:rPr>
              <w:t>截至2024年12月31日，该项目实际完成慰问归侨侨眷15户、开展宣传活动1次、开展侨务工作会议1次；通过该项目的实施，提升了服务质量和工作效率，促进了部门业务开展工作，保障了单位机构正常运转。</w:t>
            </w:r>
          </w:p>
        </w:tc>
      </w:tr>
      <w:tr w14:paraId="2EF390B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2448F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DA49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6CD9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E5EC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CE6B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78EF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C493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ABE3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2EDB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A16C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41A7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9B14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0793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6222B">
            <w:pPr>
              <w:jc w:val="center"/>
            </w:pPr>
            <w:r>
              <w:rPr>
                <w:rFonts w:ascii="宋体" w:hAnsi="宋体" w:eastAsia="宋体"/>
                <w:sz w:val="16"/>
              </w:rPr>
              <w:t>偏差原因分析及改进措施</w:t>
            </w:r>
          </w:p>
        </w:tc>
      </w:tr>
      <w:tr w14:paraId="4B1D55F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96112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7D1A0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F5BFC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F32D8">
            <w:pPr>
              <w:jc w:val="center"/>
            </w:pPr>
            <w:r>
              <w:rPr>
                <w:rFonts w:ascii="宋体" w:hAnsi="宋体" w:eastAsia="宋体"/>
                <w:sz w:val="16"/>
              </w:rPr>
              <w:t>慰问归侨侨眷数量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AE02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EE122">
            <w:pPr>
              <w:jc w:val="center"/>
            </w:pPr>
            <w:r>
              <w:rPr>
                <w:rFonts w:ascii="宋体" w:hAnsi="宋体" w:eastAsia="宋体"/>
                <w:sz w:val="16"/>
              </w:rPr>
              <w:t>&gt;=15户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36605">
            <w:pPr>
              <w:jc w:val="center"/>
            </w:pPr>
            <w:r>
              <w:rPr>
                <w:rFonts w:ascii="宋体" w:hAnsi="宋体" w:eastAsia="宋体"/>
                <w:sz w:val="16"/>
              </w:rPr>
              <w:t>=15户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7F6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181A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EE4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DCEE1">
            <w:pPr>
              <w:jc w:val="center"/>
            </w:pPr>
            <w:r>
              <w:rPr>
                <w:rFonts w:ascii="宋体" w:hAnsi="宋体" w:eastAsia="宋体"/>
                <w:sz w:val="16"/>
              </w:rPr>
              <w:t>=15户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C0B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0940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A17F8">
            <w:pPr>
              <w:jc w:val="center"/>
            </w:pPr>
          </w:p>
        </w:tc>
      </w:tr>
      <w:tr w14:paraId="59BFC4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BC92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CA0F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6357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84B48">
            <w:pPr>
              <w:jc w:val="center"/>
            </w:pPr>
            <w:r>
              <w:rPr>
                <w:rFonts w:ascii="宋体" w:hAnsi="宋体" w:eastAsia="宋体"/>
                <w:sz w:val="16"/>
              </w:rPr>
              <w:t>开展宣传活动次数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2B5E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C6669">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2464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45E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0E8B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A65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4A8B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739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5223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8A25E">
            <w:pPr>
              <w:jc w:val="center"/>
            </w:pPr>
          </w:p>
        </w:tc>
      </w:tr>
      <w:tr w14:paraId="472A9E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121C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094C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9364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620E7">
            <w:pPr>
              <w:jc w:val="center"/>
            </w:pPr>
            <w:r>
              <w:rPr>
                <w:rFonts w:ascii="宋体" w:hAnsi="宋体" w:eastAsia="宋体"/>
                <w:sz w:val="16"/>
              </w:rPr>
              <w:t>开展侨务工作会议次数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2A40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A51A4">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7C809">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280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CD63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02F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218F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B12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9D75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01C67">
            <w:pPr>
              <w:jc w:val="center"/>
            </w:pPr>
          </w:p>
        </w:tc>
      </w:tr>
      <w:tr w14:paraId="06572A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C1C3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74CBF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D0A70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77907">
            <w:pPr>
              <w:jc w:val="center"/>
            </w:pPr>
            <w:r>
              <w:rPr>
                <w:rFonts w:ascii="宋体" w:hAnsi="宋体" w:eastAsia="宋体"/>
                <w:sz w:val="16"/>
              </w:rPr>
              <w:t>归侨侨眷慰问准确率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2B9D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8B9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3BE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5DC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1B8F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FBF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BE4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76E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D4B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0A8D6">
            <w:pPr>
              <w:jc w:val="center"/>
            </w:pPr>
          </w:p>
        </w:tc>
      </w:tr>
      <w:tr w14:paraId="5428A0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7E31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54AC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82D1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B5349">
            <w:pPr>
              <w:jc w:val="center"/>
            </w:pPr>
            <w:r>
              <w:rPr>
                <w:rFonts w:ascii="宋体" w:hAnsi="宋体" w:eastAsia="宋体"/>
                <w:sz w:val="16"/>
              </w:rPr>
              <w:t>宣传品印刷合格率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043E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78D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F28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5B1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5605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469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147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C2E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263B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564B5">
            <w:pPr>
              <w:jc w:val="center"/>
            </w:pPr>
          </w:p>
        </w:tc>
      </w:tr>
      <w:tr w14:paraId="5CB104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5AE4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1359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A2E2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E05DB">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488B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30846">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40029">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DBF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E796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09F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83B63">
            <w:pPr>
              <w:jc w:val="center"/>
            </w:pPr>
            <w:r>
              <w:rPr>
                <w:rFonts w:ascii="宋体" w:hAnsi="宋体" w:eastAsia="宋体"/>
                <w:sz w:val="16"/>
              </w:rPr>
              <w:t>2023年12月20日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18E0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FC3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60CA8">
            <w:pPr>
              <w:jc w:val="center"/>
            </w:pPr>
          </w:p>
        </w:tc>
      </w:tr>
      <w:tr w14:paraId="4135D3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C1CDA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BFBAA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ED1E9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1C63D">
            <w:pPr>
              <w:jc w:val="center"/>
            </w:pPr>
            <w:r>
              <w:rPr>
                <w:rFonts w:ascii="宋体" w:hAnsi="宋体" w:eastAsia="宋体"/>
                <w:sz w:val="16"/>
              </w:rPr>
              <w:t>侨务服务会议相关经费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6D8B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1C531">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66233">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27D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F7B6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E2DE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41BBF">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274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BA78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44C34">
            <w:pPr>
              <w:jc w:val="center"/>
            </w:pPr>
          </w:p>
        </w:tc>
      </w:tr>
      <w:tr w14:paraId="0DF54C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6E37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0734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4A3D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6A99A">
            <w:pPr>
              <w:jc w:val="center"/>
            </w:pPr>
            <w:r>
              <w:rPr>
                <w:rFonts w:ascii="宋体" w:hAnsi="宋体" w:eastAsia="宋体"/>
                <w:sz w:val="16"/>
              </w:rPr>
              <w:t>慰问经费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B442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50C1E">
            <w:pPr>
              <w:jc w:val="center"/>
            </w:pPr>
            <w:r>
              <w:rPr>
                <w:rFonts w:ascii="宋体" w:hAnsi="宋体" w:eastAsia="宋体"/>
                <w:sz w:val="16"/>
              </w:rPr>
              <w:t>&lt;=2.5万元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833B5">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D39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77AD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F8F2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CE380">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AEF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DB54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F062A">
            <w:pPr>
              <w:jc w:val="center"/>
            </w:pPr>
          </w:p>
        </w:tc>
      </w:tr>
      <w:tr w14:paraId="24A579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2F51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6E0E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45A6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F23C6">
            <w:pPr>
              <w:jc w:val="center"/>
            </w:pPr>
            <w:r>
              <w:rPr>
                <w:rFonts w:ascii="宋体" w:hAnsi="宋体" w:eastAsia="宋体"/>
                <w:sz w:val="16"/>
              </w:rPr>
              <w:t>宣传经费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4A03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5F495">
            <w:pPr>
              <w:jc w:val="center"/>
            </w:pPr>
            <w:r>
              <w:rPr>
                <w:rFonts w:ascii="宋体" w:hAnsi="宋体" w:eastAsia="宋体"/>
                <w:sz w:val="16"/>
              </w:rPr>
              <w:t>&lt;=2.46万元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355ED">
            <w:pPr>
              <w:jc w:val="center"/>
            </w:pPr>
            <w:r>
              <w:rPr>
                <w:rFonts w:ascii="宋体" w:hAnsi="宋体" w:eastAsia="宋体"/>
                <w:sz w:val="16"/>
              </w:rPr>
              <w:t>=2.46万元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3E4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3F50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7079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DE98F">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85E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D8DF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41A85">
            <w:pPr>
              <w:jc w:val="center"/>
            </w:pPr>
          </w:p>
        </w:tc>
      </w:tr>
      <w:tr w14:paraId="018501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BC52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ABA0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CAD2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6DBAC">
            <w:pPr>
              <w:jc w:val="center"/>
            </w:pPr>
            <w:r>
              <w:rPr>
                <w:rFonts w:ascii="宋体" w:hAnsi="宋体" w:eastAsia="宋体"/>
                <w:sz w:val="16"/>
              </w:rPr>
              <w:t>加强侨界思想政治引领，凝聚侨心、发挥侨力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69EC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6E890">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B34A3">
            <w:pPr>
              <w:jc w:val="center"/>
            </w:pPr>
            <w:r>
              <w:rPr>
                <w:rFonts w:ascii="宋体" w:hAnsi="宋体" w:eastAsia="宋体"/>
                <w:sz w:val="16"/>
              </w:rPr>
              <w:tab/>
            </w: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192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83B6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930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AB531">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EFC2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D57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48F53">
            <w:pPr>
              <w:jc w:val="center"/>
            </w:pPr>
          </w:p>
        </w:tc>
      </w:tr>
      <w:tr w14:paraId="051937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121A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28F0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C840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FBE7A">
            <w:pPr>
              <w:jc w:val="center"/>
            </w:pPr>
            <w:r>
              <w:rPr>
                <w:rFonts w:ascii="宋体" w:hAnsi="宋体" w:eastAsia="宋体"/>
                <w:sz w:val="16"/>
              </w:rPr>
              <w:t>慰问归侨侨眷满意度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B0E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83C7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073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1311E">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083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AA3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E80E4">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BFB8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C91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9B335">
            <w:pPr>
              <w:jc w:val="center"/>
            </w:pPr>
            <w:r>
              <w:rPr>
                <w:rFonts w:ascii="宋体" w:hAnsi="宋体" w:eastAsia="宋体"/>
                <w:sz w:val="16"/>
              </w:rPr>
              <w:t>主要原因是年初设置慰问归侨侨眷满意度</w:t>
            </w:r>
            <w:r>
              <w:rPr>
                <w:rFonts w:hint="eastAsia" w:ascii="宋体" w:hAnsi="宋体"/>
                <w:sz w:val="16"/>
                <w:lang w:eastAsia="zh-CN"/>
              </w:rPr>
              <w:t>目标值</w:t>
            </w:r>
            <w:r>
              <w:rPr>
                <w:rFonts w:ascii="宋体" w:hAnsi="宋体" w:eastAsia="宋体"/>
                <w:sz w:val="16"/>
              </w:rPr>
              <w:t>为90%，实际值为100%。</w:t>
            </w:r>
          </w:p>
        </w:tc>
      </w:tr>
      <w:tr w14:paraId="1DD0F9D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969B2D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65F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BCD1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4921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56C1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AF1D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0A2F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0B99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3366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E456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0973BB"/>
        </w:tc>
      </w:tr>
    </w:tbl>
    <w:p w14:paraId="707DE648">
      <w:r>
        <w:br w:type="page"/>
      </w:r>
    </w:p>
    <w:tbl>
      <w:tblPr>
        <w:tblStyle w:val="9"/>
        <w:tblW w:w="0" w:type="auto"/>
        <w:tblInd w:w="0" w:type="dxa"/>
        <w:tblLayout w:type="autofit"/>
        <w:tblCellMar>
          <w:top w:w="0" w:type="dxa"/>
          <w:left w:w="108" w:type="dxa"/>
          <w:bottom w:w="0" w:type="dxa"/>
          <w:right w:w="108" w:type="dxa"/>
        </w:tblCellMar>
      </w:tblPr>
      <w:tblGrid>
        <w:gridCol w:w="624"/>
        <w:gridCol w:w="614"/>
        <w:gridCol w:w="614"/>
        <w:gridCol w:w="696"/>
        <w:gridCol w:w="620"/>
        <w:gridCol w:w="696"/>
        <w:gridCol w:w="631"/>
        <w:gridCol w:w="776"/>
        <w:gridCol w:w="631"/>
        <w:gridCol w:w="614"/>
        <w:gridCol w:w="620"/>
        <w:gridCol w:w="614"/>
        <w:gridCol w:w="614"/>
        <w:gridCol w:w="696"/>
      </w:tblGrid>
      <w:tr w14:paraId="1E131108">
        <w:tblPrEx>
          <w:tblCellMar>
            <w:top w:w="0" w:type="dxa"/>
            <w:left w:w="108" w:type="dxa"/>
            <w:bottom w:w="0" w:type="dxa"/>
            <w:right w:w="108" w:type="dxa"/>
          </w:tblCellMar>
        </w:tblPrEx>
        <w:tc>
          <w:tcPr>
            <w:tcW w:w="8848" w:type="dxa"/>
            <w:gridSpan w:val="14"/>
            <w:vAlign w:val="center"/>
          </w:tcPr>
          <w:p w14:paraId="32FD8E06">
            <w:pPr>
              <w:jc w:val="center"/>
            </w:pPr>
            <w:r>
              <w:rPr>
                <w:rFonts w:ascii="宋体" w:hAnsi="宋体" w:eastAsia="宋体"/>
                <w:sz w:val="24"/>
              </w:rPr>
              <w:t>项目支出绩效自评表</w:t>
            </w:r>
          </w:p>
        </w:tc>
      </w:tr>
      <w:tr w14:paraId="2861672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B371D0A">
            <w:pPr>
              <w:jc w:val="center"/>
            </w:pPr>
            <w:r>
              <w:rPr>
                <w:rFonts w:ascii="宋体" w:hAnsi="宋体" w:eastAsia="宋体"/>
                <w:sz w:val="24"/>
              </w:rPr>
              <w:t>(2024年度)</w:t>
            </w:r>
          </w:p>
        </w:tc>
      </w:tr>
      <w:tr w14:paraId="4C7CB26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71EC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A190FBB">
            <w:pPr>
              <w:jc w:val="center"/>
            </w:pPr>
            <w:r>
              <w:rPr>
                <w:rFonts w:ascii="宋体" w:hAnsi="宋体" w:eastAsia="宋体"/>
                <w:sz w:val="16"/>
              </w:rPr>
              <w:t>机关运行补助</w:t>
            </w:r>
          </w:p>
        </w:tc>
      </w:tr>
      <w:tr w14:paraId="7A493B8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4292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EAB97B">
            <w:pPr>
              <w:jc w:val="center"/>
            </w:pPr>
            <w:r>
              <w:rPr>
                <w:rFonts w:ascii="宋体" w:hAnsi="宋体" w:eastAsia="宋体"/>
                <w:sz w:val="16"/>
              </w:rPr>
              <w:t>昌吉回族自治州归国华侨联合会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C018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4423436">
            <w:pPr>
              <w:jc w:val="center"/>
            </w:pPr>
            <w:r>
              <w:rPr>
                <w:rFonts w:ascii="宋体" w:hAnsi="宋体" w:eastAsia="宋体"/>
                <w:sz w:val="16"/>
              </w:rPr>
              <w:t>昌吉回族自治州归国华侨联合会</w:t>
            </w:r>
          </w:p>
        </w:tc>
      </w:tr>
      <w:tr w14:paraId="2D34F36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565C9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2B70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709AD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6C6A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73CD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491A7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B3613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3EA27">
            <w:pPr>
              <w:jc w:val="center"/>
            </w:pPr>
            <w:r>
              <w:rPr>
                <w:rFonts w:ascii="宋体" w:hAnsi="宋体" w:eastAsia="宋体"/>
                <w:sz w:val="16"/>
              </w:rPr>
              <w:t>得分</w:t>
            </w:r>
          </w:p>
        </w:tc>
      </w:tr>
      <w:tr w14:paraId="0BB6E0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3BF15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455DA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C09C59">
            <w:pPr>
              <w:jc w:val="center"/>
            </w:pPr>
            <w:r>
              <w:rPr>
                <w:rFonts w:ascii="宋体" w:hAnsi="宋体" w:eastAsia="宋体"/>
                <w:sz w:val="16"/>
              </w:rPr>
              <w:t>4.40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93B114">
            <w:pPr>
              <w:jc w:val="center"/>
            </w:pPr>
            <w:r>
              <w:rPr>
                <w:rFonts w:ascii="宋体" w:hAnsi="宋体" w:eastAsia="宋体"/>
                <w:sz w:val="16"/>
              </w:rPr>
              <w:t>4.40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E55057">
            <w:pPr>
              <w:jc w:val="center"/>
            </w:pPr>
            <w:r>
              <w:rPr>
                <w:rFonts w:ascii="宋体" w:hAnsi="宋体" w:eastAsia="宋体"/>
                <w:sz w:val="16"/>
              </w:rPr>
              <w:t>3.33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3CAE5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6BE158">
            <w:pPr>
              <w:jc w:val="center"/>
            </w:pPr>
            <w:r>
              <w:rPr>
                <w:rFonts w:ascii="宋体" w:hAnsi="宋体" w:eastAsia="宋体"/>
                <w:sz w:val="16"/>
              </w:rPr>
              <w:t>75.68%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1C0D7">
            <w:pPr>
              <w:jc w:val="center"/>
            </w:pPr>
            <w:r>
              <w:rPr>
                <w:rFonts w:ascii="宋体" w:hAnsi="宋体" w:eastAsia="宋体"/>
                <w:sz w:val="16"/>
              </w:rPr>
              <w:t>3.92</w:t>
            </w:r>
          </w:p>
        </w:tc>
      </w:tr>
      <w:tr w14:paraId="41F8BB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D71AB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8B397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F0EF5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80032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BE6A8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E07B1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7D1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14C43">
            <w:pPr>
              <w:jc w:val="center"/>
            </w:pPr>
            <w:r>
              <w:rPr>
                <w:rFonts w:ascii="宋体" w:hAnsi="宋体" w:eastAsia="宋体"/>
                <w:sz w:val="16"/>
              </w:rPr>
              <w:t>—</w:t>
            </w:r>
          </w:p>
        </w:tc>
      </w:tr>
      <w:tr w14:paraId="69CA09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E5DC5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1CDF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62C1EC">
            <w:pPr>
              <w:jc w:val="center"/>
            </w:pPr>
            <w:r>
              <w:rPr>
                <w:rFonts w:ascii="宋体" w:hAnsi="宋体" w:eastAsia="宋体"/>
                <w:sz w:val="16"/>
              </w:rPr>
              <w:t>4.40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04F29C">
            <w:pPr>
              <w:jc w:val="center"/>
            </w:pPr>
            <w:r>
              <w:rPr>
                <w:rFonts w:ascii="宋体" w:hAnsi="宋体" w:eastAsia="宋体"/>
                <w:sz w:val="16"/>
              </w:rPr>
              <w:t>4.40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4D716">
            <w:pPr>
              <w:jc w:val="center"/>
            </w:pPr>
            <w:r>
              <w:rPr>
                <w:rFonts w:ascii="宋体" w:hAnsi="宋体" w:eastAsia="宋体"/>
                <w:sz w:val="16"/>
              </w:rPr>
              <w:t>3.33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A409D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F450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25FE1">
            <w:pPr>
              <w:jc w:val="center"/>
            </w:pPr>
            <w:r>
              <w:rPr>
                <w:rFonts w:ascii="宋体" w:hAnsi="宋体" w:eastAsia="宋体"/>
                <w:sz w:val="16"/>
              </w:rPr>
              <w:t>—</w:t>
            </w:r>
          </w:p>
        </w:tc>
      </w:tr>
      <w:tr w14:paraId="7A88E8D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AAC7B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DE440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0063374">
            <w:pPr>
              <w:jc w:val="center"/>
            </w:pPr>
            <w:r>
              <w:rPr>
                <w:rFonts w:ascii="宋体" w:hAnsi="宋体" w:eastAsia="宋体"/>
                <w:sz w:val="16"/>
              </w:rPr>
              <w:t>实际完成情况</w:t>
            </w:r>
          </w:p>
        </w:tc>
      </w:tr>
      <w:tr w14:paraId="554C43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45297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4B221B">
            <w:pPr>
              <w:jc w:val="both"/>
            </w:pPr>
            <w:r>
              <w:rPr>
                <w:rFonts w:ascii="宋体" w:hAnsi="宋体" w:eastAsia="宋体"/>
                <w:sz w:val="16"/>
              </w:rPr>
              <w:t>全州侨联以学习宣传贯彻党的二十大精神、习近平总书记二十大报告和侨务工作重要论述为重点为动力，认真贯彻党的侨务政策，发挥桥梁纽带作用，凝聚侨心侨力，围绕州党委中心工作，服务大局积极开展工作，坚定信心，创新实干，为在新征程上奋发有为建设美好新疆作出昌吉侨界贡献。为侨联服务1次，开展慰问宣传活动2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C58AB0">
            <w:pPr>
              <w:jc w:val="both"/>
            </w:pPr>
            <w:r>
              <w:rPr>
                <w:rFonts w:ascii="宋体" w:hAnsi="宋体" w:eastAsia="宋体"/>
                <w:sz w:val="16"/>
              </w:rPr>
              <w:t>截至2024年12月31日，该项目实际完成开展为侨服务工作1次、开展涉侨政策法规宣传宣讲活动1次；通过该项目的实施，提升了服务质量和工作效率，促进了部门业务开展工作，保障了单位机构正常运转。</w:t>
            </w:r>
          </w:p>
        </w:tc>
      </w:tr>
      <w:tr w14:paraId="79DA30D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603F4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0ED5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28E0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D58D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C065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2D54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AC2D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F129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5302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CA62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A838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C5FB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ADE2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DEED4">
            <w:pPr>
              <w:jc w:val="center"/>
            </w:pPr>
            <w:r>
              <w:rPr>
                <w:rFonts w:ascii="宋体" w:hAnsi="宋体" w:eastAsia="宋体"/>
                <w:sz w:val="16"/>
              </w:rPr>
              <w:t>偏差原因分析及改进措施</w:t>
            </w:r>
          </w:p>
        </w:tc>
      </w:tr>
      <w:tr w14:paraId="5150D9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411BD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97D05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6CF4A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C5FAD">
            <w:pPr>
              <w:jc w:val="center"/>
            </w:pPr>
            <w:r>
              <w:rPr>
                <w:rFonts w:ascii="宋体" w:hAnsi="宋体" w:eastAsia="宋体"/>
                <w:sz w:val="16"/>
              </w:rPr>
              <w:t>开展为侨服务工作（次）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E0DC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A6B82">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964C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15D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1F06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B29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7F82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210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1446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40A12">
            <w:pPr>
              <w:jc w:val="center"/>
            </w:pPr>
          </w:p>
        </w:tc>
      </w:tr>
      <w:tr w14:paraId="62E68E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E601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B077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F9BA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8BD07">
            <w:pPr>
              <w:jc w:val="center"/>
            </w:pPr>
            <w:r>
              <w:rPr>
                <w:rFonts w:ascii="宋体" w:hAnsi="宋体" w:eastAsia="宋体"/>
                <w:sz w:val="16"/>
              </w:rPr>
              <w:t>开展涉侨政策法规宣传宣讲活动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7525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B4987">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6387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3A8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6C0A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930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54709">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4EE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DA35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7AE9F">
            <w:pPr>
              <w:jc w:val="center"/>
            </w:pPr>
          </w:p>
        </w:tc>
      </w:tr>
      <w:tr w14:paraId="30B332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0379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9D75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A9CA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A82D4">
            <w:pPr>
              <w:jc w:val="center"/>
            </w:pPr>
            <w:r>
              <w:rPr>
                <w:rFonts w:ascii="宋体" w:hAnsi="宋体" w:eastAsia="宋体"/>
                <w:sz w:val="16"/>
              </w:rPr>
              <w:t>侨服务工作完成率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B3D1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8E5C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775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2222F">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12498">
            <w:pPr>
              <w:jc w:val="center"/>
            </w:pPr>
            <w:r>
              <w:rPr>
                <w:rFonts w:ascii="宋体" w:hAnsi="宋体" w:eastAsia="宋体"/>
                <w:sz w:val="16"/>
              </w:rPr>
              <w:t>14.21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078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D4637">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518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E85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8DE38">
            <w:pPr>
              <w:jc w:val="center"/>
            </w:pPr>
            <w:r>
              <w:rPr>
                <w:rFonts w:ascii="宋体" w:hAnsi="宋体" w:eastAsia="宋体"/>
                <w:sz w:val="16"/>
              </w:rPr>
              <w:t>主要原因是年初设置目标值为95%，实际已完成100%。</w:t>
            </w:r>
          </w:p>
        </w:tc>
      </w:tr>
      <w:tr w14:paraId="0B3204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7D13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7023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15DD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534CF">
            <w:pPr>
              <w:jc w:val="center"/>
            </w:pPr>
            <w:r>
              <w:rPr>
                <w:rFonts w:ascii="宋体" w:hAnsi="宋体" w:eastAsia="宋体"/>
                <w:sz w:val="16"/>
              </w:rPr>
              <w:t>机关运行经费支付及时率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95FB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CB22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F83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8820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351D8">
            <w:pPr>
              <w:jc w:val="center"/>
            </w:pPr>
            <w:r>
              <w:rPr>
                <w:rFonts w:ascii="宋体" w:hAnsi="宋体" w:eastAsia="宋体"/>
                <w:sz w:val="16"/>
              </w:rPr>
              <w:t>14.21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52F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5BF7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94E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6F3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26DCB">
            <w:pPr>
              <w:jc w:val="center"/>
            </w:pPr>
            <w:r>
              <w:rPr>
                <w:rFonts w:ascii="宋体" w:hAnsi="宋体" w:eastAsia="宋体"/>
                <w:sz w:val="16"/>
              </w:rPr>
              <w:t>主要原因是年初设置目标值为95%，实际已完成100%</w:t>
            </w:r>
          </w:p>
        </w:tc>
      </w:tr>
      <w:tr w14:paraId="775DCF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980A0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57EE2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35285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5EE9C">
            <w:pPr>
              <w:jc w:val="center"/>
            </w:pPr>
            <w:r>
              <w:rPr>
                <w:rFonts w:ascii="宋体" w:hAnsi="宋体" w:eastAsia="宋体"/>
                <w:sz w:val="16"/>
              </w:rPr>
              <w:t>开展侨服务工作所需经费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C3B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7A428">
            <w:pPr>
              <w:jc w:val="center"/>
            </w:pPr>
            <w:r>
              <w:rPr>
                <w:rFonts w:ascii="宋体" w:hAnsi="宋体" w:eastAsia="宋体"/>
                <w:sz w:val="16"/>
              </w:rPr>
              <w:t>&lt;=2.40万元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8EC61">
            <w:pPr>
              <w:jc w:val="center"/>
            </w:pPr>
            <w:r>
              <w:rPr>
                <w:rFonts w:ascii="宋体" w:hAnsi="宋体" w:eastAsia="宋体"/>
                <w:sz w:val="16"/>
              </w:rPr>
              <w:t>=2.4万元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CEB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931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21C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607AB">
            <w:pPr>
              <w:jc w:val="center"/>
            </w:pPr>
            <w:r>
              <w:rPr>
                <w:rFonts w:ascii="宋体" w:hAnsi="宋体" w:eastAsia="宋体"/>
                <w:sz w:val="16"/>
              </w:rPr>
              <w:t>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D19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E95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69A5F">
            <w:pPr>
              <w:jc w:val="center"/>
            </w:pPr>
          </w:p>
        </w:tc>
      </w:tr>
      <w:tr w14:paraId="0121EA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3825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F19D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62D8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5EBEF">
            <w:pPr>
              <w:jc w:val="center"/>
            </w:pPr>
            <w:r>
              <w:rPr>
                <w:rFonts w:ascii="宋体" w:hAnsi="宋体" w:eastAsia="宋体"/>
                <w:sz w:val="16"/>
              </w:rPr>
              <w:t>侨法慰问宣传所需经费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141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18087">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C14CD">
            <w:pPr>
              <w:jc w:val="center"/>
            </w:pPr>
            <w:r>
              <w:rPr>
                <w:rFonts w:ascii="宋体" w:hAnsi="宋体" w:eastAsia="宋体"/>
                <w:sz w:val="16"/>
              </w:rPr>
              <w:t>=0.93万元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96E82">
            <w:pPr>
              <w:jc w:val="center"/>
            </w:pPr>
            <w:r>
              <w:rPr>
                <w:rFonts w:ascii="宋体" w:hAnsi="宋体" w:eastAsia="宋体"/>
                <w:sz w:val="16"/>
              </w:rPr>
              <w:t>46.5%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351A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D95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BBEE9">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945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6174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83F45">
            <w:pPr>
              <w:jc w:val="center"/>
            </w:pPr>
            <w:r>
              <w:rPr>
                <w:rFonts w:ascii="宋体" w:hAnsi="宋体" w:eastAsia="宋体"/>
                <w:sz w:val="16"/>
              </w:rPr>
              <w:t>主要原因是本年度因人员抽调下乡，部分宣传工作未开展。</w:t>
            </w:r>
          </w:p>
        </w:tc>
      </w:tr>
      <w:tr w14:paraId="38BD36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7A0E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A59C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6A47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16840">
            <w:pPr>
              <w:jc w:val="center"/>
            </w:pPr>
            <w:r>
              <w:rPr>
                <w:rFonts w:ascii="宋体" w:hAnsi="宋体" w:eastAsia="宋体"/>
                <w:sz w:val="16"/>
              </w:rPr>
              <w:t>持续开展为侨服务工作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131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ADAAE">
            <w:pPr>
              <w:jc w:val="center"/>
            </w:pPr>
            <w:r>
              <w:rPr>
                <w:rFonts w:ascii="宋体" w:hAnsi="宋体" w:eastAsia="宋体"/>
                <w:sz w:val="16"/>
              </w:rPr>
              <w:t>持续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BCA1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FFC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A37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61B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DCC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B10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D97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8F7FF">
            <w:pPr>
              <w:jc w:val="center"/>
            </w:pPr>
          </w:p>
        </w:tc>
      </w:tr>
      <w:tr w14:paraId="46A669B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047726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6C5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D47C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08DA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8ECC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FB275">
            <w:pPr>
              <w:jc w:val="center"/>
            </w:pPr>
            <w:r>
              <w:rPr>
                <w:rFonts w:ascii="宋体" w:hAnsi="宋体" w:eastAsia="宋体"/>
                <w:sz w:val="16"/>
              </w:rPr>
              <w:t>82.34分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94A2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3C5D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4C6C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3E78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04E321"/>
        </w:tc>
      </w:tr>
    </w:tbl>
    <w:p w14:paraId="71B8B4C7">
      <w:r>
        <w:br w:type="page"/>
      </w:r>
    </w:p>
    <w:p w14:paraId="0B60087E">
      <w:pPr>
        <w:spacing w:line="640" w:lineRule="exact"/>
        <w:ind w:firstLine="640"/>
        <w:jc w:val="both"/>
        <w:outlineLvl w:val="2"/>
      </w:pPr>
      <w:r>
        <w:rPr>
          <w:rFonts w:ascii="黑体" w:hAnsi="黑体" w:eastAsia="黑体"/>
          <w:sz w:val="32"/>
        </w:rPr>
        <w:t>十二、其他需说明的事项</w:t>
      </w:r>
    </w:p>
    <w:p w14:paraId="495AC81E">
      <w:pPr>
        <w:spacing w:line="580" w:lineRule="exact"/>
        <w:ind w:firstLine="640"/>
        <w:jc w:val="both"/>
      </w:pPr>
      <w:r>
        <w:rPr>
          <w:rFonts w:ascii="仿宋_GB2312" w:hAnsi="仿宋_GB2312" w:eastAsia="仿宋_GB2312"/>
          <w:b w:val="0"/>
          <w:sz w:val="32"/>
        </w:rPr>
        <w:t>本单位无其他需说明的事项。</w:t>
      </w:r>
    </w:p>
    <w:p w14:paraId="52CE877E">
      <w:r>
        <w:br w:type="page"/>
      </w:r>
    </w:p>
    <w:p w14:paraId="1BB3E4F2">
      <w:pPr>
        <w:spacing w:line="240" w:lineRule="auto"/>
        <w:jc w:val="center"/>
        <w:outlineLvl w:val="1"/>
      </w:pPr>
      <w:r>
        <w:rPr>
          <w:rFonts w:ascii="黑体" w:hAnsi="黑体" w:eastAsia="黑体"/>
          <w:sz w:val="32"/>
        </w:rPr>
        <w:t>第三部分 专业名词解释</w:t>
      </w:r>
    </w:p>
    <w:p w14:paraId="0B89A299">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57AA963">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5AC8B23">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0FA24F0B">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EDB7FEC">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83C74A6">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2318014">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66A8BCB">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19BA898">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361164B">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906AD9E">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423D9EF">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AE6B0E7">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1E6A5AA">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F1E78BE">
      <w:r>
        <w:br w:type="page"/>
      </w:r>
    </w:p>
    <w:p w14:paraId="22B69C7C">
      <w:pPr>
        <w:spacing w:line="240" w:lineRule="auto"/>
        <w:jc w:val="center"/>
        <w:outlineLvl w:val="1"/>
      </w:pPr>
      <w:r>
        <w:rPr>
          <w:rFonts w:ascii="黑体" w:hAnsi="黑体" w:eastAsia="黑体"/>
          <w:sz w:val="32"/>
        </w:rPr>
        <w:t>第四部分 部门决算报表（见附表）</w:t>
      </w:r>
    </w:p>
    <w:p w14:paraId="58D62A88">
      <w:pPr>
        <w:spacing w:line="240" w:lineRule="auto"/>
        <w:ind w:firstLine="640"/>
        <w:jc w:val="both"/>
      </w:pPr>
      <w:r>
        <w:rPr>
          <w:rFonts w:ascii="仿宋_GB2312" w:hAnsi="仿宋_GB2312" w:eastAsia="仿宋_GB2312"/>
          <w:b w:val="0"/>
          <w:sz w:val="32"/>
        </w:rPr>
        <w:t>一、《收入支出决算总表》</w:t>
      </w:r>
    </w:p>
    <w:p w14:paraId="69D9D7FC">
      <w:pPr>
        <w:spacing w:line="240" w:lineRule="auto"/>
        <w:ind w:firstLine="640"/>
        <w:jc w:val="both"/>
      </w:pPr>
      <w:r>
        <w:rPr>
          <w:rFonts w:ascii="仿宋_GB2312" w:hAnsi="仿宋_GB2312" w:eastAsia="仿宋_GB2312"/>
          <w:b w:val="0"/>
          <w:sz w:val="32"/>
        </w:rPr>
        <w:t>二、《收入决算表》</w:t>
      </w:r>
    </w:p>
    <w:p w14:paraId="02BFCD95">
      <w:pPr>
        <w:spacing w:line="240" w:lineRule="auto"/>
        <w:ind w:firstLine="640"/>
        <w:jc w:val="both"/>
      </w:pPr>
      <w:r>
        <w:rPr>
          <w:rFonts w:ascii="仿宋_GB2312" w:hAnsi="仿宋_GB2312" w:eastAsia="仿宋_GB2312"/>
          <w:b w:val="0"/>
          <w:sz w:val="32"/>
        </w:rPr>
        <w:t>三、《支出决算表》</w:t>
      </w:r>
    </w:p>
    <w:p w14:paraId="7E2D8DB9">
      <w:pPr>
        <w:spacing w:line="240" w:lineRule="auto"/>
        <w:ind w:firstLine="640"/>
        <w:jc w:val="both"/>
      </w:pPr>
      <w:r>
        <w:rPr>
          <w:rFonts w:ascii="仿宋_GB2312" w:hAnsi="仿宋_GB2312" w:eastAsia="仿宋_GB2312"/>
          <w:b w:val="0"/>
          <w:sz w:val="32"/>
        </w:rPr>
        <w:t>四、《财政拨款收入支出决算总表》</w:t>
      </w:r>
    </w:p>
    <w:p w14:paraId="6485B00A">
      <w:pPr>
        <w:spacing w:line="240" w:lineRule="auto"/>
        <w:ind w:firstLine="640"/>
        <w:jc w:val="both"/>
      </w:pPr>
      <w:r>
        <w:rPr>
          <w:rFonts w:ascii="仿宋_GB2312" w:hAnsi="仿宋_GB2312" w:eastAsia="仿宋_GB2312"/>
          <w:b w:val="0"/>
          <w:sz w:val="32"/>
        </w:rPr>
        <w:t>五、《一般公共预算财政拨款支出决算表》</w:t>
      </w:r>
    </w:p>
    <w:p w14:paraId="7EA5049C">
      <w:pPr>
        <w:spacing w:line="240" w:lineRule="auto"/>
        <w:ind w:firstLine="640"/>
        <w:jc w:val="both"/>
      </w:pPr>
      <w:r>
        <w:rPr>
          <w:rFonts w:ascii="仿宋_GB2312" w:hAnsi="仿宋_GB2312" w:eastAsia="仿宋_GB2312"/>
          <w:b w:val="0"/>
          <w:sz w:val="32"/>
        </w:rPr>
        <w:t>六、《一般公共预算财政拨款基本支出决算表》</w:t>
      </w:r>
    </w:p>
    <w:p w14:paraId="5063656A">
      <w:pPr>
        <w:spacing w:line="240" w:lineRule="auto"/>
        <w:ind w:firstLine="640"/>
        <w:jc w:val="both"/>
      </w:pPr>
      <w:r>
        <w:rPr>
          <w:rFonts w:ascii="仿宋_GB2312" w:hAnsi="仿宋_GB2312" w:eastAsia="仿宋_GB2312"/>
          <w:b w:val="0"/>
          <w:sz w:val="32"/>
        </w:rPr>
        <w:t>七、《政府性基金预算财政拨款收入支出决算表》</w:t>
      </w:r>
    </w:p>
    <w:p w14:paraId="54F16F62">
      <w:pPr>
        <w:spacing w:line="240" w:lineRule="auto"/>
        <w:ind w:firstLine="640"/>
        <w:jc w:val="both"/>
      </w:pPr>
      <w:r>
        <w:rPr>
          <w:rFonts w:ascii="仿宋_GB2312" w:hAnsi="仿宋_GB2312" w:eastAsia="仿宋_GB2312"/>
          <w:b w:val="0"/>
          <w:sz w:val="32"/>
        </w:rPr>
        <w:t>八、《国有资本经营预算财政拨款收入支出决算表》</w:t>
      </w:r>
    </w:p>
    <w:p w14:paraId="21E63590">
      <w:pPr>
        <w:spacing w:line="240" w:lineRule="auto"/>
        <w:ind w:firstLine="640"/>
        <w:jc w:val="both"/>
      </w:pPr>
      <w:r>
        <w:rPr>
          <w:rFonts w:ascii="仿宋_GB2312" w:hAnsi="仿宋_GB2312" w:eastAsia="仿宋_GB2312"/>
          <w:b w:val="0"/>
          <w:sz w:val="32"/>
        </w:rPr>
        <w:t>九、《财政拨款“三公”经费支出决算表》</w:t>
      </w:r>
    </w:p>
    <w:p w14:paraId="2587F1EF">
      <w:pPr>
        <w:spacing w:line="240" w:lineRule="auto"/>
        <w:ind w:firstLine="640"/>
        <w:jc w:val="both"/>
      </w:pPr>
    </w:p>
    <w:p w14:paraId="4F33A1E4">
      <w:pPr>
        <w:spacing w:line="240" w:lineRule="auto"/>
        <w:ind w:firstLine="640"/>
        <w:jc w:val="both"/>
      </w:pPr>
    </w:p>
    <w:p w14:paraId="5D9DA09E">
      <w:pPr>
        <w:spacing w:line="240" w:lineRule="auto"/>
        <w:ind w:firstLine="640"/>
        <w:jc w:val="both"/>
      </w:pPr>
    </w:p>
    <w:p w14:paraId="21543E83">
      <w:pPr>
        <w:spacing w:line="240" w:lineRule="auto"/>
        <w:ind w:firstLine="640"/>
        <w:jc w:val="both"/>
      </w:pPr>
    </w:p>
    <w:p w14:paraId="5021B299">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D204E2-C873-45CF-B83E-39A7D23547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2048BF9F-169B-4330-A109-E69E1407F565}"/>
  </w:font>
  <w:font w:name="仿宋_GB2312">
    <w:altName w:val="仿宋"/>
    <w:panose1 w:val="02010609030101010101"/>
    <w:charset w:val="86"/>
    <w:family w:val="modern"/>
    <w:pitch w:val="default"/>
    <w:sig w:usb0="00000000" w:usb1="00000000" w:usb2="00000000" w:usb3="00000000" w:csb0="00040000" w:csb1="00000000"/>
    <w:embedRegular r:id="rId3" w:fontKey="{B1690494-5F1F-4A86-9387-01D1A91BB33B}"/>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A5C7C701-37E3-45DA-B274-21EE78E1E761}"/>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CAA0A55"/>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4573A82"/>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5837</Words>
  <Characters>6501</Characters>
  <Lines>0</Lines>
  <Paragraphs>0</Paragraphs>
  <TotalTime>2</TotalTime>
  <ScaleCrop>false</ScaleCrop>
  <LinksUpToDate>false</LinksUpToDate>
  <CharactersWithSpaces>6509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2025-10-15T04:52:17Z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