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昌吉回族自治州广播电视农村公共服务管理中心2024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27273375">
      <w:r>
        <w:br w:type="page"/>
      </w:r>
    </w:p>
    <w:p w14:paraId="2D078A78">
      <w:pPr>
        <w:spacing w:line="640" w:lineRule="exact"/>
        <w:jc w:val="center"/>
        <w:outlineLvl w:val="1"/>
      </w:pPr>
      <w:r>
        <w:rPr>
          <w:rFonts w:ascii="黑体" w:hAnsi="黑体" w:eastAsia="黑体"/>
          <w:sz w:val="32"/>
        </w:rPr>
        <w:t>第一部分 单位概况</w:t>
      </w:r>
    </w:p>
    <w:p w14:paraId="428AD5CE">
      <w:pPr>
        <w:spacing w:line="640" w:lineRule="exact"/>
        <w:ind w:firstLine="640"/>
        <w:jc w:val="both"/>
        <w:outlineLvl w:val="2"/>
      </w:pPr>
      <w:r>
        <w:rPr>
          <w:rFonts w:ascii="黑体" w:hAnsi="黑体" w:eastAsia="黑体"/>
          <w:sz w:val="32"/>
        </w:rPr>
        <w:t>一、主要职能</w:t>
      </w:r>
    </w:p>
    <w:p w14:paraId="48813CF7">
      <w:pPr>
        <w:spacing w:line="580" w:lineRule="exact"/>
        <w:ind w:firstLine="640"/>
        <w:jc w:val="both"/>
      </w:pPr>
      <w:r>
        <w:rPr>
          <w:rFonts w:ascii="仿宋_GB2312" w:hAnsi="仿宋_GB2312" w:eastAsia="仿宋_GB2312"/>
          <w:sz w:val="32"/>
        </w:rPr>
        <w:t>昌吉回族自治州广播电视农村公共服务管理中心主要为昌吉州广播电视村村通工程提供服务保障。承担州广播电视“村村通”工程维修配件供应、人员技术培训及专项资金管理等工作；负责组织县市“村村通”技术规范的制定、方案审核及工程建设等工作。</w:t>
      </w:r>
    </w:p>
    <w:p w14:paraId="110D60A3">
      <w:pPr>
        <w:spacing w:line="640" w:lineRule="exact"/>
        <w:ind w:firstLine="640"/>
        <w:jc w:val="both"/>
        <w:outlineLvl w:val="2"/>
      </w:pPr>
      <w:r>
        <w:rPr>
          <w:rFonts w:ascii="黑体" w:hAnsi="黑体" w:eastAsia="黑体"/>
          <w:sz w:val="32"/>
        </w:rPr>
        <w:t>二、机构设置及人员情况</w:t>
      </w:r>
    </w:p>
    <w:p w14:paraId="78C0D770">
      <w:pPr>
        <w:spacing w:line="580" w:lineRule="exact"/>
        <w:ind w:firstLine="640"/>
        <w:jc w:val="both"/>
      </w:pPr>
      <w:r>
        <w:rPr>
          <w:rFonts w:ascii="仿宋_GB2312" w:hAnsi="仿宋_GB2312" w:eastAsia="仿宋_GB2312"/>
          <w:sz w:val="32"/>
        </w:rPr>
        <w:t>昌吉回族自治州广播电视农村公共服务管理中心2024年度，实有人数5人，其中：在职人员5人，增加2人；离休人员0人，增加0人；退休人员0人,增加0人。</w:t>
      </w:r>
    </w:p>
    <w:p w14:paraId="0E066A63">
      <w:pPr>
        <w:spacing w:line="580" w:lineRule="exact"/>
        <w:ind w:firstLine="640"/>
        <w:jc w:val="both"/>
      </w:pPr>
      <w:r>
        <w:rPr>
          <w:rFonts w:ascii="仿宋_GB2312" w:hAnsi="仿宋_GB2312" w:eastAsia="仿宋_GB2312"/>
          <w:sz w:val="32"/>
        </w:rPr>
        <w:t>昌吉回族自治州广播电视农村公共服务管理中心无下属预算单位，下设1个科室，分别是：办公室。</w:t>
      </w:r>
    </w:p>
    <w:p w14:paraId="0D333F35">
      <w:r>
        <w:br w:type="page"/>
      </w:r>
    </w:p>
    <w:p w14:paraId="782465E7">
      <w:pPr>
        <w:spacing w:line="240" w:lineRule="auto"/>
        <w:jc w:val="center"/>
        <w:outlineLvl w:val="1"/>
      </w:pPr>
      <w:r>
        <w:rPr>
          <w:rFonts w:ascii="黑体" w:hAnsi="黑体" w:eastAsia="黑体"/>
          <w:sz w:val="32"/>
        </w:rPr>
        <w:t>第二部分 部门决算情况说明</w:t>
      </w:r>
    </w:p>
    <w:p w14:paraId="53846198">
      <w:pPr>
        <w:spacing w:line="640" w:lineRule="exact"/>
        <w:ind w:firstLine="640"/>
        <w:jc w:val="both"/>
        <w:outlineLvl w:val="2"/>
      </w:pPr>
      <w:r>
        <w:rPr>
          <w:rFonts w:ascii="黑体" w:hAnsi="黑体" w:eastAsia="黑体"/>
          <w:sz w:val="32"/>
        </w:rPr>
        <w:t>一、收入支出决算总体情况说明</w:t>
      </w:r>
    </w:p>
    <w:p w14:paraId="7540F1D2">
      <w:pPr>
        <w:spacing w:line="580" w:lineRule="exact"/>
        <w:ind w:firstLine="640"/>
        <w:jc w:val="both"/>
      </w:pPr>
      <w:r>
        <w:rPr>
          <w:rFonts w:ascii="仿宋_GB2312" w:hAnsi="仿宋_GB2312" w:eastAsia="仿宋_GB2312"/>
          <w:b/>
          <w:sz w:val="32"/>
        </w:rPr>
        <w:t>2024年度收入总计124.02万元，</w:t>
      </w:r>
      <w:r>
        <w:rPr>
          <w:rFonts w:ascii="仿宋_GB2312" w:hAnsi="仿宋_GB2312" w:eastAsia="仿宋_GB2312"/>
          <w:b w:val="0"/>
          <w:sz w:val="32"/>
        </w:rPr>
        <w:t>其中：本年收入合计106.78万元，使用非财政拨款结余（含专用结余）0.00万元，年初结转和结余17.25万元。</w:t>
      </w:r>
    </w:p>
    <w:p w14:paraId="262CF8BE">
      <w:pPr>
        <w:spacing w:line="580" w:lineRule="exact"/>
        <w:ind w:firstLine="640"/>
        <w:jc w:val="both"/>
      </w:pPr>
      <w:r>
        <w:rPr>
          <w:rFonts w:ascii="仿宋_GB2312" w:hAnsi="仿宋_GB2312" w:eastAsia="仿宋_GB2312"/>
          <w:b/>
          <w:sz w:val="32"/>
        </w:rPr>
        <w:t>2024年度支出总计124.02万元，</w:t>
      </w:r>
      <w:r>
        <w:rPr>
          <w:rFonts w:ascii="仿宋_GB2312" w:hAnsi="仿宋_GB2312" w:eastAsia="仿宋_GB2312"/>
          <w:b w:val="0"/>
          <w:sz w:val="32"/>
        </w:rPr>
        <w:t>其中：本年支出合计106.76万元，结余分配0.00万元，年末结转和结余17.26万元。</w:t>
      </w:r>
    </w:p>
    <w:p w14:paraId="13F64DD1">
      <w:pPr>
        <w:spacing w:line="580" w:lineRule="exact"/>
        <w:ind w:firstLine="640"/>
        <w:jc w:val="both"/>
      </w:pPr>
      <w:r>
        <w:rPr>
          <w:rFonts w:ascii="仿宋_GB2312" w:hAnsi="仿宋_GB2312" w:eastAsia="仿宋_GB2312"/>
          <w:b w:val="0"/>
          <w:sz w:val="32"/>
        </w:rPr>
        <w:t>收入支出总体与上年相比，增加45.49万元，增长57.93%，主要原因是：本年度增加在职人员2人，在职人员工资调增、社保、公积金基数调增，人员经费增加。</w:t>
      </w:r>
    </w:p>
    <w:p w14:paraId="4BCF87A4">
      <w:pPr>
        <w:spacing w:line="640" w:lineRule="exact"/>
        <w:ind w:firstLine="640"/>
        <w:jc w:val="both"/>
        <w:outlineLvl w:val="2"/>
      </w:pPr>
      <w:r>
        <w:rPr>
          <w:rFonts w:ascii="黑体" w:hAnsi="黑体" w:eastAsia="黑体"/>
          <w:sz w:val="32"/>
        </w:rPr>
        <w:t>二、收入决算情况说明</w:t>
      </w:r>
    </w:p>
    <w:p w14:paraId="535BB7CA">
      <w:pPr>
        <w:spacing w:line="580" w:lineRule="exact"/>
        <w:ind w:firstLine="640"/>
        <w:jc w:val="both"/>
      </w:pPr>
      <w:r>
        <w:rPr>
          <w:rFonts w:ascii="仿宋_GB2312" w:hAnsi="仿宋_GB2312" w:eastAsia="仿宋_GB2312"/>
          <w:b/>
          <w:sz w:val="32"/>
        </w:rPr>
        <w:t>本年收入106.78万元，</w:t>
      </w:r>
      <w:r>
        <w:rPr>
          <w:rFonts w:ascii="仿宋_GB2312" w:hAnsi="仿宋_GB2312" w:eastAsia="仿宋_GB2312"/>
          <w:b w:val="0"/>
          <w:sz w:val="32"/>
        </w:rPr>
        <w:t>其中：财政拨款收入106.76万元，占99.98%；上级补助收入0.00万元，占0.00%；事业收入0.00万元，占0.00%；经营收入0.00万元，占0.00%；附属单位上缴收入0.00万元，占0.00%；其他收入0.01万元，占0.009%。</w:t>
      </w:r>
    </w:p>
    <w:p w14:paraId="37CB772A">
      <w:pPr>
        <w:spacing w:line="640" w:lineRule="exact"/>
        <w:ind w:firstLine="640"/>
        <w:jc w:val="both"/>
        <w:outlineLvl w:val="2"/>
      </w:pPr>
      <w:r>
        <w:rPr>
          <w:rFonts w:ascii="黑体" w:hAnsi="黑体" w:eastAsia="黑体"/>
          <w:sz w:val="32"/>
        </w:rPr>
        <w:t>三、支出决算情况说明</w:t>
      </w:r>
    </w:p>
    <w:p w14:paraId="62A9A8A1">
      <w:pPr>
        <w:spacing w:line="580" w:lineRule="exact"/>
        <w:ind w:firstLine="640"/>
        <w:jc w:val="both"/>
      </w:pPr>
      <w:r>
        <w:rPr>
          <w:rFonts w:ascii="仿宋_GB2312" w:hAnsi="仿宋_GB2312" w:eastAsia="仿宋_GB2312"/>
          <w:b/>
          <w:sz w:val="32"/>
        </w:rPr>
        <w:t>本年支出106.76万元，</w:t>
      </w:r>
      <w:r>
        <w:rPr>
          <w:rFonts w:ascii="仿宋_GB2312" w:hAnsi="仿宋_GB2312" w:eastAsia="仿宋_GB2312"/>
          <w:b w:val="0"/>
          <w:sz w:val="32"/>
        </w:rPr>
        <w:t>其中：基本支出106.76万元，占100.00%；项目支出0.00万元，占0.00%；上缴上级支出0.00万元，占0.00%；经营支出0.00万元，占0.00%；对附属单位补助支出0.00万元，占0.00%。</w:t>
      </w:r>
    </w:p>
    <w:p w14:paraId="694C0AE2">
      <w:pPr>
        <w:spacing w:line="640" w:lineRule="exact"/>
        <w:ind w:firstLine="640"/>
        <w:jc w:val="both"/>
        <w:outlineLvl w:val="2"/>
      </w:pPr>
      <w:r>
        <w:rPr>
          <w:rFonts w:ascii="黑体" w:hAnsi="黑体" w:eastAsia="黑体"/>
          <w:sz w:val="32"/>
        </w:rPr>
        <w:t>四、财政拨款收入支出决算总体情况说明</w:t>
      </w:r>
    </w:p>
    <w:p w14:paraId="3713DDB0">
      <w:pPr>
        <w:spacing w:line="580" w:lineRule="exact"/>
        <w:ind w:firstLine="640"/>
        <w:jc w:val="both"/>
      </w:pPr>
      <w:r>
        <w:rPr>
          <w:rFonts w:ascii="仿宋_GB2312" w:hAnsi="仿宋_GB2312" w:eastAsia="仿宋_GB2312"/>
          <w:b/>
          <w:sz w:val="32"/>
        </w:rPr>
        <w:t>2024年度财政拨款收入总计106.76万元，</w:t>
      </w:r>
      <w:r>
        <w:rPr>
          <w:rFonts w:ascii="仿宋_GB2312" w:hAnsi="仿宋_GB2312" w:eastAsia="仿宋_GB2312"/>
          <w:b w:val="0"/>
          <w:sz w:val="32"/>
        </w:rPr>
        <w:t>其中：年初财政拨款结转和结余0.00万元，本年财政拨款收入106.76万元。</w:t>
      </w:r>
      <w:r>
        <w:rPr>
          <w:rFonts w:ascii="仿宋_GB2312" w:hAnsi="仿宋_GB2312" w:eastAsia="仿宋_GB2312"/>
          <w:b/>
          <w:sz w:val="32"/>
        </w:rPr>
        <w:t>财政拨款支出总计106.76万元，</w:t>
      </w:r>
      <w:r>
        <w:rPr>
          <w:rFonts w:ascii="仿宋_GB2312" w:hAnsi="仿宋_GB2312" w:eastAsia="仿宋_GB2312"/>
          <w:b w:val="0"/>
          <w:sz w:val="32"/>
        </w:rPr>
        <w:t>其中：年末财政拨款结转和结余0.00万元，本年财政拨款支出106.76万元。</w:t>
      </w:r>
    </w:p>
    <w:p w14:paraId="49AD616F">
      <w:pPr>
        <w:spacing w:line="580" w:lineRule="exact"/>
        <w:ind w:firstLine="640"/>
        <w:jc w:val="both"/>
        <w:rPr>
          <w:spacing w:val="-6"/>
          <w:sz w:val="32"/>
        </w:rPr>
      </w:pPr>
      <w:r>
        <w:rPr>
          <w:rFonts w:ascii="仿宋_GB2312" w:hAnsi="仿宋_GB2312" w:eastAsia="仿宋_GB2312"/>
          <w:b/>
          <w:spacing w:val="-6"/>
          <w:sz w:val="32"/>
        </w:rPr>
        <w:t>财政拨款收入支出总体与上年相比，</w:t>
      </w:r>
      <w:r>
        <w:rPr>
          <w:rFonts w:ascii="仿宋_GB2312" w:hAnsi="仿宋_GB2312" w:eastAsia="仿宋_GB2312"/>
          <w:b w:val="0"/>
          <w:spacing w:val="-6"/>
          <w:sz w:val="32"/>
        </w:rPr>
        <w:t>增加45.50万元，增长74.27%，主要原因是：本年在职人员增加2人，在职人员工资调增、社保、公积金基数调增，人员经费增加。</w:t>
      </w:r>
      <w:r>
        <w:rPr>
          <w:rFonts w:ascii="仿宋_GB2312" w:hAnsi="仿宋_GB2312" w:eastAsia="仿宋_GB2312"/>
          <w:b/>
          <w:spacing w:val="-6"/>
          <w:sz w:val="32"/>
        </w:rPr>
        <w:t>与年初预算相比，</w:t>
      </w:r>
      <w:r>
        <w:rPr>
          <w:rFonts w:ascii="仿宋_GB2312" w:hAnsi="仿宋_GB2312" w:eastAsia="仿宋_GB2312"/>
          <w:b w:val="0"/>
          <w:spacing w:val="-6"/>
          <w:sz w:val="32"/>
        </w:rPr>
        <w:t>年初预算数102.20万元，决算数106.76万元，预决算差异率4.46%，主要原因是：本年在职人员增加，年中追加人员经费及人员工资、社保、公积金基数调增部分资金，导致预决算存在差异。</w:t>
      </w:r>
    </w:p>
    <w:p w14:paraId="6D3242AD">
      <w:pPr>
        <w:spacing w:line="640" w:lineRule="exact"/>
        <w:ind w:firstLine="640"/>
        <w:jc w:val="both"/>
        <w:outlineLvl w:val="2"/>
      </w:pPr>
      <w:r>
        <w:rPr>
          <w:rFonts w:ascii="黑体" w:hAnsi="黑体" w:eastAsia="黑体"/>
          <w:sz w:val="32"/>
        </w:rPr>
        <w:t>五、一般公共预算财政拨款支出决算情况说明</w:t>
      </w:r>
    </w:p>
    <w:p w14:paraId="6C68DCC1">
      <w:pPr>
        <w:spacing w:line="640" w:lineRule="exact"/>
        <w:ind w:firstLine="640"/>
        <w:jc w:val="both"/>
        <w:outlineLvl w:val="3"/>
      </w:pPr>
      <w:r>
        <w:rPr>
          <w:rFonts w:ascii="楷体_GB2312" w:hAnsi="楷体_GB2312" w:eastAsia="楷体_GB2312"/>
          <w:b/>
          <w:sz w:val="32"/>
        </w:rPr>
        <w:t>（一）一般公共预算财政拨款支出决算总体情况</w:t>
      </w:r>
    </w:p>
    <w:p w14:paraId="494D3EF6">
      <w:pPr>
        <w:spacing w:line="580" w:lineRule="exact"/>
        <w:ind w:firstLine="640"/>
        <w:jc w:val="both"/>
      </w:pPr>
      <w:r>
        <w:rPr>
          <w:rFonts w:ascii="仿宋_GB2312" w:hAnsi="仿宋_GB2312" w:eastAsia="仿宋_GB2312"/>
          <w:b/>
          <w:sz w:val="32"/>
        </w:rPr>
        <w:t>2024年度一般公共预算财政拨款支出106.76万元，</w:t>
      </w:r>
      <w:r>
        <w:rPr>
          <w:rFonts w:ascii="仿宋_GB2312" w:hAnsi="仿宋_GB2312" w:eastAsia="仿宋_GB2312"/>
          <w:b w:val="0"/>
          <w:sz w:val="32"/>
        </w:rPr>
        <w:t>占本年支出合计的100.00%。</w:t>
      </w:r>
      <w:r>
        <w:rPr>
          <w:rFonts w:ascii="仿宋_GB2312" w:hAnsi="仿宋_GB2312" w:eastAsia="仿宋_GB2312"/>
          <w:b/>
          <w:sz w:val="32"/>
        </w:rPr>
        <w:t>与上年相比，</w:t>
      </w:r>
      <w:r>
        <w:rPr>
          <w:rFonts w:ascii="仿宋_GB2312" w:hAnsi="仿宋_GB2312" w:eastAsia="仿宋_GB2312"/>
          <w:b w:val="0"/>
          <w:sz w:val="32"/>
        </w:rPr>
        <w:t>增加45.50万元，增长74.27%，主要原因是：本年在职人员增加2人，在职人员工资调增、社保、公积金基数调增，人员经费增加。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年初预算数102.20万元，决算数106.76万元，预决算差异率4.46%，主要原因是：本年在职人员增加，年中追加人员经费及人员工资、社保、公积金基数调增部分资金，导致预决算存在差异。</w:t>
      </w:r>
    </w:p>
    <w:p w14:paraId="4A04C453">
      <w:pPr>
        <w:spacing w:line="640" w:lineRule="exact"/>
        <w:ind w:firstLine="640"/>
        <w:jc w:val="both"/>
        <w:outlineLvl w:val="3"/>
      </w:pPr>
      <w:r>
        <w:rPr>
          <w:rFonts w:ascii="楷体_GB2312" w:hAnsi="楷体_GB2312" w:eastAsia="楷体_GB2312"/>
          <w:b/>
          <w:sz w:val="32"/>
        </w:rPr>
        <w:t>（二）一般公共预算财政拨款支出决算结构情况</w:t>
      </w:r>
    </w:p>
    <w:p w14:paraId="5B4D2BC9">
      <w:pPr>
        <w:spacing w:line="580" w:lineRule="exact"/>
        <w:ind w:firstLine="640"/>
        <w:jc w:val="both"/>
      </w:pPr>
      <w:r>
        <w:rPr>
          <w:rFonts w:ascii="仿宋_GB2312" w:hAnsi="仿宋_GB2312" w:eastAsia="仿宋_GB2312"/>
          <w:b w:val="0"/>
          <w:sz w:val="32"/>
        </w:rPr>
        <w:t>1.文化旅游体育与传媒支出(类)106.76万元,占100.00%。</w:t>
      </w:r>
    </w:p>
    <w:p w14:paraId="7A5A01B3">
      <w:pPr>
        <w:spacing w:line="640" w:lineRule="exact"/>
        <w:ind w:firstLine="640"/>
        <w:jc w:val="both"/>
        <w:outlineLvl w:val="3"/>
      </w:pPr>
      <w:r>
        <w:rPr>
          <w:rFonts w:ascii="楷体_GB2312" w:hAnsi="楷体_GB2312" w:eastAsia="楷体_GB2312"/>
          <w:b/>
          <w:sz w:val="32"/>
        </w:rPr>
        <w:t>（三）一般公共预算财政拨款支出决算具体情况</w:t>
      </w:r>
    </w:p>
    <w:p w14:paraId="214CC4C3">
      <w:pPr>
        <w:spacing w:line="580" w:lineRule="exact"/>
        <w:ind w:firstLine="640"/>
        <w:jc w:val="both"/>
      </w:pPr>
      <w:r>
        <w:rPr>
          <w:rFonts w:ascii="仿宋_GB2312" w:hAnsi="仿宋_GB2312" w:eastAsia="仿宋_GB2312"/>
          <w:b w:val="0"/>
          <w:sz w:val="32"/>
        </w:rPr>
        <w:t>1.文化旅游体育与传媒支出(类)广播电视(款)其他广播电视支出(项):支出决算数为106.76万元，比上年决算增加45.50万元，增长74.27%,主要原因是：本年在职人员增加2人，在职人员工资调增、社保、公积金基数调增，人员经费增加。</w:t>
      </w:r>
    </w:p>
    <w:p w14:paraId="71FDCF60">
      <w:pPr>
        <w:spacing w:line="640" w:lineRule="exact"/>
        <w:ind w:firstLine="640"/>
        <w:jc w:val="both"/>
        <w:outlineLvl w:val="2"/>
      </w:pPr>
      <w:r>
        <w:rPr>
          <w:rFonts w:ascii="黑体" w:hAnsi="黑体" w:eastAsia="黑体"/>
          <w:sz w:val="32"/>
        </w:rPr>
        <w:t>六、一般公共预算财政拨款基本支出决算情况说明</w:t>
      </w:r>
    </w:p>
    <w:p w14:paraId="3C265739">
      <w:pPr>
        <w:spacing w:line="580" w:lineRule="exact"/>
        <w:ind w:firstLine="640"/>
        <w:jc w:val="both"/>
      </w:pPr>
      <w:r>
        <w:rPr>
          <w:rFonts w:ascii="仿宋_GB2312" w:hAnsi="仿宋_GB2312" w:eastAsia="仿宋_GB2312"/>
          <w:b w:val="0"/>
          <w:sz w:val="32"/>
        </w:rPr>
        <w:t>2024年度一般公共预算财政拨款基本支出106.76万元，其中：</w:t>
      </w:r>
      <w:r>
        <w:rPr>
          <w:rFonts w:ascii="仿宋_GB2312" w:hAnsi="仿宋_GB2312" w:eastAsia="仿宋_GB2312"/>
          <w:b/>
          <w:sz w:val="32"/>
        </w:rPr>
        <w:t>人员经费102.46万元，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w:t>
      </w:r>
    </w:p>
    <w:p w14:paraId="08066A02">
      <w:pPr>
        <w:spacing w:line="580" w:lineRule="exact"/>
        <w:ind w:firstLine="640"/>
        <w:jc w:val="both"/>
      </w:pPr>
      <w:r>
        <w:rPr>
          <w:rFonts w:ascii="仿宋_GB2312" w:hAnsi="仿宋_GB2312" w:eastAsia="仿宋_GB2312"/>
          <w:b/>
          <w:sz w:val="32"/>
        </w:rPr>
        <w:t>公用经费4.31万元，</w:t>
      </w:r>
      <w:r>
        <w:rPr>
          <w:rFonts w:ascii="仿宋_GB2312" w:hAnsi="仿宋_GB2312" w:eastAsia="仿宋_GB2312"/>
          <w:b w:val="0"/>
          <w:sz w:val="32"/>
        </w:rPr>
        <w:t>包括：差旅费、劳务费、工会经费、福利费、其他交通费用、其他商品和服务支出。</w:t>
      </w:r>
    </w:p>
    <w:p w14:paraId="564A50D5">
      <w:pPr>
        <w:spacing w:line="640" w:lineRule="exact"/>
        <w:ind w:firstLine="640"/>
        <w:jc w:val="both"/>
        <w:outlineLvl w:val="2"/>
      </w:pPr>
      <w:r>
        <w:rPr>
          <w:rFonts w:ascii="黑体" w:hAnsi="黑体" w:eastAsia="黑体"/>
          <w:sz w:val="32"/>
        </w:rPr>
        <w:t>七、政府性基金预算财政拨款收入支出决算情况说明</w:t>
      </w:r>
    </w:p>
    <w:p w14:paraId="7560E681">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03B0032D">
      <w:pPr>
        <w:spacing w:line="640" w:lineRule="exact"/>
        <w:ind w:firstLine="640"/>
        <w:jc w:val="both"/>
        <w:outlineLvl w:val="2"/>
      </w:pPr>
      <w:r>
        <w:rPr>
          <w:rFonts w:ascii="黑体" w:hAnsi="黑体" w:eastAsia="黑体"/>
          <w:sz w:val="32"/>
        </w:rPr>
        <w:t>八、国有资本经营预算财政拨款收入支出决算情况说明</w:t>
      </w:r>
    </w:p>
    <w:p w14:paraId="4D727A4F">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9887F1E">
      <w:pPr>
        <w:spacing w:line="640" w:lineRule="exact"/>
        <w:ind w:firstLine="640"/>
        <w:jc w:val="both"/>
        <w:outlineLvl w:val="2"/>
      </w:pPr>
      <w:r>
        <w:rPr>
          <w:rFonts w:ascii="黑体" w:hAnsi="黑体" w:eastAsia="黑体"/>
          <w:sz w:val="32"/>
        </w:rPr>
        <w:t>九、财政拨款“三公”经费支出决算情况说明</w:t>
      </w:r>
    </w:p>
    <w:p w14:paraId="3615F5AE">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717B7F9A">
      <w:pPr>
        <w:spacing w:line="580" w:lineRule="exact"/>
        <w:ind w:firstLine="640"/>
        <w:jc w:val="both"/>
      </w:pPr>
      <w:r>
        <w:rPr>
          <w:rFonts w:ascii="仿宋_GB2312" w:hAnsi="仿宋_GB2312" w:eastAsia="仿宋_GB2312"/>
          <w:b/>
          <w:sz w:val="32"/>
        </w:rPr>
        <w:t>具体情况如下：</w:t>
      </w:r>
    </w:p>
    <w:p w14:paraId="6253CED7">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0537EA3">
      <w:pPr>
        <w:spacing w:line="580" w:lineRule="exact"/>
        <w:ind w:firstLine="640"/>
        <w:jc w:val="both"/>
        <w:rPr>
          <w:spacing w:val="-6"/>
          <w:sz w:val="32"/>
        </w:rPr>
      </w:pPr>
      <w:r>
        <w:rPr>
          <w:rFonts w:ascii="仿宋_GB2312" w:hAnsi="仿宋_GB2312" w:eastAsia="仿宋_GB2312"/>
          <w:b w:val="0"/>
          <w:spacing w:val="-6"/>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0辆，与公务用车保有量差异原因是：本单位无固定资产车辆。</w:t>
      </w:r>
    </w:p>
    <w:p w14:paraId="07B24FF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14DEEE62">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7D55F93E">
      <w:pPr>
        <w:spacing w:line="640" w:lineRule="exact"/>
        <w:ind w:firstLine="640"/>
        <w:jc w:val="both"/>
        <w:outlineLvl w:val="2"/>
      </w:pPr>
      <w:r>
        <w:rPr>
          <w:rFonts w:ascii="黑体" w:hAnsi="黑体" w:eastAsia="黑体"/>
          <w:sz w:val="32"/>
        </w:rPr>
        <w:t>十、其他重要事项的情况说明</w:t>
      </w:r>
    </w:p>
    <w:p w14:paraId="6F7D5272">
      <w:pPr>
        <w:spacing w:line="640" w:lineRule="exact"/>
        <w:ind w:firstLine="640"/>
        <w:jc w:val="both"/>
        <w:outlineLvl w:val="3"/>
      </w:pPr>
      <w:r>
        <w:rPr>
          <w:rFonts w:ascii="楷体_GB2312" w:hAnsi="楷体_GB2312" w:eastAsia="楷体_GB2312"/>
          <w:b/>
          <w:sz w:val="32"/>
        </w:rPr>
        <w:t>（一）机关运行经费及公用经费支出情况</w:t>
      </w:r>
    </w:p>
    <w:p w14:paraId="3DC4395C">
      <w:pPr>
        <w:spacing w:line="580" w:lineRule="exact"/>
        <w:ind w:firstLine="640"/>
        <w:jc w:val="both"/>
      </w:pPr>
      <w:r>
        <w:rPr>
          <w:rFonts w:ascii="仿宋_GB2312" w:hAnsi="仿宋_GB2312" w:eastAsia="仿宋_GB2312"/>
          <w:b w:val="0"/>
          <w:sz w:val="32"/>
        </w:rPr>
        <w:t>2024年度昌吉回族自治州广播电视农村公共服务管理中心（事业单位）公用经费支出4.31万元，比上年增加0.88万元，增长25.66%，主要原因是：本年在职人员增加，办公费用增加。</w:t>
      </w:r>
    </w:p>
    <w:p w14:paraId="007AAEF8">
      <w:pPr>
        <w:spacing w:line="640" w:lineRule="exact"/>
        <w:ind w:firstLine="640"/>
        <w:jc w:val="both"/>
        <w:outlineLvl w:val="3"/>
      </w:pPr>
      <w:r>
        <w:rPr>
          <w:rFonts w:ascii="楷体_GB2312" w:hAnsi="楷体_GB2312" w:eastAsia="楷体_GB2312"/>
          <w:b/>
          <w:sz w:val="32"/>
        </w:rPr>
        <w:t>（二）政府采购情况</w:t>
      </w:r>
    </w:p>
    <w:p w14:paraId="1B7FB8DE">
      <w:pPr>
        <w:spacing w:line="580" w:lineRule="exact"/>
        <w:ind w:firstLine="640"/>
        <w:jc w:val="both"/>
      </w:pPr>
      <w:r>
        <w:rPr>
          <w:rFonts w:ascii="仿宋_GB2312" w:hAnsi="仿宋_GB2312" w:eastAsia="仿宋_GB2312"/>
          <w:b w:val="0"/>
          <w:sz w:val="32"/>
        </w:rPr>
        <w:t>2024年度政府采购支出总额1.20万元，其中：政府采购货物支出0.30万元、政府采购工程支出0.00万元、政府采购服务支出0.90万元。</w:t>
      </w:r>
    </w:p>
    <w:p w14:paraId="24E55953">
      <w:pPr>
        <w:spacing w:line="580" w:lineRule="exact"/>
        <w:ind w:firstLine="640"/>
        <w:jc w:val="both"/>
      </w:pPr>
      <w:r>
        <w:rPr>
          <w:rFonts w:ascii="仿宋_GB2312" w:hAnsi="仿宋_GB2312" w:eastAsia="仿宋_GB2312"/>
          <w:b w:val="0"/>
          <w:sz w:val="32"/>
        </w:rPr>
        <w:t>授予中小企业合同金额1.20万元，占政府采购支出总额的100.00%，其中：授予小微企业合同金额1.20万元，占政府采购支出总额的100.00%。</w:t>
      </w:r>
    </w:p>
    <w:p w14:paraId="405A4181">
      <w:pPr>
        <w:spacing w:line="640" w:lineRule="exact"/>
        <w:ind w:firstLine="640"/>
        <w:jc w:val="both"/>
        <w:outlineLvl w:val="3"/>
      </w:pPr>
      <w:r>
        <w:rPr>
          <w:rFonts w:ascii="楷体_GB2312" w:hAnsi="楷体_GB2312" w:eastAsia="楷体_GB2312"/>
          <w:b/>
          <w:sz w:val="32"/>
        </w:rPr>
        <w:t>（三）国有资产占用情况说明</w:t>
      </w:r>
    </w:p>
    <w:p w14:paraId="4CA899BB">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0辆，价值0.00万元，其中：副部（省）级及以上领导用车0辆、主要负责人用车0辆、机要通信用车0辆、应急保障用车0辆、执法执勤用车0辆、特种专业技术用车0辆、离退休干部服务用车0辆、其他用车0辆，其他用车主要是：本单位无其他用车。单价100万元（含）以上设备（不含车辆）0台（套）。</w:t>
      </w:r>
    </w:p>
    <w:p w14:paraId="47DF9AEE">
      <w:pPr>
        <w:spacing w:line="640" w:lineRule="exact"/>
        <w:ind w:firstLine="640"/>
        <w:jc w:val="both"/>
        <w:outlineLvl w:val="2"/>
      </w:pPr>
      <w:r>
        <w:rPr>
          <w:rFonts w:ascii="黑体" w:hAnsi="黑体" w:eastAsia="黑体"/>
          <w:sz w:val="32"/>
        </w:rPr>
        <w:t>十一、预算绩效的情况说明</w:t>
      </w:r>
    </w:p>
    <w:p w14:paraId="443A46B5">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124.02万元，实际执行总额106.76万元；预算绩效评价项目0个，全年预算数0.00万元，全年执行数0.00万元。预算绩效管理取得的成效：本单位本年度无绩效评价项目。发现的问题及原因：本单位本年度无绩效评价项目。下一步改进措施：本单位本年度无绩效评价项目。具体附整体支出绩效自评表。</w:t>
      </w:r>
    </w:p>
    <w:p w14:paraId="44847F8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F4111B3">
        <w:tblPrEx>
          <w:tblCellMar>
            <w:top w:w="0" w:type="dxa"/>
            <w:left w:w="108" w:type="dxa"/>
            <w:bottom w:w="0" w:type="dxa"/>
            <w:right w:w="108" w:type="dxa"/>
          </w:tblCellMar>
        </w:tblPrEx>
        <w:tc>
          <w:tcPr>
            <w:tcW w:w="8847" w:type="dxa"/>
            <w:gridSpan w:val="9"/>
            <w:vAlign w:val="center"/>
          </w:tcPr>
          <w:p w14:paraId="42308B81">
            <w:pPr>
              <w:jc w:val="center"/>
            </w:pPr>
            <w:r>
              <w:rPr>
                <w:rFonts w:ascii="宋体" w:hAnsi="宋体" w:eastAsia="宋体"/>
                <w:sz w:val="24"/>
              </w:rPr>
              <w:t>单位整体支出绩效自评表</w:t>
            </w:r>
          </w:p>
        </w:tc>
      </w:tr>
      <w:tr w14:paraId="0BEE02F6">
        <w:tblPrEx>
          <w:tblCellMar>
            <w:top w:w="0" w:type="dxa"/>
            <w:left w:w="108" w:type="dxa"/>
            <w:bottom w:w="0" w:type="dxa"/>
            <w:right w:w="108" w:type="dxa"/>
          </w:tblCellMar>
        </w:tblPrEx>
        <w:tc>
          <w:tcPr>
            <w:tcW w:w="8847" w:type="dxa"/>
            <w:gridSpan w:val="9"/>
            <w:vAlign w:val="center"/>
          </w:tcPr>
          <w:p w14:paraId="6CDA4502">
            <w:pPr>
              <w:jc w:val="center"/>
            </w:pPr>
            <w:r>
              <w:rPr>
                <w:rFonts w:ascii="宋体" w:hAnsi="宋体" w:eastAsia="宋体"/>
                <w:sz w:val="24"/>
              </w:rPr>
              <w:t>（2024年度）</w:t>
            </w:r>
          </w:p>
        </w:tc>
      </w:tr>
      <w:tr w14:paraId="496AF73C">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893F73">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692D1D31">
            <w:pPr>
              <w:jc w:val="center"/>
            </w:pPr>
            <w:r>
              <w:rPr>
                <w:rFonts w:ascii="宋体" w:hAnsi="宋体" w:eastAsia="宋体"/>
                <w:sz w:val="16"/>
              </w:rPr>
              <w:t>昌吉回族自治州广播电视农村公共服务管理中心</w:t>
            </w:r>
          </w:p>
        </w:tc>
      </w:tr>
      <w:tr w14:paraId="2936ABA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933C984">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5BEF71">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1F6F6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28B5A2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BE98CA">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5CC042">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236E14">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9784D72">
            <w:pPr>
              <w:jc w:val="center"/>
            </w:pPr>
            <w:r>
              <w:rPr>
                <w:rFonts w:ascii="宋体" w:hAnsi="宋体" w:eastAsia="宋体"/>
                <w:sz w:val="16"/>
              </w:rPr>
              <w:t>得分</w:t>
            </w:r>
          </w:p>
        </w:tc>
      </w:tr>
      <w:tr w14:paraId="7650032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B9DF3D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208F19">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3F19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5E19FF">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3653CCD">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5292B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C1D88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DAB137">
            <w:pPr>
              <w:jc w:val="center"/>
            </w:pPr>
            <w:r>
              <w:rPr>
                <w:rFonts w:ascii="宋体" w:hAnsi="宋体" w:eastAsia="宋体"/>
                <w:sz w:val="16"/>
              </w:rPr>
              <w:t>-</w:t>
            </w:r>
          </w:p>
        </w:tc>
      </w:tr>
      <w:tr w14:paraId="59BA018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7E2BE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E4417A">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4B78C7">
            <w:pPr>
              <w:jc w:val="center"/>
            </w:pPr>
            <w:r>
              <w:rPr>
                <w:rFonts w:ascii="宋体" w:hAnsi="宋体" w:eastAsia="宋体"/>
                <w:sz w:val="16"/>
              </w:rPr>
              <w:t>102.20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C0C922">
            <w:pPr>
              <w:jc w:val="center"/>
            </w:pPr>
            <w:r>
              <w:rPr>
                <w:rFonts w:ascii="宋体" w:hAnsi="宋体" w:eastAsia="宋体"/>
                <w:sz w:val="16"/>
              </w:rPr>
              <w:t>124.02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F8A64D">
            <w:pPr>
              <w:jc w:val="center"/>
            </w:pPr>
            <w:r>
              <w:rPr>
                <w:rFonts w:ascii="宋体" w:hAnsi="宋体" w:eastAsia="宋体"/>
                <w:sz w:val="16"/>
              </w:rPr>
              <w:t>106.76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704938">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0910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077CE8">
            <w:pPr>
              <w:jc w:val="center"/>
            </w:pPr>
            <w:r>
              <w:rPr>
                <w:rFonts w:ascii="宋体" w:hAnsi="宋体" w:eastAsia="宋体"/>
                <w:sz w:val="16"/>
              </w:rPr>
              <w:t>-</w:t>
            </w:r>
          </w:p>
        </w:tc>
      </w:tr>
      <w:tr w14:paraId="2F4598B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9A56E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0E50AF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D0BDC7">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F43EA">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23004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8EEF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2BFE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34673">
            <w:pPr>
              <w:jc w:val="center"/>
            </w:pPr>
            <w:r>
              <w:rPr>
                <w:rFonts w:ascii="宋体" w:hAnsi="宋体" w:eastAsia="宋体"/>
                <w:sz w:val="16"/>
              </w:rPr>
              <w:t>-</w:t>
            </w:r>
          </w:p>
        </w:tc>
      </w:tr>
      <w:tr w14:paraId="1A5E4C7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80C0F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CB0584">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DBEDE6">
            <w:pPr>
              <w:jc w:val="center"/>
            </w:pPr>
            <w:r>
              <w:rPr>
                <w:rFonts w:ascii="宋体" w:hAnsi="宋体" w:eastAsia="宋体"/>
                <w:sz w:val="16"/>
              </w:rPr>
              <w:t>102.20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290666E">
            <w:pPr>
              <w:jc w:val="center"/>
            </w:pPr>
            <w:r>
              <w:rPr>
                <w:rFonts w:ascii="宋体" w:hAnsi="宋体" w:eastAsia="宋体"/>
                <w:sz w:val="16"/>
              </w:rPr>
              <w:t>124.02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C39198">
            <w:pPr>
              <w:jc w:val="center"/>
            </w:pPr>
            <w:r>
              <w:rPr>
                <w:rFonts w:ascii="宋体" w:hAnsi="宋体" w:eastAsia="宋体"/>
                <w:sz w:val="16"/>
              </w:rPr>
              <w:t>106.76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41D0F">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612BEAB">
            <w:pPr>
              <w:jc w:val="center"/>
            </w:pPr>
            <w:r>
              <w:rPr>
                <w:rFonts w:ascii="宋体" w:hAnsi="宋体" w:eastAsia="宋体"/>
                <w:sz w:val="16"/>
              </w:rPr>
              <w:t>86.08%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AB6AB3">
            <w:pPr>
              <w:jc w:val="center"/>
            </w:pPr>
            <w:r>
              <w:rPr>
                <w:rFonts w:ascii="宋体" w:hAnsi="宋体" w:eastAsia="宋体"/>
                <w:sz w:val="16"/>
              </w:rPr>
              <w:t>8.61</w:t>
            </w:r>
          </w:p>
        </w:tc>
      </w:tr>
      <w:tr w14:paraId="445FD204">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45D71">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022C663">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7CD6535F">
            <w:pPr>
              <w:jc w:val="center"/>
            </w:pPr>
            <w:r>
              <w:rPr>
                <w:rFonts w:ascii="宋体" w:hAnsi="宋体" w:eastAsia="宋体"/>
                <w:sz w:val="16"/>
              </w:rPr>
              <w:t>实际完成情况</w:t>
            </w:r>
          </w:p>
        </w:tc>
      </w:tr>
      <w:tr w14:paraId="4F23D8C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39104F8"/>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93876CD">
            <w:pPr>
              <w:jc w:val="both"/>
            </w:pPr>
            <w:r>
              <w:rPr>
                <w:rFonts w:ascii="宋体" w:hAnsi="宋体" w:eastAsia="宋体"/>
                <w:sz w:val="16"/>
              </w:rPr>
              <w:t>2024年按照自治区广电局印发的《广播电视农村公共服务建设管理制度》要求，全力以赴做好广播电视大喇叭和村村通户户通设备维护，让农牧区各族群众听好广播、看好电视。</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28D7520">
            <w:pPr>
              <w:jc w:val="both"/>
            </w:pPr>
            <w:r>
              <w:rPr>
                <w:rFonts w:ascii="宋体" w:hAnsi="宋体" w:eastAsia="宋体"/>
                <w:sz w:val="16"/>
              </w:rPr>
              <w:t>2024 年</w:t>
            </w:r>
            <w:r>
              <w:rPr>
                <w:rFonts w:hint="eastAsia" w:ascii="宋体" w:hAnsi="宋体"/>
                <w:sz w:val="16"/>
                <w:lang w:eastAsia="zh-CN"/>
              </w:rPr>
              <w:t>本单位</w:t>
            </w:r>
            <w:r>
              <w:rPr>
                <w:rFonts w:ascii="宋体" w:hAnsi="宋体" w:eastAsia="宋体"/>
                <w:sz w:val="16"/>
              </w:rPr>
              <w:t>全年预算数为124.02万元，全年执行数为106.76万元，总预算执行率为86.08。2024 年</w:t>
            </w:r>
            <w:r>
              <w:rPr>
                <w:rFonts w:hint="eastAsia" w:ascii="宋体" w:hAnsi="宋体"/>
                <w:sz w:val="16"/>
                <w:lang w:eastAsia="zh-CN"/>
              </w:rPr>
              <w:t>本单位</w:t>
            </w:r>
            <w:r>
              <w:rPr>
                <w:rFonts w:ascii="宋体" w:hAnsi="宋体" w:eastAsia="宋体"/>
                <w:sz w:val="16"/>
              </w:rPr>
              <w:t>完成以下工作内容：广播电视农村公共服务管理村村通户户通、农村广播大喇叭运行维护平稳；组织开展了全州农村广播电视工程运行维护服务保障工作，确保设备正常运行。广播电视公共服务相关制度建设进一步得到完善；进一步完善各类制度，使全州农村广播电视管理工作逐步走上规范化，和制度化的管理轨道。村村通维护聘用人员管理更加规范。全州68个乡镇共聘用58名维护人员并定期开展培训，使全州技术维护人员的技能水平得到了提高。</w:t>
            </w:r>
          </w:p>
        </w:tc>
      </w:tr>
      <w:tr w14:paraId="3A0D4039">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7098063">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5B7596F">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A272FC">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378713C">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A1B577">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FAE5C0">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F0DAC1">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E9F718">
            <w:pPr>
              <w:jc w:val="center"/>
            </w:pPr>
            <w:r>
              <w:rPr>
                <w:rFonts w:ascii="宋体" w:hAnsi="宋体" w:eastAsia="宋体"/>
                <w:sz w:val="16"/>
              </w:rPr>
              <w:t>得分</w:t>
            </w:r>
          </w:p>
        </w:tc>
      </w:tr>
      <w:tr w14:paraId="2491354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ACDA4D">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0990F6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DFDBC9E">
            <w:pPr>
              <w:jc w:val="center"/>
            </w:pPr>
            <w:r>
              <w:rPr>
                <w:rFonts w:ascii="宋体" w:hAnsi="宋体" w:eastAsia="宋体"/>
                <w:sz w:val="16"/>
              </w:rPr>
              <w:t>确保村村通运营维护人员数量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2E54AE">
            <w:pPr>
              <w:jc w:val="center"/>
            </w:pPr>
            <w:r>
              <w:rPr>
                <w:rFonts w:ascii="宋体" w:hAnsi="宋体" w:eastAsia="宋体"/>
                <w:sz w:val="16"/>
              </w:rPr>
              <w:t>&gt;=65人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B08022">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84BF00">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F11C0D">
            <w:pPr>
              <w:jc w:val="center"/>
            </w:pPr>
            <w:r>
              <w:rPr>
                <w:rFonts w:ascii="宋体" w:hAnsi="宋体" w:eastAsia="宋体"/>
                <w:sz w:val="16"/>
              </w:rPr>
              <w:t>58人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446F6">
            <w:pPr>
              <w:jc w:val="center"/>
            </w:pPr>
            <w:r>
              <w:rPr>
                <w:rFonts w:ascii="宋体" w:hAnsi="宋体" w:eastAsia="宋体"/>
                <w:sz w:val="16"/>
              </w:rPr>
              <w:t>17.85</w:t>
            </w:r>
          </w:p>
        </w:tc>
      </w:tr>
      <w:tr w14:paraId="520D142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6EF0BD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17DB3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4D8F14">
            <w:pPr>
              <w:jc w:val="center"/>
            </w:pPr>
            <w:r>
              <w:rPr>
                <w:rFonts w:ascii="宋体" w:hAnsi="宋体" w:eastAsia="宋体"/>
                <w:sz w:val="16"/>
              </w:rPr>
              <w:t>组织开展运行维护情况检查指导次数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45CCE8">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28D12D">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61957E">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C100519">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F346611">
            <w:pPr>
              <w:jc w:val="center"/>
            </w:pPr>
            <w:r>
              <w:rPr>
                <w:rFonts w:ascii="宋体" w:hAnsi="宋体" w:eastAsia="宋体"/>
                <w:sz w:val="16"/>
              </w:rPr>
              <w:t>10</w:t>
            </w:r>
          </w:p>
        </w:tc>
      </w:tr>
      <w:tr w14:paraId="58CB5B7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638BA9B"/>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5CB50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CDB3EC8">
            <w:pPr>
              <w:jc w:val="center"/>
            </w:pPr>
            <w:r>
              <w:rPr>
                <w:rFonts w:ascii="宋体" w:hAnsi="宋体" w:eastAsia="宋体"/>
                <w:sz w:val="16"/>
              </w:rPr>
              <w:t>开展维修服务和广电设施保护宣传次数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38623C">
            <w:pPr>
              <w:jc w:val="center"/>
            </w:pPr>
            <w:r>
              <w:rPr>
                <w:rFonts w:ascii="宋体" w:hAnsi="宋体" w:eastAsia="宋体"/>
                <w:sz w:val="16"/>
              </w:rPr>
              <w:t>&gt;=2次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809F45">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90C85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29665">
            <w:pPr>
              <w:jc w:val="center"/>
            </w:pPr>
            <w:r>
              <w:rPr>
                <w:rFonts w:ascii="宋体" w:hAnsi="宋体" w:eastAsia="宋体"/>
                <w:sz w:val="16"/>
              </w:rPr>
              <w:t>2次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0E5325">
            <w:pPr>
              <w:jc w:val="center"/>
            </w:pPr>
            <w:r>
              <w:rPr>
                <w:rFonts w:ascii="宋体" w:hAnsi="宋体" w:eastAsia="宋体"/>
                <w:sz w:val="16"/>
              </w:rPr>
              <w:t>10</w:t>
            </w:r>
          </w:p>
        </w:tc>
      </w:tr>
      <w:tr w14:paraId="0F0DB23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1D87F"/>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7E881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576EF">
            <w:pPr>
              <w:jc w:val="center"/>
            </w:pPr>
            <w:r>
              <w:rPr>
                <w:rFonts w:ascii="宋体" w:hAnsi="宋体" w:eastAsia="宋体"/>
                <w:sz w:val="16"/>
              </w:rPr>
              <w:t>开展广播电视农村公共服务业务培训场次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22739">
            <w:pPr>
              <w:jc w:val="center"/>
            </w:pPr>
            <w:r>
              <w:rPr>
                <w:rFonts w:ascii="宋体" w:hAnsi="宋体" w:eastAsia="宋体"/>
                <w:sz w:val="16"/>
              </w:rPr>
              <w:t>&gt;=1场次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E6A51E">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EF49E1">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50F632F">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48485A">
            <w:pPr>
              <w:jc w:val="center"/>
            </w:pPr>
            <w:r>
              <w:rPr>
                <w:rFonts w:ascii="宋体" w:hAnsi="宋体" w:eastAsia="宋体"/>
                <w:sz w:val="16"/>
              </w:rPr>
              <w:t>10</w:t>
            </w:r>
          </w:p>
        </w:tc>
      </w:tr>
      <w:tr w14:paraId="2B2871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82164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E8B564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64F740">
            <w:pPr>
              <w:jc w:val="center"/>
            </w:pPr>
            <w:r>
              <w:rPr>
                <w:rFonts w:ascii="宋体" w:hAnsi="宋体" w:eastAsia="宋体"/>
                <w:sz w:val="16"/>
              </w:rPr>
              <w:t>开展村村通、户户通设备巡检次数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E6DA84">
            <w:pPr>
              <w:jc w:val="center"/>
            </w:pPr>
            <w:r>
              <w:rPr>
                <w:rFonts w:ascii="宋体" w:hAnsi="宋体" w:eastAsia="宋体"/>
                <w:sz w:val="16"/>
              </w:rPr>
              <w:t>&gt;=4次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CD1CB">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EAB329">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93C78D">
            <w:pPr>
              <w:jc w:val="center"/>
            </w:pPr>
            <w:r>
              <w:rPr>
                <w:rFonts w:ascii="宋体" w:hAnsi="宋体" w:eastAsia="宋体"/>
                <w:sz w:val="16"/>
              </w:rPr>
              <w:t>7次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AC21A4">
            <w:pPr>
              <w:jc w:val="center"/>
            </w:pPr>
            <w:r>
              <w:rPr>
                <w:rFonts w:ascii="宋体" w:hAnsi="宋体" w:eastAsia="宋体"/>
                <w:sz w:val="16"/>
              </w:rPr>
              <w:t>15</w:t>
            </w:r>
          </w:p>
        </w:tc>
      </w:tr>
      <w:tr w14:paraId="22B842F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D3EB0B3"/>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FA4181"/>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5CC365">
            <w:pPr>
              <w:jc w:val="center"/>
            </w:pPr>
            <w:r>
              <w:rPr>
                <w:rFonts w:ascii="宋体" w:hAnsi="宋体" w:eastAsia="宋体"/>
                <w:sz w:val="16"/>
              </w:rPr>
              <w:t>96566用户报修平台宣传次数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DB3BB75">
            <w:pPr>
              <w:jc w:val="center"/>
            </w:pPr>
            <w:r>
              <w:rPr>
                <w:rFonts w:ascii="宋体" w:hAnsi="宋体" w:eastAsia="宋体"/>
                <w:sz w:val="16"/>
              </w:rPr>
              <w:t>&gt;=1次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FC3E3">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1C42D8">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0FF12">
            <w:pPr>
              <w:jc w:val="center"/>
            </w:pPr>
            <w:r>
              <w:rPr>
                <w:rFonts w:ascii="宋体" w:hAnsi="宋体" w:eastAsia="宋体"/>
                <w:sz w:val="16"/>
              </w:rPr>
              <w:t>1次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594C02">
            <w:pPr>
              <w:jc w:val="center"/>
            </w:pPr>
            <w:r>
              <w:rPr>
                <w:rFonts w:ascii="宋体" w:hAnsi="宋体" w:eastAsia="宋体"/>
                <w:sz w:val="16"/>
              </w:rPr>
              <w:t>10</w:t>
            </w:r>
          </w:p>
        </w:tc>
      </w:tr>
      <w:tr w14:paraId="02FA9FE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29AF571"/>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FEEA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122D59">
            <w:pPr>
              <w:jc w:val="center"/>
            </w:pPr>
            <w:r>
              <w:rPr>
                <w:rFonts w:ascii="宋体" w:hAnsi="宋体" w:eastAsia="宋体"/>
                <w:sz w:val="16"/>
              </w:rPr>
              <w:t>督促各县市全年专项资金使用率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914DF8">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7121F3">
            <w:pPr>
              <w:jc w:val="center"/>
            </w:pPr>
            <w:r>
              <w:rPr>
                <w:rFonts w:ascii="宋体" w:hAnsi="宋体" w:eastAsia="宋体"/>
                <w:sz w:val="16"/>
              </w:rPr>
              <w:t>昌吉州广播电视农村公共服务管理中心2023年工作总结及2024年工作计划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8F0AD7">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1A96D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1A3FB3">
            <w:pPr>
              <w:jc w:val="center"/>
            </w:pPr>
            <w:r>
              <w:rPr>
                <w:rFonts w:ascii="宋体" w:hAnsi="宋体" w:eastAsia="宋体"/>
                <w:sz w:val="16"/>
              </w:rPr>
              <w:t>15</w:t>
            </w:r>
          </w:p>
        </w:tc>
      </w:tr>
    </w:tbl>
    <w:p w14:paraId="10A07341">
      <w:r>
        <w:br w:type="page"/>
      </w:r>
    </w:p>
    <w:p w14:paraId="79B22B96">
      <w:pPr>
        <w:spacing w:line="640" w:lineRule="exact"/>
        <w:ind w:firstLine="640"/>
        <w:jc w:val="both"/>
        <w:outlineLvl w:val="2"/>
      </w:pPr>
      <w:r>
        <w:rPr>
          <w:rFonts w:ascii="黑体" w:hAnsi="黑体" w:eastAsia="黑体"/>
          <w:sz w:val="32"/>
        </w:rPr>
        <w:t>十二、其他需说明的事项</w:t>
      </w:r>
    </w:p>
    <w:p w14:paraId="02FA6DFA">
      <w:pPr>
        <w:spacing w:line="580" w:lineRule="exact"/>
        <w:ind w:firstLine="640"/>
        <w:jc w:val="both"/>
      </w:pPr>
      <w:r>
        <w:rPr>
          <w:rFonts w:ascii="仿宋_GB2312" w:hAnsi="仿宋_GB2312" w:eastAsia="仿宋_GB2312"/>
          <w:b w:val="0"/>
          <w:sz w:val="32"/>
        </w:rPr>
        <w:t>本单位无其他需说明的事项。</w:t>
      </w:r>
    </w:p>
    <w:p w14:paraId="4DC56211">
      <w:r>
        <w:br w:type="page"/>
      </w:r>
    </w:p>
    <w:p w14:paraId="1F5B3427">
      <w:pPr>
        <w:spacing w:line="240" w:lineRule="auto"/>
        <w:jc w:val="center"/>
        <w:outlineLvl w:val="1"/>
      </w:pPr>
      <w:r>
        <w:rPr>
          <w:rFonts w:ascii="黑体" w:hAnsi="黑体" w:eastAsia="黑体"/>
          <w:sz w:val="32"/>
        </w:rPr>
        <w:t>第三部分 专业名词解释</w:t>
      </w:r>
    </w:p>
    <w:p w14:paraId="24B458C9">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F1D283C">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F55FF4F">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7CC504E7">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157E037">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E3CF220">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15D3D4A3">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790179FF">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2A5ED382">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113BB3D3">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DCB0EDA">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64774D8B">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3A8ACCB7">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46E40A98">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D005D1C">
      <w:r>
        <w:br w:type="page"/>
      </w:r>
    </w:p>
    <w:p w14:paraId="63A512A3">
      <w:pPr>
        <w:spacing w:line="240" w:lineRule="auto"/>
        <w:jc w:val="center"/>
        <w:outlineLvl w:val="1"/>
      </w:pPr>
      <w:r>
        <w:rPr>
          <w:rFonts w:ascii="黑体" w:hAnsi="黑体" w:eastAsia="黑体"/>
          <w:sz w:val="32"/>
        </w:rPr>
        <w:t>第四部分 部门决算报表（见附表）</w:t>
      </w:r>
    </w:p>
    <w:p w14:paraId="751E84B2">
      <w:pPr>
        <w:spacing w:line="240" w:lineRule="auto"/>
        <w:ind w:firstLine="640"/>
        <w:jc w:val="both"/>
      </w:pPr>
      <w:r>
        <w:rPr>
          <w:rFonts w:ascii="仿宋_GB2312" w:hAnsi="仿宋_GB2312" w:eastAsia="仿宋_GB2312"/>
          <w:b w:val="0"/>
          <w:sz w:val="32"/>
        </w:rPr>
        <w:t>一、《收入支出决算总表》</w:t>
      </w:r>
    </w:p>
    <w:p w14:paraId="29E385F8">
      <w:pPr>
        <w:spacing w:line="240" w:lineRule="auto"/>
        <w:ind w:firstLine="640"/>
        <w:jc w:val="both"/>
      </w:pPr>
      <w:r>
        <w:rPr>
          <w:rFonts w:ascii="仿宋_GB2312" w:hAnsi="仿宋_GB2312" w:eastAsia="仿宋_GB2312"/>
          <w:b w:val="0"/>
          <w:sz w:val="32"/>
        </w:rPr>
        <w:t>二、《收入决算表》</w:t>
      </w:r>
    </w:p>
    <w:p w14:paraId="1295EE6B">
      <w:pPr>
        <w:spacing w:line="240" w:lineRule="auto"/>
        <w:ind w:firstLine="640"/>
        <w:jc w:val="both"/>
      </w:pPr>
      <w:r>
        <w:rPr>
          <w:rFonts w:ascii="仿宋_GB2312" w:hAnsi="仿宋_GB2312" w:eastAsia="仿宋_GB2312"/>
          <w:b w:val="0"/>
          <w:sz w:val="32"/>
        </w:rPr>
        <w:t>三、《支出决算表》</w:t>
      </w:r>
    </w:p>
    <w:p w14:paraId="662A0A67">
      <w:pPr>
        <w:spacing w:line="240" w:lineRule="auto"/>
        <w:ind w:firstLine="640"/>
        <w:jc w:val="both"/>
      </w:pPr>
      <w:r>
        <w:rPr>
          <w:rFonts w:ascii="仿宋_GB2312" w:hAnsi="仿宋_GB2312" w:eastAsia="仿宋_GB2312"/>
          <w:b w:val="0"/>
          <w:sz w:val="32"/>
        </w:rPr>
        <w:t>四、《财政拨款收入支出决算总表》</w:t>
      </w:r>
    </w:p>
    <w:p w14:paraId="17BB8A66">
      <w:pPr>
        <w:spacing w:line="240" w:lineRule="auto"/>
        <w:ind w:firstLine="640"/>
        <w:jc w:val="both"/>
      </w:pPr>
      <w:r>
        <w:rPr>
          <w:rFonts w:ascii="仿宋_GB2312" w:hAnsi="仿宋_GB2312" w:eastAsia="仿宋_GB2312"/>
          <w:b w:val="0"/>
          <w:sz w:val="32"/>
        </w:rPr>
        <w:t>五、《一般公共预算财政拨款支出决算表》</w:t>
      </w:r>
    </w:p>
    <w:p w14:paraId="3859A7F3">
      <w:pPr>
        <w:spacing w:line="240" w:lineRule="auto"/>
        <w:ind w:firstLine="640"/>
        <w:jc w:val="both"/>
      </w:pPr>
      <w:r>
        <w:rPr>
          <w:rFonts w:ascii="仿宋_GB2312" w:hAnsi="仿宋_GB2312" w:eastAsia="仿宋_GB2312"/>
          <w:b w:val="0"/>
          <w:sz w:val="32"/>
        </w:rPr>
        <w:t>六、《一般公共预算财政拨款基本支出决算表》</w:t>
      </w:r>
    </w:p>
    <w:p w14:paraId="0A9CD4C8">
      <w:pPr>
        <w:spacing w:line="240" w:lineRule="auto"/>
        <w:ind w:firstLine="640"/>
        <w:jc w:val="both"/>
      </w:pPr>
      <w:r>
        <w:rPr>
          <w:rFonts w:ascii="仿宋_GB2312" w:hAnsi="仿宋_GB2312" w:eastAsia="仿宋_GB2312"/>
          <w:b w:val="0"/>
          <w:sz w:val="32"/>
        </w:rPr>
        <w:t>七、《政府性基金预算财政拨款收入支出决算表》</w:t>
      </w:r>
    </w:p>
    <w:p w14:paraId="1C82CBDC">
      <w:pPr>
        <w:spacing w:line="240" w:lineRule="auto"/>
        <w:ind w:firstLine="640"/>
        <w:jc w:val="both"/>
      </w:pPr>
      <w:r>
        <w:rPr>
          <w:rFonts w:ascii="仿宋_GB2312" w:hAnsi="仿宋_GB2312" w:eastAsia="仿宋_GB2312"/>
          <w:b w:val="0"/>
          <w:sz w:val="32"/>
        </w:rPr>
        <w:t>八、《国有资本经营预算财政拨款收入支出决算表》</w:t>
      </w:r>
    </w:p>
    <w:p w14:paraId="2B28A25C">
      <w:pPr>
        <w:spacing w:line="240" w:lineRule="auto"/>
        <w:ind w:firstLine="640"/>
        <w:jc w:val="both"/>
      </w:pPr>
      <w:r>
        <w:rPr>
          <w:rFonts w:ascii="仿宋_GB2312" w:hAnsi="仿宋_GB2312" w:eastAsia="仿宋_GB2312"/>
          <w:b w:val="0"/>
          <w:sz w:val="32"/>
        </w:rPr>
        <w:t>九、《财政拨款“三公”经费支出决算表》</w:t>
      </w:r>
    </w:p>
    <w:p w14:paraId="7CC65CF9">
      <w:pPr>
        <w:spacing w:line="240" w:lineRule="auto"/>
        <w:ind w:firstLine="640"/>
        <w:jc w:val="both"/>
      </w:pPr>
    </w:p>
    <w:p w14:paraId="07CCB236">
      <w:pPr>
        <w:spacing w:line="240" w:lineRule="auto"/>
        <w:ind w:firstLine="640"/>
        <w:jc w:val="both"/>
      </w:pPr>
    </w:p>
    <w:p w14:paraId="4EB524D4">
      <w:pPr>
        <w:spacing w:line="240" w:lineRule="auto"/>
        <w:ind w:firstLine="640"/>
        <w:jc w:val="both"/>
      </w:pPr>
    </w:p>
    <w:p w14:paraId="6D1E128F">
      <w:pPr>
        <w:spacing w:line="240" w:lineRule="auto"/>
        <w:ind w:firstLine="640"/>
        <w:jc w:val="both"/>
      </w:pPr>
    </w:p>
    <w:p w14:paraId="55E0F60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3EE60C1"/>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5372</Words>
  <Characters>6052</Characters>
  <Lines>0</Lines>
  <Paragraphs>0</Paragraphs>
  <TotalTime>1</TotalTime>
  <ScaleCrop>false</ScaleCrop>
  <LinksUpToDate>false</LinksUpToDate>
  <CharactersWithSpaces>6064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2025-10-14T10:30:58Z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eyJoZGlkIjoiNTM1NjJiMTUwNmFhZWNlZmQwNDVjMDAxNDMwM2IwMDkiLCJ1c2VySWQiOiIzNzI2MDMzNTYifQ==</vt:lpwstr>
  </property>
</Properties>
</file>