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昌吉回族自治州公安局食品药品环境犯罪侦查分局天池大队2024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1A0E647">
      <w:r>
        <w:br w:type="page"/>
      </w:r>
    </w:p>
    <w:p w14:paraId="2AA04C88">
      <w:pPr>
        <w:spacing w:line="640" w:lineRule="exact"/>
        <w:jc w:val="center"/>
        <w:outlineLvl w:val="1"/>
      </w:pPr>
      <w:r>
        <w:rPr>
          <w:rFonts w:ascii="黑体" w:hAnsi="黑体" w:eastAsia="黑体"/>
          <w:sz w:val="32"/>
        </w:rPr>
        <w:t>第一部分 单位概况</w:t>
      </w:r>
    </w:p>
    <w:p w14:paraId="53875AAE">
      <w:pPr>
        <w:spacing w:line="640" w:lineRule="exact"/>
        <w:ind w:firstLine="640"/>
        <w:jc w:val="both"/>
        <w:outlineLvl w:val="2"/>
      </w:pPr>
      <w:r>
        <w:rPr>
          <w:rFonts w:ascii="黑体" w:hAnsi="黑体" w:eastAsia="黑体"/>
          <w:sz w:val="32"/>
        </w:rPr>
        <w:t>一、主要职能</w:t>
      </w:r>
    </w:p>
    <w:p w14:paraId="70D4E756">
      <w:pPr>
        <w:spacing w:line="580" w:lineRule="exact"/>
        <w:ind w:firstLine="640"/>
        <w:jc w:val="both"/>
      </w:pPr>
      <w:r>
        <w:rPr>
          <w:rFonts w:ascii="仿宋_GB2312" w:hAnsi="仿宋_GB2312" w:eastAsia="仿宋_GB2312"/>
          <w:sz w:val="32"/>
        </w:rPr>
        <w:t>掌握所辖国有林区内食品药品、知识产权、生态环境、森林草原、生物安全、制售伪劣商品等领域犯罪动态，拟定预防、打击对策；侦办所辖国有林区、自然保护区内，食品药品、知识产权、生态环境、森林草原、生物安全、制售伪劣商品等领域犯罪案件；依法办理所辖国有林区内公安机关负责的上述领域的行政案件。</w:t>
      </w:r>
    </w:p>
    <w:p w14:paraId="29BB6A22">
      <w:pPr>
        <w:spacing w:line="640" w:lineRule="exact"/>
        <w:ind w:firstLine="640"/>
        <w:jc w:val="both"/>
        <w:outlineLvl w:val="2"/>
      </w:pPr>
      <w:r>
        <w:rPr>
          <w:rFonts w:ascii="黑体" w:hAnsi="黑体" w:eastAsia="黑体"/>
          <w:sz w:val="32"/>
        </w:rPr>
        <w:t>二、机构设置及人员情况</w:t>
      </w:r>
    </w:p>
    <w:p w14:paraId="6153EC28">
      <w:pPr>
        <w:spacing w:line="580" w:lineRule="exact"/>
        <w:ind w:firstLine="640"/>
        <w:jc w:val="both"/>
      </w:pPr>
      <w:r>
        <w:rPr>
          <w:rFonts w:ascii="仿宋_GB2312" w:hAnsi="仿宋_GB2312" w:eastAsia="仿宋_GB2312"/>
          <w:sz w:val="32"/>
        </w:rPr>
        <w:t>昌吉回族自治州公安局食品药品环境犯罪侦查分局天池大队2024年度，实有人数10人，其中：在职人员9人，增加1人；离休人员0人，增加0人；退休人员1人,增加0人。</w:t>
      </w:r>
    </w:p>
    <w:p w14:paraId="28A058FA">
      <w:pPr>
        <w:spacing w:line="580" w:lineRule="exact"/>
        <w:ind w:firstLine="640"/>
        <w:jc w:val="both"/>
      </w:pPr>
      <w:r>
        <w:rPr>
          <w:rFonts w:ascii="仿宋_GB2312" w:hAnsi="仿宋_GB2312" w:eastAsia="仿宋_GB2312"/>
          <w:sz w:val="32"/>
        </w:rPr>
        <w:t>昌吉回族自治州公安局食品药品环境犯罪侦查分局天池大队无下属预算单位，下设</w:t>
      </w:r>
      <w:r>
        <w:rPr>
          <w:rFonts w:hint="eastAsia" w:ascii="仿宋_GB2312" w:hAnsi="仿宋_GB2312" w:eastAsia="仿宋_GB2312"/>
          <w:sz w:val="32"/>
          <w:lang w:val="en-US" w:eastAsia="zh-CN"/>
        </w:rPr>
        <w:t>0</w:t>
      </w:r>
      <w:r>
        <w:rPr>
          <w:rFonts w:ascii="仿宋_GB2312" w:hAnsi="仿宋_GB2312" w:eastAsia="仿宋_GB2312"/>
          <w:sz w:val="32"/>
        </w:rPr>
        <w:t>个科室，分别是：本单位无下设科室。</w:t>
      </w:r>
    </w:p>
    <w:p w14:paraId="57E9BE6F">
      <w:r>
        <w:br w:type="page"/>
      </w:r>
    </w:p>
    <w:p w14:paraId="78F8622F">
      <w:pPr>
        <w:spacing w:line="240" w:lineRule="auto"/>
        <w:jc w:val="center"/>
        <w:outlineLvl w:val="1"/>
      </w:pPr>
      <w:r>
        <w:rPr>
          <w:rFonts w:ascii="黑体" w:hAnsi="黑体" w:eastAsia="黑体"/>
          <w:sz w:val="32"/>
        </w:rPr>
        <w:t>第二部分 部门决算情况说明</w:t>
      </w:r>
    </w:p>
    <w:p w14:paraId="074F176B">
      <w:pPr>
        <w:spacing w:line="640" w:lineRule="exact"/>
        <w:ind w:firstLine="640"/>
        <w:jc w:val="both"/>
        <w:outlineLvl w:val="2"/>
      </w:pPr>
      <w:r>
        <w:rPr>
          <w:rFonts w:ascii="黑体" w:hAnsi="黑体" w:eastAsia="黑体"/>
          <w:sz w:val="32"/>
        </w:rPr>
        <w:t>一、收入支出决算总体情况说明</w:t>
      </w:r>
    </w:p>
    <w:p w14:paraId="10400AC8">
      <w:pPr>
        <w:spacing w:line="580" w:lineRule="exact"/>
        <w:ind w:firstLine="640"/>
        <w:jc w:val="both"/>
      </w:pPr>
      <w:r>
        <w:rPr>
          <w:rFonts w:ascii="仿宋_GB2312" w:hAnsi="仿宋_GB2312" w:eastAsia="仿宋_GB2312"/>
          <w:b/>
          <w:sz w:val="32"/>
        </w:rPr>
        <w:t>2024年度收入总计313.24万元，</w:t>
      </w:r>
      <w:r>
        <w:rPr>
          <w:rFonts w:ascii="仿宋_GB2312" w:hAnsi="仿宋_GB2312" w:eastAsia="仿宋_GB2312"/>
          <w:b w:val="0"/>
          <w:sz w:val="32"/>
        </w:rPr>
        <w:t>其中：本年收入合计214.21万元，使用非财政拨款结余（含专用结余）0.00万元，年初结转和结余99.03万元。</w:t>
      </w:r>
    </w:p>
    <w:p w14:paraId="235EA2D2">
      <w:pPr>
        <w:spacing w:line="580" w:lineRule="exact"/>
        <w:ind w:firstLine="640"/>
        <w:jc w:val="both"/>
      </w:pPr>
      <w:r>
        <w:rPr>
          <w:rFonts w:ascii="仿宋_GB2312" w:hAnsi="仿宋_GB2312" w:eastAsia="仿宋_GB2312"/>
          <w:b/>
          <w:sz w:val="32"/>
        </w:rPr>
        <w:t>2024年度支出总计313.24万元，</w:t>
      </w:r>
      <w:r>
        <w:rPr>
          <w:rFonts w:ascii="仿宋_GB2312" w:hAnsi="仿宋_GB2312" w:eastAsia="仿宋_GB2312"/>
          <w:b w:val="0"/>
          <w:sz w:val="32"/>
        </w:rPr>
        <w:t>其中：本年支出合计214.08万元，结余分配0.00万元，年末结转和结余99.16万元。</w:t>
      </w:r>
    </w:p>
    <w:p w14:paraId="6B69039E">
      <w:pPr>
        <w:spacing w:line="580" w:lineRule="exact"/>
        <w:ind w:firstLine="640"/>
        <w:jc w:val="both"/>
      </w:pPr>
      <w:r>
        <w:rPr>
          <w:rFonts w:ascii="仿宋_GB2312" w:hAnsi="仿宋_GB2312" w:eastAsia="仿宋_GB2312"/>
          <w:b w:val="0"/>
          <w:sz w:val="32"/>
        </w:rPr>
        <w:t>收入支出总体与上年相比，增加24.46万元，增长8.47%，主要原因是：本年在职人员工资调增，社保、公积金基数调增，人员经费增加。</w:t>
      </w:r>
    </w:p>
    <w:p w14:paraId="6AEEBE35">
      <w:pPr>
        <w:spacing w:line="640" w:lineRule="exact"/>
        <w:ind w:firstLine="640"/>
        <w:jc w:val="both"/>
        <w:outlineLvl w:val="2"/>
      </w:pPr>
      <w:r>
        <w:rPr>
          <w:rFonts w:ascii="黑体" w:hAnsi="黑体" w:eastAsia="黑体"/>
          <w:sz w:val="32"/>
        </w:rPr>
        <w:t>二、收入决算情况说明</w:t>
      </w:r>
    </w:p>
    <w:p w14:paraId="315FEDFD">
      <w:pPr>
        <w:spacing w:line="580" w:lineRule="exact"/>
        <w:ind w:firstLine="640"/>
        <w:jc w:val="both"/>
      </w:pPr>
      <w:r>
        <w:rPr>
          <w:rFonts w:ascii="仿宋_GB2312" w:hAnsi="仿宋_GB2312" w:eastAsia="仿宋_GB2312"/>
          <w:b/>
          <w:sz w:val="32"/>
        </w:rPr>
        <w:t>本年收入214.21万元，</w:t>
      </w:r>
      <w:r>
        <w:rPr>
          <w:rFonts w:ascii="仿宋_GB2312" w:hAnsi="仿宋_GB2312" w:eastAsia="仿宋_GB2312"/>
          <w:b w:val="0"/>
          <w:sz w:val="32"/>
        </w:rPr>
        <w:t>其中：财政拨款收入214.08万元，占99.94%；上级补助收入0.00万元，占0.00%；事业收入0.00万元，占0.00%；经营收入0.00万元，占0.00%；附属单位上缴收入0.00万元，占0.00%；其他收入0.14万元，占0.07%。</w:t>
      </w:r>
    </w:p>
    <w:p w14:paraId="19A9D76C">
      <w:pPr>
        <w:spacing w:line="640" w:lineRule="exact"/>
        <w:ind w:firstLine="640"/>
        <w:jc w:val="both"/>
        <w:outlineLvl w:val="2"/>
      </w:pPr>
      <w:r>
        <w:rPr>
          <w:rFonts w:ascii="黑体" w:hAnsi="黑体" w:eastAsia="黑体"/>
          <w:sz w:val="32"/>
        </w:rPr>
        <w:t>三、支出决算情况说明</w:t>
      </w:r>
    </w:p>
    <w:p w14:paraId="4581EE60">
      <w:pPr>
        <w:spacing w:line="580" w:lineRule="exact"/>
        <w:ind w:firstLine="640"/>
        <w:jc w:val="both"/>
      </w:pPr>
      <w:r>
        <w:rPr>
          <w:rFonts w:ascii="仿宋_GB2312" w:hAnsi="仿宋_GB2312" w:eastAsia="仿宋_GB2312"/>
          <w:b/>
          <w:sz w:val="32"/>
        </w:rPr>
        <w:t>本年支出214.08万元，</w:t>
      </w:r>
      <w:r>
        <w:rPr>
          <w:rFonts w:ascii="仿宋_GB2312" w:hAnsi="仿宋_GB2312" w:eastAsia="仿宋_GB2312"/>
          <w:b w:val="0"/>
          <w:sz w:val="32"/>
        </w:rPr>
        <w:t>其中：基本支出213.19万元，占99.58%；项目支出0.89万元，占0.42%；上缴上级支出0.00万元，占0.00%；经营支出0.00万元，占0.00%；对附属单位补助支出0.00万元，占0.00%。</w:t>
      </w:r>
    </w:p>
    <w:p w14:paraId="3145191F">
      <w:pPr>
        <w:spacing w:line="640" w:lineRule="exact"/>
        <w:ind w:firstLine="640"/>
        <w:jc w:val="both"/>
        <w:outlineLvl w:val="2"/>
      </w:pPr>
      <w:r>
        <w:rPr>
          <w:rFonts w:ascii="黑体" w:hAnsi="黑体" w:eastAsia="黑体"/>
          <w:sz w:val="32"/>
        </w:rPr>
        <w:t>四、财政拨款收入支出决算总体情况说明</w:t>
      </w:r>
    </w:p>
    <w:p w14:paraId="26DACED1">
      <w:pPr>
        <w:spacing w:line="580" w:lineRule="exact"/>
        <w:ind w:firstLine="640"/>
        <w:jc w:val="both"/>
      </w:pPr>
      <w:r>
        <w:rPr>
          <w:rFonts w:ascii="仿宋_GB2312" w:hAnsi="仿宋_GB2312" w:eastAsia="仿宋_GB2312"/>
          <w:b/>
          <w:sz w:val="32"/>
        </w:rPr>
        <w:t>2024年度财政拨款收入总计214.08万元，</w:t>
      </w:r>
      <w:r>
        <w:rPr>
          <w:rFonts w:ascii="仿宋_GB2312" w:hAnsi="仿宋_GB2312" w:eastAsia="仿宋_GB2312"/>
          <w:b w:val="0"/>
          <w:sz w:val="32"/>
        </w:rPr>
        <w:t>其中：年初财政拨款结转和结余0.00万元，本年财政拨款收入214.08万元。</w:t>
      </w:r>
      <w:r>
        <w:rPr>
          <w:rFonts w:ascii="仿宋_GB2312" w:hAnsi="仿宋_GB2312" w:eastAsia="仿宋_GB2312"/>
          <w:b/>
          <w:sz w:val="32"/>
        </w:rPr>
        <w:t>财政拨款支出总计214.08万元，</w:t>
      </w:r>
      <w:r>
        <w:rPr>
          <w:rFonts w:ascii="仿宋_GB2312" w:hAnsi="仿宋_GB2312" w:eastAsia="仿宋_GB2312"/>
          <w:b w:val="0"/>
          <w:sz w:val="32"/>
        </w:rPr>
        <w:t>其中：年末财政拨款结转和结余0.00万元，本年财政拨款支出214.08万元。</w:t>
      </w:r>
    </w:p>
    <w:p w14:paraId="73A0ED6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减少74.04万元，下降25.70%，主要原因是：本年减少专项业务项目经费结转资金，导致经费较上年减少。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年初预算数197.38万元，决算数214.08万元，预决算差异率8.46%，主要原因是：本年在职人员增加，年中追加人员经费及人员工资、社保、公积金基数调增部分资金，导致预决算存在差异。</w:t>
      </w:r>
    </w:p>
    <w:p w14:paraId="5E34097E">
      <w:pPr>
        <w:spacing w:line="640" w:lineRule="exact"/>
        <w:ind w:firstLine="640"/>
        <w:jc w:val="both"/>
        <w:outlineLvl w:val="2"/>
      </w:pPr>
      <w:r>
        <w:rPr>
          <w:rFonts w:ascii="黑体" w:hAnsi="黑体" w:eastAsia="黑体"/>
          <w:sz w:val="32"/>
        </w:rPr>
        <w:t>五、一般公共预算财政拨款支出决算情况说明</w:t>
      </w:r>
    </w:p>
    <w:p w14:paraId="013B4BA2">
      <w:pPr>
        <w:spacing w:line="640" w:lineRule="exact"/>
        <w:ind w:firstLine="640"/>
        <w:jc w:val="both"/>
        <w:outlineLvl w:val="3"/>
      </w:pPr>
      <w:r>
        <w:rPr>
          <w:rFonts w:ascii="楷体_GB2312" w:hAnsi="楷体_GB2312" w:eastAsia="楷体_GB2312"/>
          <w:b/>
          <w:sz w:val="32"/>
        </w:rPr>
        <w:t>（一）一般公共预算财政拨款支出决算总体情况</w:t>
      </w:r>
    </w:p>
    <w:p w14:paraId="494A4814">
      <w:pPr>
        <w:spacing w:line="580" w:lineRule="exact"/>
        <w:ind w:firstLine="640"/>
        <w:jc w:val="both"/>
      </w:pPr>
      <w:r>
        <w:rPr>
          <w:rFonts w:ascii="仿宋_GB2312" w:hAnsi="仿宋_GB2312" w:eastAsia="仿宋_GB2312"/>
          <w:b/>
          <w:sz w:val="32"/>
        </w:rPr>
        <w:t>2024年度一般公共预算财政拨款支出214.08万元，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增加24.33万元，增长12.82%，主要原因是：本年在职人员工资调增，社保、公积金基数调增，人员经费增加。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年初预算数197.38万元，决算数214.08万元，预决算差异率8.46%，主要原因是：本年在职人员增加，年中追加人员经费及人员工资、社保、公积金基数调增部分资金，导致预决算存在差异。</w:t>
      </w:r>
    </w:p>
    <w:p w14:paraId="64EC626A">
      <w:pPr>
        <w:spacing w:line="640" w:lineRule="exact"/>
        <w:ind w:firstLine="640"/>
        <w:jc w:val="both"/>
        <w:outlineLvl w:val="3"/>
      </w:pPr>
      <w:r>
        <w:rPr>
          <w:rFonts w:ascii="楷体_GB2312" w:hAnsi="楷体_GB2312" w:eastAsia="楷体_GB2312"/>
          <w:b/>
          <w:sz w:val="32"/>
        </w:rPr>
        <w:t>（二）一般公共预算财政拨款支出决算结构情况</w:t>
      </w:r>
    </w:p>
    <w:p w14:paraId="1E492D15">
      <w:pPr>
        <w:spacing w:line="580" w:lineRule="exact"/>
        <w:ind w:firstLine="640"/>
        <w:jc w:val="both"/>
      </w:pPr>
      <w:r>
        <w:rPr>
          <w:rFonts w:ascii="仿宋_GB2312" w:hAnsi="仿宋_GB2312" w:eastAsia="仿宋_GB2312"/>
          <w:b w:val="0"/>
          <w:sz w:val="32"/>
        </w:rPr>
        <w:t>1.公共安全支出(类)161.31万元,占75.35%。</w:t>
      </w:r>
    </w:p>
    <w:p w14:paraId="3887308F">
      <w:pPr>
        <w:spacing w:line="580" w:lineRule="exact"/>
        <w:ind w:firstLine="640"/>
        <w:jc w:val="both"/>
      </w:pPr>
      <w:r>
        <w:rPr>
          <w:rFonts w:ascii="仿宋_GB2312" w:hAnsi="仿宋_GB2312" w:eastAsia="仿宋_GB2312"/>
          <w:b w:val="0"/>
          <w:sz w:val="32"/>
        </w:rPr>
        <w:t>2.社会保障和就业支出(类)27.14万元,占12.68%。</w:t>
      </w:r>
    </w:p>
    <w:p w14:paraId="6B0BB69C">
      <w:pPr>
        <w:spacing w:line="580" w:lineRule="exact"/>
        <w:ind w:firstLine="640"/>
        <w:jc w:val="both"/>
      </w:pPr>
      <w:r>
        <w:rPr>
          <w:rFonts w:ascii="仿宋_GB2312" w:hAnsi="仿宋_GB2312" w:eastAsia="仿宋_GB2312"/>
          <w:b w:val="0"/>
          <w:sz w:val="32"/>
        </w:rPr>
        <w:t>3.卫生健康支出(类)9.43万元,占4.40%。</w:t>
      </w:r>
    </w:p>
    <w:p w14:paraId="44B3E705">
      <w:pPr>
        <w:spacing w:line="580" w:lineRule="exact"/>
        <w:ind w:firstLine="640"/>
        <w:jc w:val="both"/>
      </w:pPr>
      <w:r>
        <w:rPr>
          <w:rFonts w:ascii="仿宋_GB2312" w:hAnsi="仿宋_GB2312" w:eastAsia="仿宋_GB2312"/>
          <w:b w:val="0"/>
          <w:sz w:val="32"/>
        </w:rPr>
        <w:t>4.住房保障支出(类)16.20万元,占7.57%。</w:t>
      </w:r>
    </w:p>
    <w:p w14:paraId="201260CB">
      <w:pPr>
        <w:spacing w:line="640" w:lineRule="exact"/>
        <w:ind w:firstLine="640"/>
        <w:jc w:val="both"/>
        <w:outlineLvl w:val="3"/>
      </w:pPr>
      <w:r>
        <w:rPr>
          <w:rFonts w:ascii="楷体_GB2312" w:hAnsi="楷体_GB2312" w:eastAsia="楷体_GB2312"/>
          <w:b/>
          <w:sz w:val="32"/>
        </w:rPr>
        <w:t>（三）一般公共预算财政拨款支出决算具体情况</w:t>
      </w:r>
    </w:p>
    <w:p w14:paraId="400ED2DC">
      <w:pPr>
        <w:spacing w:line="580" w:lineRule="exact"/>
        <w:ind w:firstLine="640"/>
        <w:jc w:val="both"/>
      </w:pPr>
      <w:r>
        <w:rPr>
          <w:rFonts w:ascii="仿宋_GB2312" w:hAnsi="仿宋_GB2312" w:eastAsia="仿宋_GB2312"/>
          <w:b w:val="0"/>
          <w:sz w:val="32"/>
        </w:rPr>
        <w:t>1.公共安全支出(类)公安(款)行政运行(项):支出决算数为160.42万元，比上年决算增加21.04万元，增长15.10%,主要原因是：本年在职人员增加，工资调增，导致相关人员经费较上年有所增加。</w:t>
      </w:r>
    </w:p>
    <w:p w14:paraId="110DE345">
      <w:pPr>
        <w:spacing w:line="580" w:lineRule="exact"/>
        <w:ind w:firstLine="640"/>
        <w:jc w:val="both"/>
      </w:pPr>
      <w:r>
        <w:rPr>
          <w:rFonts w:ascii="仿宋_GB2312" w:hAnsi="仿宋_GB2312" w:eastAsia="仿宋_GB2312"/>
          <w:b w:val="0"/>
          <w:sz w:val="32"/>
        </w:rPr>
        <w:t>2.公共安全支出(类)公安(款)一般行政管理事务(项):支出决算数为0.89万元，比上年决算增加0.03万元，增长3.49%,主要原因是：本年增加执法办案业务经费。</w:t>
      </w:r>
    </w:p>
    <w:p w14:paraId="0A4368C3">
      <w:pPr>
        <w:spacing w:line="580" w:lineRule="exact"/>
        <w:ind w:firstLine="640"/>
        <w:jc w:val="both"/>
      </w:pPr>
      <w:r>
        <w:rPr>
          <w:rFonts w:ascii="仿宋_GB2312" w:hAnsi="仿宋_GB2312" w:eastAsia="仿宋_GB2312"/>
          <w:b w:val="0"/>
          <w:sz w:val="32"/>
        </w:rPr>
        <w:t>3.社会保障和就业支出(类)行政事业单位养老支出(款)行政单位离退休(项):支出决算数为0.62万元，比上年决算增加0.21万元，增长51.22%,主要原因是：本年增加退休人员基础绩效奖，退休费支出增加。</w:t>
      </w:r>
    </w:p>
    <w:p w14:paraId="43F8E112">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17.79万元，比上年决算增加4.52万元，增长34.06%,主要原因是：本年在职人员工资基数调增，养老缴费基数上涨，相应支出增加。</w:t>
      </w:r>
    </w:p>
    <w:p w14:paraId="5D8365AF">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5.社会保障和就业支出(类)行政事业单位养老支出(款)机关事业单位职业年金缴费支出(项):支出决算数为8.72万元，比上年决算减少5.62万元，下降39.19%,主要原因是：本年无新增退休人员，职业年金缴费支出减少。</w:t>
      </w:r>
    </w:p>
    <w:p w14:paraId="328E9606">
      <w:pPr>
        <w:spacing w:line="580" w:lineRule="exact"/>
        <w:ind w:firstLine="640"/>
        <w:jc w:val="both"/>
      </w:pPr>
      <w:r>
        <w:rPr>
          <w:rFonts w:ascii="仿宋_GB2312" w:hAnsi="仿宋_GB2312" w:eastAsia="仿宋_GB2312"/>
          <w:b w:val="0"/>
          <w:sz w:val="32"/>
        </w:rPr>
        <w:t>6.卫生健康支出(类)行政事业单位医疗(款)行政单位医疗(项):支出决算数为8.81万元，比上年决算增加1.01万元，增长12.95%,主要原因是：本年在职人员工资基数调增，医疗缴费基数上涨，相应支出增加。</w:t>
      </w:r>
    </w:p>
    <w:p w14:paraId="39E94BA0">
      <w:pPr>
        <w:spacing w:line="580" w:lineRule="exact"/>
        <w:ind w:firstLine="640"/>
        <w:jc w:val="both"/>
      </w:pPr>
      <w:r>
        <w:rPr>
          <w:rFonts w:ascii="仿宋_GB2312" w:hAnsi="仿宋_GB2312" w:eastAsia="仿宋_GB2312"/>
          <w:b w:val="0"/>
          <w:sz w:val="32"/>
        </w:rPr>
        <w:t>7.卫生健康支出(类)行政事业单位医疗(款)公务员医疗补助(项):支出决算数为0.55万元，比上年决算增加0.10万元，增长22.22%,主要原因是：本年在职人员工资基数调增，医疗缴费基数上涨，相应支出增加。</w:t>
      </w:r>
    </w:p>
    <w:p w14:paraId="228D9C9D">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0.06万元，比上年决算增加0.06万元，增长100.00%,主要原因是：本年功能科目调整，工伤、大病等医疗保险上年在主科目列支，本年单独列支，导致此科目经费较上年增加。</w:t>
      </w:r>
    </w:p>
    <w:p w14:paraId="12FE1BF3">
      <w:pPr>
        <w:spacing w:line="580" w:lineRule="exact"/>
        <w:ind w:firstLine="640"/>
        <w:jc w:val="both"/>
      </w:pPr>
      <w:r>
        <w:rPr>
          <w:rFonts w:ascii="仿宋_GB2312" w:hAnsi="仿宋_GB2312" w:eastAsia="仿宋_GB2312"/>
          <w:b w:val="0"/>
          <w:sz w:val="32"/>
        </w:rPr>
        <w:t>9.住房保障支出(类)住房改革支出(款)住房公积金(项):支出决算数为16.20万元，比上年决算增加2.97万元，增长22.45%,主要原因是：本年在职人员工资基数调增，公积金缴费基数上涨，相应支出增加。</w:t>
      </w:r>
    </w:p>
    <w:p w14:paraId="5F878EF0">
      <w:pPr>
        <w:spacing w:line="640" w:lineRule="exact"/>
        <w:ind w:firstLine="640"/>
        <w:jc w:val="both"/>
        <w:outlineLvl w:val="2"/>
      </w:pPr>
      <w:r>
        <w:rPr>
          <w:rFonts w:ascii="黑体" w:hAnsi="黑体" w:eastAsia="黑体"/>
          <w:sz w:val="32"/>
        </w:rPr>
        <w:t>六、一般公共预算财政拨款基本支出决算情况说明</w:t>
      </w:r>
    </w:p>
    <w:p w14:paraId="548ED13E">
      <w:pPr>
        <w:spacing w:line="580" w:lineRule="exact"/>
        <w:ind w:firstLine="640"/>
        <w:jc w:val="both"/>
      </w:pPr>
      <w:r>
        <w:rPr>
          <w:rFonts w:ascii="仿宋_GB2312" w:hAnsi="仿宋_GB2312" w:eastAsia="仿宋_GB2312"/>
          <w:b w:val="0"/>
          <w:sz w:val="32"/>
        </w:rPr>
        <w:t>2024年度一般公共预算财政拨款基本支出213.19万元，其中：</w:t>
      </w:r>
      <w:r>
        <w:rPr>
          <w:rFonts w:ascii="仿宋_GB2312" w:hAnsi="仿宋_GB2312" w:eastAsia="仿宋_GB2312"/>
          <w:b/>
          <w:sz w:val="32"/>
        </w:rPr>
        <w:t>人员经费201.85万元，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包括：基本工资、津贴补贴、奖金、机关事业单位基本养老保险缴费、职业年金缴费、职工基本医疗保险缴费、公务员医疗补助缴费、其他社会保障缴费、住房公积金、其他工资福利支出、退休费、奖励金。</w:t>
      </w:r>
    </w:p>
    <w:p w14:paraId="4C307223">
      <w:pPr>
        <w:spacing w:line="580" w:lineRule="exact"/>
        <w:ind w:firstLine="640"/>
        <w:jc w:val="both"/>
      </w:pPr>
      <w:r>
        <w:rPr>
          <w:rFonts w:ascii="仿宋_GB2312" w:hAnsi="仿宋_GB2312" w:eastAsia="仿宋_GB2312"/>
          <w:b/>
          <w:sz w:val="32"/>
        </w:rPr>
        <w:t>公用经费11.34万元，</w:t>
      </w:r>
      <w:r>
        <w:rPr>
          <w:rFonts w:ascii="仿宋_GB2312" w:hAnsi="仿宋_GB2312" w:eastAsia="仿宋_GB2312"/>
          <w:b w:val="0"/>
          <w:sz w:val="32"/>
        </w:rPr>
        <w:t>包括：办公费、印刷费、咨询费、水费、邮电费、取暖费、差旅费、培训费、劳务费、工会经费、福利费、公务用车运行维护费、其他商品和服务支出。</w:t>
      </w:r>
    </w:p>
    <w:p w14:paraId="393D0B15">
      <w:pPr>
        <w:spacing w:line="640" w:lineRule="exact"/>
        <w:ind w:firstLine="640"/>
        <w:jc w:val="both"/>
        <w:outlineLvl w:val="2"/>
      </w:pPr>
      <w:r>
        <w:rPr>
          <w:rFonts w:ascii="黑体" w:hAnsi="黑体" w:eastAsia="黑体"/>
          <w:sz w:val="32"/>
        </w:rPr>
        <w:t>七、政府性基金预算财政拨款收入支出决算情况说明</w:t>
      </w:r>
    </w:p>
    <w:p w14:paraId="6C05AD74">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64F1D7F">
      <w:pPr>
        <w:spacing w:line="640" w:lineRule="exact"/>
        <w:ind w:firstLine="640"/>
        <w:jc w:val="both"/>
        <w:outlineLvl w:val="2"/>
      </w:pPr>
      <w:r>
        <w:rPr>
          <w:rFonts w:ascii="黑体" w:hAnsi="黑体" w:eastAsia="黑体"/>
          <w:sz w:val="32"/>
        </w:rPr>
        <w:t>八、国有资本经营预算财政拨款收入支出决算情况说明</w:t>
      </w:r>
    </w:p>
    <w:p w14:paraId="215C4E3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7D9B18C">
      <w:pPr>
        <w:spacing w:line="640" w:lineRule="exact"/>
        <w:ind w:firstLine="640"/>
        <w:jc w:val="both"/>
        <w:outlineLvl w:val="2"/>
      </w:pPr>
      <w:r>
        <w:rPr>
          <w:rFonts w:ascii="黑体" w:hAnsi="黑体" w:eastAsia="黑体"/>
          <w:sz w:val="32"/>
        </w:rPr>
        <w:t>九、财政拨款“三公”经费支出决算情况说明</w:t>
      </w:r>
    </w:p>
    <w:p w14:paraId="4541CF44">
      <w:pPr>
        <w:spacing w:line="580" w:lineRule="exact"/>
        <w:ind w:firstLine="640"/>
        <w:jc w:val="both"/>
      </w:pPr>
      <w:r>
        <w:rPr>
          <w:rFonts w:ascii="仿宋_GB2312" w:hAnsi="仿宋_GB2312" w:eastAsia="仿宋_GB2312"/>
          <w:b/>
          <w:sz w:val="32"/>
        </w:rPr>
        <w:t>2024年度财政拨款“三公”经费支出3.28万元，</w:t>
      </w:r>
      <w:r>
        <w:rPr>
          <w:rFonts w:ascii="仿宋_GB2312" w:hAnsi="仿宋_GB2312" w:eastAsia="仿宋_GB2312"/>
          <w:b w:val="0"/>
          <w:sz w:val="32"/>
        </w:rPr>
        <w:t>比上年增加0.22万元，增长7.19%，主要原因是：本年加大巡逻力度，公务车运行维护费增加。其中：因公出国（境）费支出0.00万元，占0.00%，比上年增加0.00万元，增长0.00%，主要原因是：2023年与2024年均未安排因公出国（境）费支出。公务用车购置及运行维护费支出3.28万元，占100.00%，比上年增加0.22万元，增长7.19%，主要原因是：本年加大巡逻力度，公务车运行维护费增加。公务接待费支出0.00万元，占0.00%，比上年增加0.00万元，增长0.00%，主要原因是：2023年与2024年均未安排公务接待费支出。</w:t>
      </w:r>
    </w:p>
    <w:p w14:paraId="3C5A8308">
      <w:pPr>
        <w:spacing w:line="580" w:lineRule="exact"/>
        <w:ind w:firstLine="640"/>
        <w:jc w:val="both"/>
      </w:pPr>
      <w:r>
        <w:rPr>
          <w:rFonts w:ascii="仿宋_GB2312" w:hAnsi="仿宋_GB2312" w:eastAsia="仿宋_GB2312"/>
          <w:b/>
          <w:sz w:val="32"/>
        </w:rPr>
        <w:t>具体情况如下：</w:t>
      </w:r>
    </w:p>
    <w:p w14:paraId="0EBF1803">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B4D4586">
      <w:pPr>
        <w:spacing w:line="580" w:lineRule="exact"/>
        <w:ind w:firstLine="640"/>
        <w:jc w:val="both"/>
      </w:pPr>
      <w:r>
        <w:rPr>
          <w:rFonts w:ascii="仿宋_GB2312" w:hAnsi="仿宋_GB2312" w:eastAsia="仿宋_GB2312"/>
          <w:b w:val="0"/>
          <w:sz w:val="32"/>
        </w:rPr>
        <w:t>公务用车购置及运行维护费3.28万元，其中：公务用车购置费0.00万元，公务用车运行维护费3.28万元。公务用车运行维护费开支内容包括公务用车燃料费、维修费、过路费、保险费等。公务用车购置数0辆，公务用车保有量2辆。国有资产占用情况中固定资产车辆2辆，与公务用车保有量差异原因是：本单位固定资产车辆与公务用车保有量一致无差异。</w:t>
      </w:r>
    </w:p>
    <w:p w14:paraId="7E3961D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B68C95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3.28万元，决算数3.28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3.28万元，决算数3.28万元，预决算差异率0.00%，主要原因是：严格按照预算执行，预决算无差异。公务接待费全年预算数0.00万元，决算数0.00万元，预决算差异率0.00%，主要原因是：本单位无公务接待费。</w:t>
      </w:r>
    </w:p>
    <w:p w14:paraId="7B6B9A59">
      <w:pPr>
        <w:spacing w:line="640" w:lineRule="exact"/>
        <w:ind w:firstLine="640"/>
        <w:jc w:val="both"/>
        <w:outlineLvl w:val="2"/>
      </w:pPr>
      <w:r>
        <w:rPr>
          <w:rFonts w:ascii="黑体" w:hAnsi="黑体" w:eastAsia="黑体"/>
          <w:sz w:val="32"/>
        </w:rPr>
        <w:t>十、其他重要事项的情况说明</w:t>
      </w:r>
    </w:p>
    <w:p w14:paraId="286B704B">
      <w:pPr>
        <w:spacing w:line="640" w:lineRule="exact"/>
        <w:ind w:firstLine="640"/>
        <w:jc w:val="both"/>
        <w:outlineLvl w:val="3"/>
      </w:pPr>
      <w:r>
        <w:rPr>
          <w:rFonts w:ascii="楷体_GB2312" w:hAnsi="楷体_GB2312" w:eastAsia="楷体_GB2312"/>
          <w:b/>
          <w:sz w:val="32"/>
        </w:rPr>
        <w:t>（一）机关运行经费及公用经费支出情况</w:t>
      </w:r>
    </w:p>
    <w:p w14:paraId="7351B820">
      <w:pPr>
        <w:spacing w:line="580" w:lineRule="exact"/>
        <w:ind w:firstLine="640"/>
        <w:jc w:val="both"/>
      </w:pPr>
      <w:r>
        <w:rPr>
          <w:rFonts w:ascii="仿宋_GB2312" w:hAnsi="仿宋_GB2312" w:eastAsia="仿宋_GB2312"/>
          <w:b w:val="0"/>
          <w:sz w:val="32"/>
        </w:rPr>
        <w:t>2024年度昌吉回族自治州公安局食品药品环境犯罪侦查分局天池大队（行政单位和参照公务员法管理事业单位）机关运行经费支出11.34万元，比上年减少2.94万元，下降20.59%，主要原因是：严格控制公用经费，合理节约办公用品，减少不必要开支。</w:t>
      </w:r>
    </w:p>
    <w:p w14:paraId="6539994C">
      <w:pPr>
        <w:spacing w:line="640" w:lineRule="exact"/>
        <w:ind w:firstLine="640"/>
        <w:jc w:val="both"/>
        <w:outlineLvl w:val="3"/>
      </w:pPr>
      <w:r>
        <w:rPr>
          <w:rFonts w:ascii="楷体_GB2312" w:hAnsi="楷体_GB2312" w:eastAsia="楷体_GB2312"/>
          <w:b/>
          <w:sz w:val="32"/>
        </w:rPr>
        <w:t>（二）政府采购情况</w:t>
      </w:r>
    </w:p>
    <w:p w14:paraId="2E95EC40">
      <w:pPr>
        <w:spacing w:line="580" w:lineRule="exact"/>
        <w:ind w:firstLine="640"/>
        <w:jc w:val="both"/>
      </w:pPr>
      <w:r>
        <w:rPr>
          <w:rFonts w:ascii="仿宋_GB2312" w:hAnsi="仿宋_GB2312" w:eastAsia="仿宋_GB2312"/>
          <w:b w:val="0"/>
          <w:sz w:val="32"/>
        </w:rPr>
        <w:t>2024年度政府采购支出总额0.56万元，其中：政府采购货物支出0.01万元、政府采购工程支出0.00万元、政府采购服务支出0.55万元。</w:t>
      </w:r>
    </w:p>
    <w:p w14:paraId="203A7D56">
      <w:pPr>
        <w:spacing w:line="580" w:lineRule="exact"/>
        <w:ind w:firstLine="640"/>
        <w:jc w:val="both"/>
      </w:pPr>
      <w:r>
        <w:rPr>
          <w:rFonts w:ascii="仿宋_GB2312" w:hAnsi="仿宋_GB2312" w:eastAsia="仿宋_GB2312"/>
          <w:b w:val="0"/>
          <w:sz w:val="32"/>
        </w:rPr>
        <w:t>授予中小企业合同金额0.56万元，占政府采购支出总额的100.00%，其中：授予小微企业合同金额0.56万元，占政府采购支出总额的100.00%。</w:t>
      </w:r>
    </w:p>
    <w:p w14:paraId="0C8DB071">
      <w:pPr>
        <w:spacing w:line="640" w:lineRule="exact"/>
        <w:ind w:firstLine="640"/>
        <w:jc w:val="both"/>
        <w:outlineLvl w:val="3"/>
      </w:pPr>
      <w:r>
        <w:rPr>
          <w:rFonts w:ascii="楷体_GB2312" w:hAnsi="楷体_GB2312" w:eastAsia="楷体_GB2312"/>
          <w:b/>
          <w:sz w:val="32"/>
        </w:rPr>
        <w:t>（三）国有资产占用情况说明</w:t>
      </w:r>
    </w:p>
    <w:p w14:paraId="617E528F">
      <w:pPr>
        <w:spacing w:line="580" w:lineRule="exact"/>
        <w:ind w:firstLine="640"/>
        <w:jc w:val="both"/>
      </w:pPr>
      <w:r>
        <w:rPr>
          <w:rFonts w:ascii="仿宋_GB2312" w:hAnsi="仿宋_GB2312" w:eastAsia="仿宋_GB2312"/>
          <w:b w:val="0"/>
          <w:sz w:val="32"/>
        </w:rPr>
        <w:t>截至2024年12月31日，房屋440.19平方米，价值109.82万元。车辆2辆，价值39.24万元，其中：副部（省）级及以上领导用车0辆、主要负责人用车0辆、机要通信用车0辆、应急保障用车0辆、执法执勤用车2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149ADE05">
      <w:pPr>
        <w:spacing w:line="640" w:lineRule="exact"/>
        <w:ind w:firstLine="640"/>
        <w:jc w:val="both"/>
        <w:outlineLvl w:val="2"/>
      </w:pPr>
      <w:r>
        <w:rPr>
          <w:rFonts w:ascii="黑体" w:hAnsi="黑体" w:eastAsia="黑体"/>
          <w:sz w:val="32"/>
        </w:rPr>
        <w:t>十一、预算绩效的情况说明</w:t>
      </w:r>
    </w:p>
    <w:p w14:paraId="024AB13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313.24万元，实际执行总额214.08万元；预算绩效评价项目1个，全年预算数0.89万元，全年执行数0.89万元。预算绩效管理取得的成效：一是通过预算绩效管理，规范了项目资金的使用，不断提高专项资金使用效益，加强了项目资金的管理；二是实行预算绩效管理，推进了项目的实施进度。发现的问题及原因：一是单位内控职责不够细化，项目预算的绩效设定与实际的项目支出存在些许差距，争取在今后工作中准确把握项目资金支出，达到资金的最大效益；二是部分绩效目标未能有效分解细化到内设机构和具体项目，责任主体不明确；三是目前财务工作量较大，任务繁重，为了能够适应新政府会计制度的改革实施，要进一步加大财务人员培训力度，提高业务水平和能力；四是预算执行中存在前松后紧现象，部分资金使用进度滞后。下一步改进措施：一是加大预算绩效管理培训力度，贯彻落实相关办法及制度。采取集中学习、讲座、专题会议等方式，加大对参与绩效管理工作的人员培训力度，进一步统一认识，充实业务知识。以提高工作人员素质，以达到预算绩效管理标准化、常态化的要求，最终实现提高绩效管理工作效率及质量的目标；二是将绩效管理要求深度嵌入预算编制、执行、决算及项目管理、资产等全过程，实现绩效管理与业务管理同频共振。具体附整体支出绩效自评表。</w:t>
      </w:r>
    </w:p>
    <w:p w14:paraId="694286A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06747E2">
        <w:tblPrEx>
          <w:tblCellMar>
            <w:top w:w="0" w:type="dxa"/>
            <w:left w:w="108" w:type="dxa"/>
            <w:bottom w:w="0" w:type="dxa"/>
            <w:right w:w="108" w:type="dxa"/>
          </w:tblCellMar>
        </w:tblPrEx>
        <w:tc>
          <w:tcPr>
            <w:tcW w:w="8847" w:type="dxa"/>
            <w:gridSpan w:val="9"/>
            <w:vAlign w:val="center"/>
          </w:tcPr>
          <w:p w14:paraId="441D3571">
            <w:pPr>
              <w:jc w:val="center"/>
            </w:pPr>
            <w:r>
              <w:rPr>
                <w:rFonts w:ascii="宋体" w:hAnsi="宋体" w:eastAsia="宋体"/>
                <w:sz w:val="24"/>
              </w:rPr>
              <w:t>单位整体支出绩效自评表</w:t>
            </w:r>
          </w:p>
        </w:tc>
      </w:tr>
      <w:tr w14:paraId="12EFA561">
        <w:tblPrEx>
          <w:tblCellMar>
            <w:top w:w="0" w:type="dxa"/>
            <w:left w:w="108" w:type="dxa"/>
            <w:bottom w:w="0" w:type="dxa"/>
            <w:right w:w="108" w:type="dxa"/>
          </w:tblCellMar>
        </w:tblPrEx>
        <w:tc>
          <w:tcPr>
            <w:tcW w:w="8847" w:type="dxa"/>
            <w:gridSpan w:val="9"/>
            <w:vAlign w:val="center"/>
          </w:tcPr>
          <w:p w14:paraId="14450884">
            <w:pPr>
              <w:jc w:val="center"/>
            </w:pPr>
            <w:r>
              <w:rPr>
                <w:rFonts w:ascii="宋体" w:hAnsi="宋体" w:eastAsia="宋体"/>
                <w:sz w:val="24"/>
              </w:rPr>
              <w:t>（2024年度）</w:t>
            </w:r>
          </w:p>
        </w:tc>
      </w:tr>
      <w:tr w14:paraId="78629BF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03FDDC">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BA471FC">
            <w:pPr>
              <w:jc w:val="center"/>
            </w:pPr>
            <w:r>
              <w:rPr>
                <w:rFonts w:ascii="宋体" w:hAnsi="宋体" w:eastAsia="宋体"/>
                <w:sz w:val="16"/>
              </w:rPr>
              <w:t>昌吉回族自治州公安局食品药品环境犯罪侦查分局天池大队</w:t>
            </w:r>
          </w:p>
        </w:tc>
      </w:tr>
      <w:tr w14:paraId="33A8BFB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43A2CB">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EFEB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83AC2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E44F9A">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A150F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0F667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68308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5ED2A">
            <w:pPr>
              <w:jc w:val="center"/>
            </w:pPr>
            <w:r>
              <w:rPr>
                <w:rFonts w:ascii="宋体" w:hAnsi="宋体" w:eastAsia="宋体"/>
                <w:sz w:val="16"/>
              </w:rPr>
              <w:t>得分</w:t>
            </w:r>
          </w:p>
        </w:tc>
      </w:tr>
      <w:tr w14:paraId="7A61E2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0EBC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03342">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8C39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E962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9530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26A3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C43D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B40DF6">
            <w:pPr>
              <w:jc w:val="center"/>
            </w:pPr>
            <w:r>
              <w:rPr>
                <w:rFonts w:ascii="宋体" w:hAnsi="宋体" w:eastAsia="宋体"/>
                <w:sz w:val="16"/>
              </w:rPr>
              <w:t>-</w:t>
            </w:r>
          </w:p>
        </w:tc>
      </w:tr>
      <w:tr w14:paraId="4AC629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382AB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D2BEC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3FB4ED">
            <w:pPr>
              <w:jc w:val="center"/>
            </w:pPr>
            <w:r>
              <w:rPr>
                <w:rFonts w:ascii="宋体" w:hAnsi="宋体" w:eastAsia="宋体"/>
                <w:sz w:val="16"/>
              </w:rPr>
              <w:t>197.38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C29A74">
            <w:pPr>
              <w:jc w:val="center"/>
            </w:pPr>
            <w:r>
              <w:rPr>
                <w:rFonts w:ascii="宋体" w:hAnsi="宋体" w:eastAsia="宋体"/>
                <w:sz w:val="16"/>
              </w:rPr>
              <w:t>214.21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A71D8B">
            <w:pPr>
              <w:jc w:val="center"/>
            </w:pPr>
            <w:r>
              <w:rPr>
                <w:rFonts w:ascii="宋体" w:hAnsi="宋体" w:eastAsia="宋体"/>
                <w:sz w:val="16"/>
              </w:rPr>
              <w:t>214.08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9622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D589E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AF7370">
            <w:pPr>
              <w:jc w:val="center"/>
            </w:pPr>
            <w:r>
              <w:rPr>
                <w:rFonts w:ascii="宋体" w:hAnsi="宋体" w:eastAsia="宋体"/>
                <w:sz w:val="16"/>
              </w:rPr>
              <w:t>-</w:t>
            </w:r>
          </w:p>
        </w:tc>
      </w:tr>
      <w:tr w14:paraId="33ED217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E3104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6C6FF">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5FC16">
            <w:pPr>
              <w:jc w:val="center"/>
            </w:pPr>
            <w:r>
              <w:rPr>
                <w:rFonts w:ascii="宋体" w:hAnsi="宋体" w:eastAsia="宋体"/>
                <w:sz w:val="16"/>
              </w:rPr>
              <w:t>83.00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8F3DF3">
            <w:pPr>
              <w:jc w:val="center"/>
            </w:pPr>
            <w:r>
              <w:rPr>
                <w:rFonts w:ascii="宋体" w:hAnsi="宋体" w:eastAsia="宋体"/>
                <w:sz w:val="16"/>
              </w:rPr>
              <w:t>99.03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CF319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9980F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22B0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5D85E">
            <w:pPr>
              <w:jc w:val="center"/>
            </w:pPr>
            <w:r>
              <w:rPr>
                <w:rFonts w:ascii="宋体" w:hAnsi="宋体" w:eastAsia="宋体"/>
                <w:sz w:val="16"/>
              </w:rPr>
              <w:t>-</w:t>
            </w:r>
          </w:p>
        </w:tc>
      </w:tr>
      <w:tr w14:paraId="6091638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1FA1C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08126">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B93FBF">
            <w:pPr>
              <w:jc w:val="center"/>
            </w:pPr>
            <w:r>
              <w:rPr>
                <w:rFonts w:ascii="宋体" w:hAnsi="宋体" w:eastAsia="宋体"/>
                <w:sz w:val="16"/>
              </w:rPr>
              <w:t>280.38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ADD921">
            <w:pPr>
              <w:jc w:val="center"/>
            </w:pPr>
            <w:r>
              <w:rPr>
                <w:rFonts w:ascii="宋体" w:hAnsi="宋体" w:eastAsia="宋体"/>
                <w:sz w:val="16"/>
              </w:rPr>
              <w:t>313.24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A49044">
            <w:pPr>
              <w:jc w:val="center"/>
            </w:pPr>
            <w:r>
              <w:rPr>
                <w:rFonts w:ascii="宋体" w:hAnsi="宋体" w:eastAsia="宋体"/>
                <w:sz w:val="16"/>
              </w:rPr>
              <w:t>214.08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A434A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02E62">
            <w:pPr>
              <w:jc w:val="center"/>
            </w:pPr>
            <w:r>
              <w:rPr>
                <w:rFonts w:ascii="宋体" w:hAnsi="宋体" w:eastAsia="宋体"/>
                <w:sz w:val="16"/>
              </w:rPr>
              <w:t>68.34%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59B78">
            <w:pPr>
              <w:jc w:val="center"/>
            </w:pPr>
            <w:r>
              <w:rPr>
                <w:rFonts w:ascii="宋体" w:hAnsi="宋体" w:eastAsia="宋体"/>
                <w:sz w:val="16"/>
              </w:rPr>
              <w:t>6.83</w:t>
            </w:r>
          </w:p>
        </w:tc>
      </w:tr>
      <w:tr w14:paraId="17A0E59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42615E">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D6A4D0E">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C5C96E">
            <w:pPr>
              <w:jc w:val="center"/>
            </w:pPr>
            <w:r>
              <w:rPr>
                <w:rFonts w:ascii="宋体" w:hAnsi="宋体" w:eastAsia="宋体"/>
                <w:sz w:val="16"/>
              </w:rPr>
              <w:t>实际完成情况</w:t>
            </w:r>
          </w:p>
        </w:tc>
      </w:tr>
      <w:tr w14:paraId="74E73C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0232B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A792DF4">
            <w:pPr>
              <w:jc w:val="both"/>
            </w:pPr>
            <w:r>
              <w:rPr>
                <w:rFonts w:ascii="宋体" w:hAnsi="宋体" w:eastAsia="宋体"/>
                <w:sz w:val="16"/>
              </w:rPr>
              <w:t>负责侦办辖区内制售伪劣食品药品化妆品，假冒注册商标或专利，侵犯著作权，侵犯商业秘密，污染环境，破坏野生动植物资源，妨害动植物防疫检疫</w:t>
            </w:r>
            <w:bookmarkStart w:id="0" w:name="_GoBack"/>
            <w:r>
              <w:rPr>
                <w:rFonts w:hint="eastAsia" w:ascii="宋体" w:hAnsi="宋体"/>
                <w:sz w:val="16"/>
                <w:lang w:eastAsia="zh-CN"/>
              </w:rPr>
              <w:t>执法</w:t>
            </w:r>
            <w:bookmarkEnd w:id="0"/>
            <w:r>
              <w:rPr>
                <w:rFonts w:ascii="宋体" w:hAnsi="宋体" w:eastAsia="宋体"/>
                <w:sz w:val="16"/>
              </w:rPr>
              <w:t>或滥伐林木，非法占用农用地，非法采矿等违法犯罪案件。加强高风险药品生产企业监督检查，开展药品安全宣传活动，强化生态保护修复监管，依法依规开展不合格（问题）食品核查处置，达到公正执法、保护人民群众合法权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EDF9630">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全年预算数为313.24万元，全年执行数为214.08万元，总预算执行率为68.34%。2024年</w:t>
            </w:r>
            <w:r>
              <w:rPr>
                <w:rFonts w:hint="eastAsia" w:ascii="宋体" w:hAnsi="宋体"/>
                <w:sz w:val="16"/>
                <w:lang w:eastAsia="zh-CN"/>
              </w:rPr>
              <w:t>本单位</w:t>
            </w:r>
            <w:r>
              <w:rPr>
                <w:rFonts w:ascii="宋体" w:hAnsi="宋体" w:eastAsia="宋体"/>
                <w:sz w:val="16"/>
              </w:rPr>
              <w:t>完成以下工作内容：1.全年开展法律培训活动4期；2.发现案件线索和办理案件3次；3.开展食品药品快检培训1次；4.完成开展大型食药环领域专项行动2次；5.保护区巡逻次数50次；6.案件办结率100%。通过以上工作的实施，加强高风险药品生产企业监督检查，开展药品安全宣传活动，强化生态保护修复监管，依法依规开展不合格（问题）食品核查处置，达到公正执法、保护人民群众合法权益的效益。</w:t>
            </w:r>
          </w:p>
        </w:tc>
      </w:tr>
      <w:tr w14:paraId="6DBC3B7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048552">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CA40AA">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E03A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1DAD7">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5D5DD">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B7F527">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6BEB2C">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58BC80">
            <w:pPr>
              <w:jc w:val="center"/>
            </w:pPr>
            <w:r>
              <w:rPr>
                <w:rFonts w:ascii="宋体" w:hAnsi="宋体" w:eastAsia="宋体"/>
                <w:sz w:val="16"/>
              </w:rPr>
              <w:t>得分</w:t>
            </w:r>
          </w:p>
        </w:tc>
      </w:tr>
      <w:tr w14:paraId="6C69DA3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93C28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0D86A">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236C7">
            <w:pPr>
              <w:jc w:val="center"/>
            </w:pPr>
            <w:r>
              <w:rPr>
                <w:rFonts w:ascii="宋体" w:hAnsi="宋体" w:eastAsia="宋体"/>
                <w:sz w:val="16"/>
              </w:rPr>
              <w:t>全年开展法律培训活动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F8CAC">
            <w:pPr>
              <w:jc w:val="center"/>
            </w:pPr>
            <w:r>
              <w:rPr>
                <w:rFonts w:ascii="宋体" w:hAnsi="宋体" w:eastAsia="宋体"/>
                <w:sz w:val="16"/>
              </w:rPr>
              <w:t>=4期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75E9F">
            <w:pPr>
              <w:jc w:val="center"/>
            </w:pPr>
            <w:r>
              <w:rPr>
                <w:rFonts w:ascii="宋体" w:hAnsi="宋体" w:eastAsia="宋体"/>
                <w:sz w:val="16"/>
              </w:rPr>
              <w:t>2024年工作报告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6B58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C626AC">
            <w:pPr>
              <w:jc w:val="center"/>
            </w:pPr>
            <w:r>
              <w:rPr>
                <w:rFonts w:ascii="宋体" w:hAnsi="宋体" w:eastAsia="宋体"/>
                <w:sz w:val="16"/>
              </w:rPr>
              <w:t>4期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B98EC">
            <w:pPr>
              <w:jc w:val="center"/>
            </w:pPr>
            <w:r>
              <w:rPr>
                <w:rFonts w:ascii="宋体" w:hAnsi="宋体" w:eastAsia="宋体"/>
                <w:sz w:val="16"/>
              </w:rPr>
              <w:t>20</w:t>
            </w:r>
          </w:p>
        </w:tc>
      </w:tr>
      <w:tr w14:paraId="6F0C406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3FB845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0B133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62272">
            <w:pPr>
              <w:jc w:val="center"/>
            </w:pPr>
            <w:r>
              <w:rPr>
                <w:rFonts w:ascii="宋体" w:hAnsi="宋体" w:eastAsia="宋体"/>
                <w:sz w:val="16"/>
              </w:rPr>
              <w:t>发现案件线索和办理案件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80821B">
            <w:pPr>
              <w:jc w:val="center"/>
            </w:pPr>
            <w:r>
              <w:rPr>
                <w:rFonts w:ascii="宋体" w:hAnsi="宋体" w:eastAsia="宋体"/>
                <w:sz w:val="16"/>
              </w:rPr>
              <w:t>&gt;=3起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8A93FB">
            <w:pPr>
              <w:jc w:val="center"/>
            </w:pPr>
            <w:r>
              <w:rPr>
                <w:rFonts w:ascii="宋体" w:hAnsi="宋体" w:eastAsia="宋体"/>
                <w:sz w:val="16"/>
              </w:rPr>
              <w:t>2024年工作报告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71FC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77CD99">
            <w:pPr>
              <w:jc w:val="center"/>
            </w:pPr>
            <w:r>
              <w:rPr>
                <w:rFonts w:ascii="宋体" w:hAnsi="宋体" w:eastAsia="宋体"/>
                <w:sz w:val="16"/>
              </w:rPr>
              <w:t>5起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E5CAC">
            <w:pPr>
              <w:jc w:val="center"/>
            </w:pPr>
            <w:r>
              <w:rPr>
                <w:rFonts w:ascii="宋体" w:hAnsi="宋体" w:eastAsia="宋体"/>
                <w:sz w:val="16"/>
              </w:rPr>
              <w:t>20</w:t>
            </w:r>
          </w:p>
        </w:tc>
      </w:tr>
      <w:tr w14:paraId="3C38C2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7DB3BA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88745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08ABCF">
            <w:pPr>
              <w:jc w:val="center"/>
            </w:pPr>
            <w:r>
              <w:rPr>
                <w:rFonts w:ascii="宋体" w:hAnsi="宋体" w:eastAsia="宋体"/>
                <w:sz w:val="16"/>
              </w:rPr>
              <w:t>食品药品快检培训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024777">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892FB7">
            <w:pPr>
              <w:jc w:val="center"/>
            </w:pPr>
            <w:r>
              <w:rPr>
                <w:rFonts w:ascii="宋体" w:hAnsi="宋体" w:eastAsia="宋体"/>
                <w:sz w:val="16"/>
              </w:rPr>
              <w:t>2024年工作报告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0298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98EA0">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3919CD">
            <w:pPr>
              <w:jc w:val="center"/>
            </w:pPr>
            <w:r>
              <w:rPr>
                <w:rFonts w:ascii="宋体" w:hAnsi="宋体" w:eastAsia="宋体"/>
                <w:sz w:val="16"/>
              </w:rPr>
              <w:t>20</w:t>
            </w:r>
          </w:p>
        </w:tc>
      </w:tr>
      <w:tr w14:paraId="028FDA0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9E15B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F7AF9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255CE">
            <w:pPr>
              <w:jc w:val="center"/>
            </w:pPr>
            <w:r>
              <w:rPr>
                <w:rFonts w:ascii="宋体" w:hAnsi="宋体" w:eastAsia="宋体"/>
                <w:sz w:val="16"/>
              </w:rPr>
              <w:t>完成开展大型食药环领域专项行动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24D5F">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99C8B5">
            <w:pPr>
              <w:jc w:val="center"/>
            </w:pPr>
            <w:r>
              <w:rPr>
                <w:rFonts w:ascii="宋体" w:hAnsi="宋体" w:eastAsia="宋体"/>
                <w:sz w:val="16"/>
              </w:rPr>
              <w:t>2024年工作报告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88FE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A472D">
            <w:pPr>
              <w:jc w:val="center"/>
            </w:pPr>
            <w:r>
              <w:rPr>
                <w:rFonts w:ascii="宋体" w:hAnsi="宋体" w:eastAsia="宋体"/>
                <w:sz w:val="16"/>
              </w:rPr>
              <w: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FFBEE">
            <w:pPr>
              <w:jc w:val="center"/>
            </w:pPr>
            <w:r>
              <w:rPr>
                <w:rFonts w:ascii="宋体" w:hAnsi="宋体" w:eastAsia="宋体"/>
                <w:sz w:val="16"/>
              </w:rPr>
              <w:t>10</w:t>
            </w:r>
          </w:p>
        </w:tc>
      </w:tr>
      <w:tr w14:paraId="1A31DB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64FC2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1405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FF389">
            <w:pPr>
              <w:jc w:val="center"/>
            </w:pPr>
            <w:r>
              <w:rPr>
                <w:rFonts w:ascii="宋体" w:hAnsi="宋体" w:eastAsia="宋体"/>
                <w:sz w:val="16"/>
              </w:rPr>
              <w:t>保护区巡逻次数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572A6">
            <w:pPr>
              <w:jc w:val="center"/>
            </w:pPr>
            <w:r>
              <w:rPr>
                <w:rFonts w:ascii="宋体" w:hAnsi="宋体" w:eastAsia="宋体"/>
                <w:sz w:val="16"/>
              </w:rPr>
              <w:t>&gt;=50次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09000">
            <w:pPr>
              <w:jc w:val="center"/>
            </w:pPr>
            <w:r>
              <w:rPr>
                <w:rFonts w:ascii="宋体" w:hAnsi="宋体" w:eastAsia="宋体"/>
                <w:sz w:val="16"/>
              </w:rPr>
              <w:t>2024年工作报告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EAA2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41073">
            <w:pPr>
              <w:jc w:val="center"/>
            </w:pPr>
            <w:r>
              <w:rPr>
                <w:rFonts w:ascii="宋体" w:hAnsi="宋体" w:eastAsia="宋体"/>
                <w:sz w:val="16"/>
              </w:rPr>
              <w:t>70次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423C75">
            <w:pPr>
              <w:jc w:val="center"/>
            </w:pPr>
            <w:r>
              <w:rPr>
                <w:rFonts w:ascii="宋体" w:hAnsi="宋体" w:eastAsia="宋体"/>
                <w:sz w:val="16"/>
              </w:rPr>
              <w:t>10</w:t>
            </w:r>
          </w:p>
        </w:tc>
      </w:tr>
      <w:tr w14:paraId="5A070D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A0544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23855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454F0">
            <w:pPr>
              <w:jc w:val="center"/>
            </w:pPr>
            <w:r>
              <w:rPr>
                <w:rFonts w:ascii="宋体" w:hAnsi="宋体" w:eastAsia="宋体"/>
                <w:sz w:val="16"/>
              </w:rPr>
              <w:t>案件办结率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9BC6DA">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EEB4E">
            <w:pPr>
              <w:jc w:val="center"/>
            </w:pPr>
            <w:r>
              <w:rPr>
                <w:rFonts w:ascii="宋体" w:hAnsi="宋体" w:eastAsia="宋体"/>
                <w:sz w:val="16"/>
              </w:rPr>
              <w:t>2024年工作报告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147E8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0F9E7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70944">
            <w:pPr>
              <w:jc w:val="center"/>
            </w:pPr>
            <w:r>
              <w:rPr>
                <w:rFonts w:ascii="宋体" w:hAnsi="宋体" w:eastAsia="宋体"/>
                <w:sz w:val="16"/>
              </w:rPr>
              <w:t>10</w:t>
            </w:r>
          </w:p>
        </w:tc>
      </w:tr>
    </w:tbl>
    <w:p w14:paraId="5F9BB3F7">
      <w:r>
        <w:br w:type="page"/>
      </w:r>
    </w:p>
    <w:p w14:paraId="2627B4E1">
      <w:pPr>
        <w:spacing w:line="640" w:lineRule="exact"/>
        <w:ind w:firstLine="640"/>
        <w:jc w:val="both"/>
        <w:outlineLvl w:val="2"/>
      </w:pPr>
      <w:r>
        <w:rPr>
          <w:rFonts w:ascii="黑体" w:hAnsi="黑体" w:eastAsia="黑体"/>
          <w:sz w:val="32"/>
        </w:rPr>
        <w:t>十二、其他需说明的事项</w:t>
      </w:r>
    </w:p>
    <w:p w14:paraId="536F82EF">
      <w:pPr>
        <w:spacing w:line="580" w:lineRule="exact"/>
        <w:ind w:firstLine="640"/>
        <w:jc w:val="both"/>
      </w:pPr>
      <w:r>
        <w:rPr>
          <w:rFonts w:ascii="仿宋_GB2312" w:hAnsi="仿宋_GB2312" w:eastAsia="仿宋_GB2312"/>
          <w:b w:val="0"/>
          <w:sz w:val="32"/>
        </w:rPr>
        <w:t>本年本单位不予公开项目1个，全年预算数0.89万元，全年执行数0.89万元。</w:t>
      </w:r>
    </w:p>
    <w:p w14:paraId="52E25843">
      <w:r>
        <w:br w:type="page"/>
      </w:r>
    </w:p>
    <w:p w14:paraId="5ADCA70C">
      <w:pPr>
        <w:spacing w:line="240" w:lineRule="auto"/>
        <w:jc w:val="center"/>
        <w:outlineLvl w:val="1"/>
      </w:pPr>
      <w:r>
        <w:rPr>
          <w:rFonts w:ascii="黑体" w:hAnsi="黑体" w:eastAsia="黑体"/>
          <w:sz w:val="32"/>
        </w:rPr>
        <w:t>第三部分 专业名词解释</w:t>
      </w:r>
    </w:p>
    <w:p w14:paraId="5BFCE21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D62E66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66A153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026F20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03B3DF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ABF962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990C20F">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70C893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0A0BF8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77A7DC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A90FB84">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C867A2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1B80EC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23D2469">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3EDF6BF">
      <w:r>
        <w:br w:type="page"/>
      </w:r>
    </w:p>
    <w:p w14:paraId="013478A5">
      <w:pPr>
        <w:spacing w:line="240" w:lineRule="auto"/>
        <w:jc w:val="center"/>
        <w:outlineLvl w:val="1"/>
      </w:pPr>
      <w:r>
        <w:rPr>
          <w:rFonts w:ascii="黑体" w:hAnsi="黑体" w:eastAsia="黑体"/>
          <w:sz w:val="32"/>
        </w:rPr>
        <w:t>第四部分 部门决算报表（见附表）</w:t>
      </w:r>
    </w:p>
    <w:p w14:paraId="0ED6A5F7">
      <w:pPr>
        <w:spacing w:line="240" w:lineRule="auto"/>
        <w:ind w:firstLine="640"/>
        <w:jc w:val="both"/>
      </w:pPr>
      <w:r>
        <w:rPr>
          <w:rFonts w:ascii="仿宋_GB2312" w:hAnsi="仿宋_GB2312" w:eastAsia="仿宋_GB2312"/>
          <w:b w:val="0"/>
          <w:sz w:val="32"/>
        </w:rPr>
        <w:t>一、《收入支出决算总表》</w:t>
      </w:r>
    </w:p>
    <w:p w14:paraId="18EA2F70">
      <w:pPr>
        <w:spacing w:line="240" w:lineRule="auto"/>
        <w:ind w:firstLine="640"/>
        <w:jc w:val="both"/>
      </w:pPr>
      <w:r>
        <w:rPr>
          <w:rFonts w:ascii="仿宋_GB2312" w:hAnsi="仿宋_GB2312" w:eastAsia="仿宋_GB2312"/>
          <w:b w:val="0"/>
          <w:sz w:val="32"/>
        </w:rPr>
        <w:t>二、《收入决算表》</w:t>
      </w:r>
    </w:p>
    <w:p w14:paraId="5FDA4499">
      <w:pPr>
        <w:spacing w:line="240" w:lineRule="auto"/>
        <w:ind w:firstLine="640"/>
        <w:jc w:val="both"/>
      </w:pPr>
      <w:r>
        <w:rPr>
          <w:rFonts w:ascii="仿宋_GB2312" w:hAnsi="仿宋_GB2312" w:eastAsia="仿宋_GB2312"/>
          <w:b w:val="0"/>
          <w:sz w:val="32"/>
        </w:rPr>
        <w:t>三、《支出决算表》</w:t>
      </w:r>
    </w:p>
    <w:p w14:paraId="453D6450">
      <w:pPr>
        <w:spacing w:line="240" w:lineRule="auto"/>
        <w:ind w:firstLine="640"/>
        <w:jc w:val="both"/>
      </w:pPr>
      <w:r>
        <w:rPr>
          <w:rFonts w:ascii="仿宋_GB2312" w:hAnsi="仿宋_GB2312" w:eastAsia="仿宋_GB2312"/>
          <w:b w:val="0"/>
          <w:sz w:val="32"/>
        </w:rPr>
        <w:t>四、《财政拨款收入支出决算总表》</w:t>
      </w:r>
    </w:p>
    <w:p w14:paraId="6A634B17">
      <w:pPr>
        <w:spacing w:line="240" w:lineRule="auto"/>
        <w:ind w:firstLine="640"/>
        <w:jc w:val="both"/>
      </w:pPr>
      <w:r>
        <w:rPr>
          <w:rFonts w:ascii="仿宋_GB2312" w:hAnsi="仿宋_GB2312" w:eastAsia="仿宋_GB2312"/>
          <w:b w:val="0"/>
          <w:sz w:val="32"/>
        </w:rPr>
        <w:t>五、《一般公共预算财政拨款支出决算表》</w:t>
      </w:r>
    </w:p>
    <w:p w14:paraId="7B18978B">
      <w:pPr>
        <w:spacing w:line="240" w:lineRule="auto"/>
        <w:ind w:firstLine="640"/>
        <w:jc w:val="both"/>
      </w:pPr>
      <w:r>
        <w:rPr>
          <w:rFonts w:ascii="仿宋_GB2312" w:hAnsi="仿宋_GB2312" w:eastAsia="仿宋_GB2312"/>
          <w:b w:val="0"/>
          <w:sz w:val="32"/>
        </w:rPr>
        <w:t>六、《一般公共预算财政拨款基本支出决算表》</w:t>
      </w:r>
    </w:p>
    <w:p w14:paraId="3CE57B1E">
      <w:pPr>
        <w:spacing w:line="240" w:lineRule="auto"/>
        <w:ind w:firstLine="640"/>
        <w:jc w:val="both"/>
      </w:pPr>
      <w:r>
        <w:rPr>
          <w:rFonts w:ascii="仿宋_GB2312" w:hAnsi="仿宋_GB2312" w:eastAsia="仿宋_GB2312"/>
          <w:b w:val="0"/>
          <w:sz w:val="32"/>
        </w:rPr>
        <w:t>七、《政府性基金预算财政拨款收入支出决算表》</w:t>
      </w:r>
    </w:p>
    <w:p w14:paraId="6AAEABF1">
      <w:pPr>
        <w:spacing w:line="240" w:lineRule="auto"/>
        <w:ind w:firstLine="640"/>
        <w:jc w:val="both"/>
      </w:pPr>
      <w:r>
        <w:rPr>
          <w:rFonts w:ascii="仿宋_GB2312" w:hAnsi="仿宋_GB2312" w:eastAsia="仿宋_GB2312"/>
          <w:b w:val="0"/>
          <w:sz w:val="32"/>
        </w:rPr>
        <w:t>八、《国有资本经营预算财政拨款收入支出决算表》</w:t>
      </w:r>
    </w:p>
    <w:p w14:paraId="2C00E5AB">
      <w:pPr>
        <w:spacing w:line="240" w:lineRule="auto"/>
        <w:ind w:firstLine="640"/>
        <w:jc w:val="both"/>
      </w:pPr>
      <w:r>
        <w:rPr>
          <w:rFonts w:ascii="仿宋_GB2312" w:hAnsi="仿宋_GB2312" w:eastAsia="仿宋_GB2312"/>
          <w:b w:val="0"/>
          <w:sz w:val="32"/>
        </w:rPr>
        <w:t>九、《财政拨款“三公”经费支出决算表》</w:t>
      </w:r>
    </w:p>
    <w:p w14:paraId="031E0F6D">
      <w:pPr>
        <w:spacing w:line="240" w:lineRule="auto"/>
        <w:ind w:firstLine="640"/>
        <w:jc w:val="both"/>
      </w:pPr>
    </w:p>
    <w:p w14:paraId="5BF50ED1">
      <w:pPr>
        <w:spacing w:line="240" w:lineRule="auto"/>
        <w:ind w:firstLine="640"/>
        <w:jc w:val="both"/>
      </w:pPr>
    </w:p>
    <w:p w14:paraId="032C28D9">
      <w:pPr>
        <w:spacing w:line="240" w:lineRule="auto"/>
        <w:ind w:firstLine="640"/>
        <w:jc w:val="both"/>
      </w:pPr>
    </w:p>
    <w:p w14:paraId="653FF227">
      <w:pPr>
        <w:spacing w:line="240" w:lineRule="auto"/>
        <w:ind w:firstLine="640"/>
        <w:jc w:val="both"/>
      </w:pPr>
    </w:p>
    <w:p w14:paraId="566D756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014C78"/>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4770</Words>
  <Characters>5422</Characters>
  <Lines>0</Lines>
  <Paragraphs>0</Paragraphs>
  <TotalTime>1</TotalTime>
  <ScaleCrop>false</ScaleCrop>
  <LinksUpToDate>false</LinksUpToDate>
  <CharactersWithSpaces>5430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2025-10-14T08:12:13Z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eyJoZGlkIjoiOGQ0ZWIyZDA4MGU4OTg1MzhmNDY5YTA0MWQ2OWM3ZjEiLCJ1c2VySWQiOiIyMDM3MTI1NTkifQ==</vt:lpwstr>
  </property>
</Properties>
</file>