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昌吉回族自治州公安局2024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B3BCE56">
      <w:r>
        <w:br w:type="page"/>
      </w:r>
    </w:p>
    <w:p w14:paraId="3981BDB8">
      <w:pPr>
        <w:spacing w:line="640" w:lineRule="exact"/>
        <w:jc w:val="center"/>
        <w:outlineLvl w:val="1"/>
      </w:pPr>
      <w:r>
        <w:rPr>
          <w:rFonts w:ascii="黑体" w:hAnsi="黑体" w:eastAsia="黑体"/>
          <w:sz w:val="32"/>
        </w:rPr>
        <w:t>第一部分 单位概况</w:t>
      </w:r>
    </w:p>
    <w:p w14:paraId="4E20E4FD">
      <w:pPr>
        <w:spacing w:line="640" w:lineRule="exact"/>
        <w:ind w:firstLine="640"/>
        <w:jc w:val="both"/>
        <w:outlineLvl w:val="2"/>
      </w:pPr>
      <w:r>
        <w:rPr>
          <w:rFonts w:ascii="黑体" w:hAnsi="黑体" w:eastAsia="黑体"/>
          <w:sz w:val="32"/>
        </w:rPr>
        <w:t>一、主要职能</w:t>
      </w:r>
    </w:p>
    <w:p w14:paraId="24BCB9B2">
      <w:pPr>
        <w:spacing w:line="580" w:lineRule="exact"/>
        <w:ind w:firstLine="640"/>
        <w:jc w:val="both"/>
      </w:pPr>
      <w:r>
        <w:rPr>
          <w:rFonts w:ascii="仿宋_GB2312" w:hAnsi="仿宋_GB2312" w:eastAsia="仿宋_GB2312"/>
          <w:sz w:val="32"/>
        </w:rPr>
        <w:t>昌吉州公安局主要职责是贯彻执行国家、自治区以及公安部制定的公安工作路线、方针、政策、法规、规章，贯彻落实自治州党委、政府及自治区公安厅有关公安工作的决定、决议及指示，部署自治州公安工作；掌握影响稳定、危害国内和社会治安的情况，分析形势，制定对策；组织指导参与国家危害国家</w:t>
      </w:r>
      <w:r>
        <w:rPr>
          <w:rFonts w:hint="eastAsia" w:ascii="仿宋_GB2312" w:hAnsi="仿宋_GB2312" w:eastAsia="仿宋_GB2312"/>
          <w:sz w:val="32"/>
          <w:lang w:eastAsia="zh-CN"/>
        </w:rPr>
        <w:t>安全</w:t>
      </w:r>
      <w:r>
        <w:rPr>
          <w:rFonts w:ascii="仿宋_GB2312" w:hAnsi="仿宋_GB2312" w:eastAsia="仿宋_GB2312"/>
          <w:sz w:val="32"/>
        </w:rPr>
        <w:t>案件的侦查工作，对境内参与重大刑事案件，经济案件和缉毒等工作。</w:t>
      </w:r>
    </w:p>
    <w:p w14:paraId="2F2A07EA">
      <w:pPr>
        <w:spacing w:line="640" w:lineRule="exact"/>
        <w:ind w:firstLine="640"/>
        <w:jc w:val="both"/>
        <w:outlineLvl w:val="2"/>
      </w:pPr>
      <w:r>
        <w:rPr>
          <w:rFonts w:ascii="黑体" w:hAnsi="黑体" w:eastAsia="黑体"/>
          <w:sz w:val="32"/>
        </w:rPr>
        <w:t>二、机构设置及人员情况</w:t>
      </w:r>
      <w:bookmarkStart w:id="0" w:name="_GoBack"/>
      <w:bookmarkEnd w:id="0"/>
    </w:p>
    <w:p w14:paraId="343A5A8D">
      <w:pPr>
        <w:spacing w:line="580" w:lineRule="exact"/>
        <w:ind w:firstLine="640"/>
        <w:jc w:val="both"/>
      </w:pPr>
      <w:r>
        <w:rPr>
          <w:rFonts w:ascii="仿宋_GB2312" w:hAnsi="仿宋_GB2312" w:eastAsia="仿宋_GB2312"/>
          <w:sz w:val="32"/>
        </w:rPr>
        <w:t>本单位机构设置及人员情况不予公开。</w:t>
      </w:r>
    </w:p>
    <w:p w14:paraId="47C23DFC">
      <w:r>
        <w:br w:type="page"/>
      </w:r>
    </w:p>
    <w:p w14:paraId="31F5AAC6">
      <w:pPr>
        <w:spacing w:line="240" w:lineRule="auto"/>
        <w:jc w:val="center"/>
        <w:outlineLvl w:val="1"/>
      </w:pPr>
      <w:r>
        <w:rPr>
          <w:rFonts w:ascii="黑体" w:hAnsi="黑体" w:eastAsia="黑体"/>
          <w:sz w:val="32"/>
        </w:rPr>
        <w:t>第二部分 部门决算情况说明</w:t>
      </w:r>
    </w:p>
    <w:p w14:paraId="439A88E3">
      <w:pPr>
        <w:spacing w:line="640" w:lineRule="exact"/>
        <w:ind w:firstLine="640"/>
        <w:jc w:val="both"/>
        <w:outlineLvl w:val="2"/>
      </w:pPr>
      <w:r>
        <w:rPr>
          <w:rFonts w:ascii="黑体" w:hAnsi="黑体" w:eastAsia="黑体"/>
          <w:sz w:val="32"/>
        </w:rPr>
        <w:t>一、收入支出决算总体情况说明</w:t>
      </w:r>
    </w:p>
    <w:p w14:paraId="70419E68">
      <w:pPr>
        <w:spacing w:line="580" w:lineRule="exact"/>
        <w:ind w:firstLine="640"/>
        <w:jc w:val="both"/>
      </w:pPr>
      <w:r>
        <w:rPr>
          <w:rFonts w:ascii="仿宋_GB2312" w:hAnsi="仿宋_GB2312" w:eastAsia="仿宋_GB2312"/>
          <w:b/>
          <w:sz w:val="32"/>
        </w:rPr>
        <w:t>2024年度收入总计16,040.59万元，</w:t>
      </w:r>
      <w:r>
        <w:rPr>
          <w:rFonts w:ascii="仿宋_GB2312" w:hAnsi="仿宋_GB2312" w:eastAsia="仿宋_GB2312"/>
          <w:b w:val="0"/>
          <w:sz w:val="32"/>
        </w:rPr>
        <w:t>其中：本年收入合计15,750.76万元，使用非财政拨款结余（含专用结余）0.00万元，年初结转和结余289.84万元。</w:t>
      </w:r>
    </w:p>
    <w:p w14:paraId="5B7C79D8">
      <w:pPr>
        <w:spacing w:line="580" w:lineRule="exact"/>
        <w:ind w:firstLine="640"/>
        <w:jc w:val="both"/>
      </w:pPr>
      <w:r>
        <w:rPr>
          <w:rFonts w:ascii="仿宋_GB2312" w:hAnsi="仿宋_GB2312" w:eastAsia="仿宋_GB2312"/>
          <w:b/>
          <w:sz w:val="32"/>
        </w:rPr>
        <w:t>2024年度支出总计16,040.59万元，</w:t>
      </w:r>
      <w:r>
        <w:rPr>
          <w:rFonts w:ascii="仿宋_GB2312" w:hAnsi="仿宋_GB2312" w:eastAsia="仿宋_GB2312"/>
          <w:b w:val="0"/>
          <w:sz w:val="32"/>
        </w:rPr>
        <w:t>其中：本年支出合计15,748.74万元，结余分配0.00万元，年末结转和结余291.85万元。</w:t>
      </w:r>
    </w:p>
    <w:p w14:paraId="5F867E5B">
      <w:pPr>
        <w:spacing w:line="580" w:lineRule="exact"/>
        <w:ind w:firstLine="640"/>
        <w:jc w:val="both"/>
      </w:pPr>
      <w:r>
        <w:rPr>
          <w:rFonts w:ascii="仿宋_GB2312" w:hAnsi="仿宋_GB2312" w:eastAsia="仿宋_GB2312"/>
          <w:b w:val="0"/>
          <w:sz w:val="32"/>
        </w:rPr>
        <w:t>收入支出总体与上年相比，减少6,213.10万元，下降27.92%，主要原因是：本年减少专项项目资金。</w:t>
      </w:r>
    </w:p>
    <w:p w14:paraId="212128DA">
      <w:pPr>
        <w:spacing w:line="640" w:lineRule="exact"/>
        <w:ind w:firstLine="640"/>
        <w:jc w:val="both"/>
        <w:outlineLvl w:val="2"/>
      </w:pPr>
      <w:r>
        <w:rPr>
          <w:rFonts w:ascii="黑体" w:hAnsi="黑体" w:eastAsia="黑体"/>
          <w:sz w:val="32"/>
        </w:rPr>
        <w:t>二、收入决算情况说明</w:t>
      </w:r>
    </w:p>
    <w:p w14:paraId="313D2663">
      <w:pPr>
        <w:spacing w:line="580" w:lineRule="exact"/>
        <w:ind w:firstLine="640"/>
        <w:jc w:val="both"/>
      </w:pPr>
      <w:r>
        <w:rPr>
          <w:rFonts w:ascii="仿宋_GB2312" w:hAnsi="仿宋_GB2312" w:eastAsia="仿宋_GB2312"/>
          <w:b/>
          <w:sz w:val="32"/>
        </w:rPr>
        <w:t>本年收入15,750.76万元，</w:t>
      </w:r>
      <w:r>
        <w:rPr>
          <w:rFonts w:ascii="仿宋_GB2312" w:hAnsi="仿宋_GB2312" w:eastAsia="仿宋_GB2312"/>
          <w:b w:val="0"/>
          <w:sz w:val="32"/>
        </w:rPr>
        <w:t>其中：财政拨款收入15,424.48万元，占97.93%；上级补助收入0.00万元，占0.00%；事业收入0.00万元，占0.00%；经营收入0.00万元，占0.00%；附属单位上缴收入0.00万元，占0.00%；其他收入326.28万元，占2.07%。</w:t>
      </w:r>
    </w:p>
    <w:p w14:paraId="6081EE27">
      <w:pPr>
        <w:spacing w:line="640" w:lineRule="exact"/>
        <w:ind w:firstLine="640"/>
        <w:jc w:val="both"/>
        <w:outlineLvl w:val="2"/>
      </w:pPr>
      <w:r>
        <w:rPr>
          <w:rFonts w:ascii="黑体" w:hAnsi="黑体" w:eastAsia="黑体"/>
          <w:sz w:val="32"/>
        </w:rPr>
        <w:t>三、支出决算情况说明</w:t>
      </w:r>
    </w:p>
    <w:p w14:paraId="0902CAF8">
      <w:pPr>
        <w:spacing w:line="580" w:lineRule="exact"/>
        <w:ind w:firstLine="640"/>
        <w:jc w:val="both"/>
      </w:pPr>
      <w:r>
        <w:rPr>
          <w:rFonts w:ascii="仿宋_GB2312" w:hAnsi="仿宋_GB2312" w:eastAsia="仿宋_GB2312"/>
          <w:b/>
          <w:sz w:val="32"/>
        </w:rPr>
        <w:t>本年支出15,748.74万元，</w:t>
      </w:r>
      <w:r>
        <w:rPr>
          <w:rFonts w:ascii="仿宋_GB2312" w:hAnsi="仿宋_GB2312" w:eastAsia="仿宋_GB2312"/>
          <w:b w:val="0"/>
          <w:sz w:val="32"/>
        </w:rPr>
        <w:t>其中：基本支出8,536.90万元，占54.21%；项目支出7,211.84万元，占45.79%；上缴上级支出0.00万元，占0.00%；经营支出0.00万元，占0.00%；对附属单位补助支出0.00万元，占0.00%。</w:t>
      </w:r>
    </w:p>
    <w:p w14:paraId="098E8541">
      <w:pPr>
        <w:spacing w:line="640" w:lineRule="exact"/>
        <w:ind w:firstLine="640"/>
        <w:jc w:val="both"/>
        <w:outlineLvl w:val="2"/>
      </w:pPr>
      <w:r>
        <w:rPr>
          <w:rFonts w:ascii="黑体" w:hAnsi="黑体" w:eastAsia="黑体"/>
          <w:sz w:val="32"/>
        </w:rPr>
        <w:t>四、财政拨款收入支出决算总体情况说明</w:t>
      </w:r>
    </w:p>
    <w:p w14:paraId="0BC190DD">
      <w:pPr>
        <w:spacing w:line="580" w:lineRule="exact"/>
        <w:ind w:firstLine="640"/>
        <w:jc w:val="both"/>
      </w:pPr>
      <w:r>
        <w:rPr>
          <w:rFonts w:ascii="仿宋_GB2312" w:hAnsi="仿宋_GB2312" w:eastAsia="仿宋_GB2312"/>
          <w:b/>
          <w:sz w:val="32"/>
        </w:rPr>
        <w:t>2024年度财政拨款收入总计15,424.48万元，</w:t>
      </w:r>
      <w:r>
        <w:rPr>
          <w:rFonts w:ascii="仿宋_GB2312" w:hAnsi="仿宋_GB2312" w:eastAsia="仿宋_GB2312"/>
          <w:b w:val="0"/>
          <w:sz w:val="32"/>
        </w:rPr>
        <w:t>其中：年初财政拨款结转和结余0.00万元，本年财政拨款收入15,424.48万元。</w:t>
      </w:r>
      <w:r>
        <w:rPr>
          <w:rFonts w:ascii="仿宋_GB2312" w:hAnsi="仿宋_GB2312" w:eastAsia="仿宋_GB2312"/>
          <w:b/>
          <w:sz w:val="32"/>
        </w:rPr>
        <w:t>财政拨款支出总计15,424.48万元，</w:t>
      </w:r>
      <w:r>
        <w:rPr>
          <w:rFonts w:ascii="仿宋_GB2312" w:hAnsi="仿宋_GB2312" w:eastAsia="仿宋_GB2312"/>
          <w:b w:val="0"/>
          <w:sz w:val="32"/>
        </w:rPr>
        <w:t>其中：年末财政拨款结转和结余0.00万元，本年财政拨款支出15,424.48万元。</w:t>
      </w:r>
    </w:p>
    <w:p w14:paraId="66A4882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减少6,269.28万元，下降28.90%，主要原因是：本年减少专项项目资金。</w:t>
      </w:r>
      <w:r>
        <w:rPr>
          <w:rFonts w:ascii="仿宋_GB2312" w:hAnsi="仿宋_GB2312" w:eastAsia="仿宋_GB2312"/>
          <w:b/>
          <w:sz w:val="32"/>
        </w:rPr>
        <w:t>与年初预算相比，</w:t>
      </w:r>
      <w:r>
        <w:rPr>
          <w:rFonts w:ascii="仿宋_GB2312" w:hAnsi="仿宋_GB2312" w:eastAsia="仿宋_GB2312"/>
          <w:b w:val="0"/>
          <w:sz w:val="32"/>
        </w:rPr>
        <w:t>年初预算数12,884.32万元，决算数15,424.48万元，预决算差异率19.72%，主要原因是：年中追加人员工资、社保、公积金基数调增部分资金及中央转移支付资金等，导致预决算存在差异。</w:t>
      </w:r>
    </w:p>
    <w:p w14:paraId="6FB25FE1">
      <w:pPr>
        <w:spacing w:line="640" w:lineRule="exact"/>
        <w:ind w:firstLine="640"/>
        <w:jc w:val="both"/>
        <w:outlineLvl w:val="2"/>
      </w:pPr>
      <w:r>
        <w:rPr>
          <w:rFonts w:ascii="黑体" w:hAnsi="黑体" w:eastAsia="黑体"/>
          <w:sz w:val="32"/>
        </w:rPr>
        <w:t>五、一般公共预算财政拨款支出决算情况说明</w:t>
      </w:r>
    </w:p>
    <w:p w14:paraId="20F598BA">
      <w:pPr>
        <w:spacing w:line="640" w:lineRule="exact"/>
        <w:ind w:firstLine="640"/>
        <w:jc w:val="both"/>
        <w:outlineLvl w:val="3"/>
      </w:pPr>
      <w:r>
        <w:rPr>
          <w:rFonts w:ascii="楷体_GB2312" w:hAnsi="楷体_GB2312" w:eastAsia="楷体_GB2312"/>
          <w:b/>
          <w:sz w:val="32"/>
        </w:rPr>
        <w:t>（一）一般公共预算财政拨款支出决算总体情况</w:t>
      </w:r>
    </w:p>
    <w:p w14:paraId="69D6C447">
      <w:pPr>
        <w:spacing w:line="580" w:lineRule="exact"/>
        <w:ind w:firstLine="640"/>
        <w:jc w:val="both"/>
      </w:pPr>
      <w:r>
        <w:rPr>
          <w:rFonts w:ascii="仿宋_GB2312" w:hAnsi="仿宋_GB2312" w:eastAsia="仿宋_GB2312"/>
          <w:b/>
          <w:sz w:val="32"/>
        </w:rPr>
        <w:t>2024年度一般公共预算财政拨款支出15,424.48万元，</w:t>
      </w:r>
      <w:r>
        <w:rPr>
          <w:rFonts w:ascii="仿宋_GB2312" w:hAnsi="仿宋_GB2312" w:eastAsia="仿宋_GB2312"/>
          <w:b w:val="0"/>
          <w:sz w:val="32"/>
        </w:rPr>
        <w:t>占本年支出合计的97.94%。</w:t>
      </w:r>
      <w:r>
        <w:rPr>
          <w:rFonts w:ascii="仿宋_GB2312" w:hAnsi="仿宋_GB2312" w:eastAsia="仿宋_GB2312"/>
          <w:b/>
          <w:sz w:val="32"/>
        </w:rPr>
        <w:t>与上年相比，</w:t>
      </w:r>
      <w:r>
        <w:rPr>
          <w:rFonts w:ascii="仿宋_GB2312" w:hAnsi="仿宋_GB2312" w:eastAsia="仿宋_GB2312"/>
          <w:b w:val="0"/>
          <w:sz w:val="32"/>
        </w:rPr>
        <w:t>减少6,269.28万元，下降28.90%，主要原因是：本年减少专项项目资金。</w:t>
      </w:r>
      <w:r>
        <w:rPr>
          <w:rFonts w:ascii="仿宋_GB2312" w:hAnsi="仿宋_GB2312" w:eastAsia="仿宋_GB2312"/>
          <w:b/>
          <w:sz w:val="32"/>
        </w:rPr>
        <w:t>与年初预算相比,</w:t>
      </w:r>
      <w:r>
        <w:rPr>
          <w:rFonts w:ascii="仿宋_GB2312" w:hAnsi="仿宋_GB2312" w:eastAsia="仿宋_GB2312"/>
          <w:b w:val="0"/>
          <w:sz w:val="32"/>
        </w:rPr>
        <w:t>年初预算数12,884.32万元，决算数15,424.48万元，预决算差异率19.72%，主要原因是：年中追加人员工资、社保、公积金基数调增部分资金及中央转移支付资金等，导致预决算存在差异。</w:t>
      </w:r>
    </w:p>
    <w:p w14:paraId="69AF54A2">
      <w:pPr>
        <w:spacing w:line="640" w:lineRule="exact"/>
        <w:ind w:firstLine="640"/>
        <w:jc w:val="both"/>
        <w:outlineLvl w:val="3"/>
      </w:pPr>
      <w:r>
        <w:rPr>
          <w:rFonts w:ascii="楷体_GB2312" w:hAnsi="楷体_GB2312" w:eastAsia="楷体_GB2312"/>
          <w:b/>
          <w:sz w:val="32"/>
        </w:rPr>
        <w:t>（二）一般公共预算财政拨款支出决算结构情况</w:t>
      </w:r>
    </w:p>
    <w:p w14:paraId="1BDC1CB2">
      <w:pPr>
        <w:spacing w:line="580" w:lineRule="exact"/>
        <w:ind w:firstLine="640"/>
        <w:jc w:val="both"/>
      </w:pPr>
      <w:r>
        <w:rPr>
          <w:rFonts w:ascii="仿宋_GB2312" w:hAnsi="仿宋_GB2312" w:eastAsia="仿宋_GB2312"/>
          <w:b w:val="0"/>
          <w:sz w:val="32"/>
        </w:rPr>
        <w:t>1.一般公共服务支出(类)25.00万元,占0.16%。</w:t>
      </w:r>
    </w:p>
    <w:p w14:paraId="65C35658">
      <w:pPr>
        <w:spacing w:line="580" w:lineRule="exact"/>
        <w:ind w:firstLine="640"/>
        <w:jc w:val="both"/>
      </w:pPr>
      <w:r>
        <w:rPr>
          <w:rFonts w:ascii="仿宋_GB2312" w:hAnsi="仿宋_GB2312" w:eastAsia="仿宋_GB2312"/>
          <w:b w:val="0"/>
          <w:sz w:val="32"/>
        </w:rPr>
        <w:t>2.公共安全支出(类)13,397.69万元,占86.86%。</w:t>
      </w:r>
    </w:p>
    <w:p w14:paraId="47613687">
      <w:pPr>
        <w:spacing w:line="580" w:lineRule="exact"/>
        <w:ind w:firstLine="640"/>
        <w:jc w:val="both"/>
      </w:pPr>
      <w:r>
        <w:rPr>
          <w:rFonts w:ascii="仿宋_GB2312" w:hAnsi="仿宋_GB2312" w:eastAsia="仿宋_GB2312"/>
          <w:b w:val="0"/>
          <w:sz w:val="32"/>
        </w:rPr>
        <w:t>3.社会保障和就业支出(类)1,129.52万元,占7.32%。</w:t>
      </w:r>
    </w:p>
    <w:p w14:paraId="30F79A3D">
      <w:pPr>
        <w:spacing w:line="580" w:lineRule="exact"/>
        <w:ind w:firstLine="640"/>
        <w:jc w:val="both"/>
      </w:pPr>
      <w:r>
        <w:rPr>
          <w:rFonts w:ascii="仿宋_GB2312" w:hAnsi="仿宋_GB2312" w:eastAsia="仿宋_GB2312"/>
          <w:b w:val="0"/>
          <w:sz w:val="32"/>
        </w:rPr>
        <w:t>4.卫生健康支出(类)341.25万元,占2.21%。</w:t>
      </w:r>
    </w:p>
    <w:p w14:paraId="405A26A8">
      <w:pPr>
        <w:spacing w:line="580" w:lineRule="exact"/>
        <w:ind w:firstLine="640"/>
        <w:jc w:val="both"/>
      </w:pPr>
      <w:r>
        <w:rPr>
          <w:rFonts w:ascii="仿宋_GB2312" w:hAnsi="仿宋_GB2312" w:eastAsia="仿宋_GB2312"/>
          <w:b w:val="0"/>
          <w:sz w:val="32"/>
        </w:rPr>
        <w:t>5.住房保障支出(类)508.22万元,占3.29%。</w:t>
      </w:r>
    </w:p>
    <w:p w14:paraId="336BE39C">
      <w:pPr>
        <w:spacing w:line="580" w:lineRule="exact"/>
        <w:ind w:firstLine="640"/>
        <w:jc w:val="both"/>
      </w:pPr>
      <w:r>
        <w:rPr>
          <w:rFonts w:ascii="仿宋_GB2312" w:hAnsi="仿宋_GB2312" w:eastAsia="仿宋_GB2312"/>
          <w:b w:val="0"/>
          <w:sz w:val="32"/>
        </w:rPr>
        <w:t>6.其他支出(类)22.80万元,占0.15%。</w:t>
      </w:r>
    </w:p>
    <w:p w14:paraId="72209DF0">
      <w:pPr>
        <w:spacing w:line="640" w:lineRule="exact"/>
        <w:ind w:firstLine="640"/>
        <w:jc w:val="both"/>
        <w:outlineLvl w:val="3"/>
      </w:pPr>
      <w:r>
        <w:rPr>
          <w:rFonts w:ascii="楷体_GB2312" w:hAnsi="楷体_GB2312" w:eastAsia="楷体_GB2312"/>
          <w:b/>
          <w:sz w:val="32"/>
        </w:rPr>
        <w:t>（三）一般公共预算财政拨款支出决算具体情况</w:t>
      </w:r>
    </w:p>
    <w:p w14:paraId="3051FE05">
      <w:pPr>
        <w:spacing w:line="580" w:lineRule="exact"/>
        <w:ind w:firstLine="640"/>
        <w:jc w:val="both"/>
      </w:pPr>
      <w:r>
        <w:rPr>
          <w:rFonts w:ascii="仿宋_GB2312" w:hAnsi="仿宋_GB2312" w:eastAsia="仿宋_GB2312"/>
          <w:b w:val="0"/>
          <w:sz w:val="32"/>
        </w:rPr>
        <w:t>1.一般公共服务支出(类)组织事务(款)其他组织事务支出(项):支出决算数为25.00万元，比上年决算增加25.00万元，增长100.00%,主要原因是：本年增加援疆留任干部人才安家补助经费。</w:t>
      </w:r>
    </w:p>
    <w:p w14:paraId="7F9D9C86">
      <w:pPr>
        <w:spacing w:line="580" w:lineRule="exact"/>
        <w:ind w:firstLine="640"/>
        <w:jc w:val="both"/>
      </w:pPr>
      <w:r>
        <w:rPr>
          <w:rFonts w:ascii="仿宋_GB2312" w:hAnsi="仿宋_GB2312" w:eastAsia="仿宋_GB2312"/>
          <w:b w:val="0"/>
          <w:sz w:val="32"/>
        </w:rPr>
        <w:t>2.一般公共服务支出(类)统战事务(款)其他统战事务支出(项):支出决算数为0.00万元，比上年决算减少4.68万元，下降100.00%,主要原因是：本年度减少走访民情人员经费。</w:t>
      </w:r>
    </w:p>
    <w:p w14:paraId="4AC8A315">
      <w:pPr>
        <w:spacing w:line="580" w:lineRule="exact"/>
        <w:ind w:firstLine="640"/>
        <w:jc w:val="both"/>
      </w:pPr>
      <w:r>
        <w:rPr>
          <w:rFonts w:ascii="仿宋_GB2312" w:hAnsi="仿宋_GB2312" w:eastAsia="仿宋_GB2312"/>
          <w:b w:val="0"/>
          <w:sz w:val="32"/>
        </w:rPr>
        <w:t>3.公共安全支出(类)公安(款)行政运行(项):支出决算数为6,314.15万元，比上年决算增加198.71万元，增长3.25%,主要原因是：本年在职人员增加，工资调增，导致相关人员经费较上年有所增加。</w:t>
      </w:r>
    </w:p>
    <w:p w14:paraId="48170B68">
      <w:pPr>
        <w:spacing w:line="580" w:lineRule="exact"/>
        <w:ind w:firstLine="640"/>
        <w:jc w:val="both"/>
      </w:pPr>
      <w:r>
        <w:rPr>
          <w:rFonts w:ascii="仿宋_GB2312" w:hAnsi="仿宋_GB2312" w:eastAsia="仿宋_GB2312"/>
          <w:b w:val="0"/>
          <w:sz w:val="32"/>
        </w:rPr>
        <w:t>4.公共安全支出(类)公安(款)一般行政管理事务(项):支出决算数为982.70万元，比上年决算减少1,040.24万元，下降51.42%,主要原因是：本年减少专项项目资金。</w:t>
      </w:r>
    </w:p>
    <w:p w14:paraId="66CEB59B">
      <w:pPr>
        <w:spacing w:line="580" w:lineRule="exact"/>
        <w:ind w:firstLine="640"/>
        <w:jc w:val="both"/>
      </w:pPr>
      <w:r>
        <w:rPr>
          <w:rFonts w:ascii="仿宋_GB2312" w:hAnsi="仿宋_GB2312" w:eastAsia="仿宋_GB2312"/>
          <w:b w:val="0"/>
          <w:sz w:val="32"/>
        </w:rPr>
        <w:t>5.公共安全支出(类)公安(款)信息化建设(项):支出决算数为879.91万元，比上年决算减少2,957.73万元，下降77.07%,主要原因是：本年减少信息化建设专项项目资金。</w:t>
      </w:r>
    </w:p>
    <w:p w14:paraId="1B766FE9">
      <w:pPr>
        <w:spacing w:line="580" w:lineRule="exact"/>
        <w:ind w:firstLine="640"/>
        <w:jc w:val="both"/>
      </w:pPr>
      <w:r>
        <w:rPr>
          <w:rFonts w:ascii="仿宋_GB2312" w:hAnsi="仿宋_GB2312" w:eastAsia="仿宋_GB2312"/>
          <w:b w:val="0"/>
          <w:sz w:val="32"/>
        </w:rPr>
        <w:t>6.公共安全支出(类)公安(款)执法办案(项):支出决算数为1,347.00万元，比上年决算增加228.82万元，增长20.46%,主要原因是：本年增加昌吉州国道G312线交通管理设备采购项目，相应资金支出增加。</w:t>
      </w:r>
    </w:p>
    <w:p w14:paraId="01A6364A">
      <w:pPr>
        <w:spacing w:line="580" w:lineRule="exact"/>
        <w:ind w:firstLine="640"/>
        <w:jc w:val="both"/>
      </w:pPr>
      <w:r>
        <w:rPr>
          <w:rFonts w:ascii="仿宋_GB2312" w:hAnsi="仿宋_GB2312" w:eastAsia="仿宋_GB2312"/>
          <w:b w:val="0"/>
          <w:sz w:val="32"/>
        </w:rPr>
        <w:t>7.公共安全支出(类)公安(款)特别业务(项):支出决算数为87.50万元，比上年决算减少10.00万元，下降10.26%,主要原因是：本年减少业务工作经费项目支出。</w:t>
      </w:r>
    </w:p>
    <w:p w14:paraId="75F58176">
      <w:pPr>
        <w:spacing w:line="580" w:lineRule="exact"/>
        <w:ind w:firstLine="640"/>
        <w:jc w:val="both"/>
      </w:pPr>
      <w:r>
        <w:rPr>
          <w:rFonts w:ascii="仿宋_GB2312" w:hAnsi="仿宋_GB2312" w:eastAsia="仿宋_GB2312"/>
          <w:b w:val="0"/>
          <w:sz w:val="32"/>
        </w:rPr>
        <w:t>8.公共安全支出(类)公安(款)特勤业务(项):支出决算数为184.00万元，比上年决算增加84.00万元，增长84.00%,主要原因是：本年度增加特勤业务项目。</w:t>
      </w:r>
    </w:p>
    <w:p w14:paraId="7E2B2E7E">
      <w:pPr>
        <w:spacing w:line="580" w:lineRule="exact"/>
        <w:ind w:firstLine="640"/>
        <w:jc w:val="both"/>
      </w:pPr>
      <w:r>
        <w:rPr>
          <w:rFonts w:ascii="仿宋_GB2312" w:hAnsi="仿宋_GB2312" w:eastAsia="仿宋_GB2312"/>
          <w:b w:val="0"/>
          <w:sz w:val="32"/>
        </w:rPr>
        <w:t>9.公共安全支出(类)公安(款)事业运行(项):支出决算数为243.77万元，比上年决算增加91.25万元，增长59.83%,主要原因是：本年在职人员增加，工资调增，导致相关人员经费较上年有所增加。</w:t>
      </w:r>
    </w:p>
    <w:p w14:paraId="78940575">
      <w:pPr>
        <w:spacing w:line="580" w:lineRule="exact"/>
        <w:ind w:firstLine="640"/>
        <w:jc w:val="both"/>
      </w:pPr>
      <w:r>
        <w:rPr>
          <w:rFonts w:ascii="仿宋_GB2312" w:hAnsi="仿宋_GB2312" w:eastAsia="仿宋_GB2312"/>
          <w:b w:val="0"/>
          <w:sz w:val="32"/>
        </w:rPr>
        <w:t>10.公共安全支出(类)公安(款)其他公安支出(项):支出决算数为3,357.03万元，比上年决算减少2,990.09万元，下降47.11%,主要原因是：本年减少中央转移支付项目。</w:t>
      </w:r>
    </w:p>
    <w:p w14:paraId="729027D8">
      <w:pPr>
        <w:spacing w:line="580" w:lineRule="exact"/>
        <w:ind w:firstLine="640"/>
        <w:jc w:val="both"/>
      </w:pPr>
      <w:r>
        <w:rPr>
          <w:rFonts w:ascii="仿宋_GB2312" w:hAnsi="仿宋_GB2312" w:eastAsia="仿宋_GB2312"/>
          <w:b w:val="0"/>
          <w:sz w:val="32"/>
        </w:rPr>
        <w:t>11.公共安全支出(类)其他公共安全支出(款)其他公共安全支出(项):支出决算数为1.64万元，比上年决算减少49.08万元，下降96.77%,主要原因是：本年减少专项项目资金。</w:t>
      </w:r>
    </w:p>
    <w:p w14:paraId="75DCD4EA">
      <w:pPr>
        <w:spacing w:line="580" w:lineRule="exact"/>
        <w:ind w:firstLine="640"/>
        <w:jc w:val="both"/>
      </w:pPr>
      <w:r>
        <w:rPr>
          <w:rFonts w:ascii="仿宋_GB2312" w:hAnsi="仿宋_GB2312" w:eastAsia="仿宋_GB2312"/>
          <w:b w:val="0"/>
          <w:sz w:val="32"/>
        </w:rPr>
        <w:t>12.社会保障和就业支出(类)行政事业单位养老支出(款)行政单位离退休(项):支出决算数为89.03万元，比上年决算增加28.62万元，增长47.38%,主要原因是：本年退休人员增加，发放退休人员基础绩效，退休费支出增加。</w:t>
      </w:r>
    </w:p>
    <w:p w14:paraId="7A9C1AB9">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636.90万元，比上年决算增加46.87万元，增长7.94%,主要原因是：本年度增加招录新警，人员增加，人员工资调增，养老保险缴费支出增加。</w:t>
      </w:r>
    </w:p>
    <w:p w14:paraId="0BCA7539">
      <w:pPr>
        <w:spacing w:line="580" w:lineRule="exact"/>
        <w:ind w:firstLine="640"/>
        <w:jc w:val="both"/>
      </w:pPr>
      <w:r>
        <w:rPr>
          <w:rFonts w:ascii="仿宋_GB2312" w:hAnsi="仿宋_GB2312" w:eastAsia="仿宋_GB2312"/>
          <w:b w:val="0"/>
          <w:sz w:val="32"/>
        </w:rPr>
        <w:t>14.社会保障和就业支出(类)行政事业单位养老支出(款)机关事业单位职业年金缴费支出(项):支出决算数为382.15万元，比上年决算减少3.43万元，下降0.89%,主要原因是：本年新增退休人员、调出人员较上年减少，职业年金缴费较上年减少。</w:t>
      </w:r>
    </w:p>
    <w:p w14:paraId="0E51041A">
      <w:pPr>
        <w:spacing w:line="580" w:lineRule="exact"/>
        <w:ind w:firstLine="640"/>
        <w:jc w:val="both"/>
      </w:pPr>
      <w:r>
        <w:rPr>
          <w:rFonts w:ascii="仿宋_GB2312" w:hAnsi="仿宋_GB2312" w:eastAsia="仿宋_GB2312"/>
          <w:b w:val="0"/>
          <w:sz w:val="32"/>
        </w:rPr>
        <w:t>15.社会保障和就业支出(类)抚恤(款)死亡抚恤(项):支出决算数为21.45万元，比上年决算增加21.45万元，增长100.00%,主要原因是：本年退休死亡1人，抚恤金增加。</w:t>
      </w:r>
    </w:p>
    <w:p w14:paraId="7C8CDBD1">
      <w:pPr>
        <w:spacing w:line="580" w:lineRule="exact"/>
        <w:ind w:firstLine="640"/>
        <w:jc w:val="both"/>
      </w:pPr>
      <w:r>
        <w:rPr>
          <w:rFonts w:ascii="仿宋_GB2312" w:hAnsi="仿宋_GB2312" w:eastAsia="仿宋_GB2312"/>
          <w:b w:val="0"/>
          <w:sz w:val="32"/>
        </w:rPr>
        <w:t>16.卫生健康支出(类)行政事业单位医疗(款)行政单位医疗(项):支出决算数为301.45万元，比上年决算增加18.00万元，增长6.35%,主要原因是：本年度增加招录新警，人员增加，人员工资调增，单位医疗缴费支出增加。</w:t>
      </w:r>
    </w:p>
    <w:p w14:paraId="536DF94A">
      <w:pPr>
        <w:spacing w:line="580" w:lineRule="exact"/>
        <w:ind w:firstLine="640"/>
        <w:jc w:val="both"/>
      </w:pPr>
      <w:r>
        <w:rPr>
          <w:rFonts w:ascii="仿宋_GB2312" w:hAnsi="仿宋_GB2312" w:eastAsia="仿宋_GB2312"/>
          <w:b w:val="0"/>
          <w:sz w:val="32"/>
        </w:rPr>
        <w:t>17.卫生健康支出(类)行政事业单位医疗(款)事业单位医疗(项):支出决算数为17.00万元，比上年决算增加5.44万元，增长47.06%,主要原因是：本年度增加招录新警，人员增加，人员工资调增，单位医疗缴费支出增加。</w:t>
      </w:r>
    </w:p>
    <w:p w14:paraId="4A20BAD4">
      <w:pPr>
        <w:spacing w:line="580" w:lineRule="exact"/>
        <w:ind w:firstLine="640"/>
        <w:jc w:val="both"/>
      </w:pPr>
      <w:r>
        <w:rPr>
          <w:rFonts w:ascii="仿宋_GB2312" w:hAnsi="仿宋_GB2312" w:eastAsia="仿宋_GB2312"/>
          <w:b w:val="0"/>
          <w:sz w:val="32"/>
        </w:rPr>
        <w:t>18.卫生健康支出(类)行政事业单位医疗(款)公务员医疗补助(项):支出决算数为19.90万元，比上年决算增加1.46万元，增长7.92%,主要原因是：本年度增加招录新警，人员增加，人员工资调增，单位医疗缴费支出增加。</w:t>
      </w:r>
    </w:p>
    <w:p w14:paraId="0223A154">
      <w:pPr>
        <w:spacing w:line="580" w:lineRule="exact"/>
        <w:ind w:firstLine="640"/>
        <w:jc w:val="both"/>
      </w:pPr>
      <w:r>
        <w:rPr>
          <w:rFonts w:ascii="仿宋_GB2312" w:hAnsi="仿宋_GB2312" w:eastAsia="仿宋_GB2312"/>
          <w:b w:val="0"/>
          <w:sz w:val="32"/>
        </w:rPr>
        <w:t>19.卫生健康支出(类)行政事业单位医疗(款)其他行政事业单位医疗支出(项):支出决算数为2.89万元，比上年决算增加0.34万元，增长13.33%,主要原因是：本年度增加招录新警，人员增加，人员工资调增，单位医疗缴费支出增加。</w:t>
      </w:r>
    </w:p>
    <w:p w14:paraId="5A745D6F">
      <w:pPr>
        <w:spacing w:line="580" w:lineRule="exact"/>
        <w:ind w:firstLine="640"/>
        <w:jc w:val="both"/>
      </w:pPr>
      <w:r>
        <w:rPr>
          <w:rFonts w:ascii="仿宋_GB2312" w:hAnsi="仿宋_GB2312" w:eastAsia="仿宋_GB2312"/>
          <w:b w:val="0"/>
          <w:sz w:val="32"/>
        </w:rPr>
        <w:t>20.住房保障支出(类)住房改革支出(款)住房公积金(项):支出决算数为508.22万元，比上年决算增加46.08万元，增长9.97%,主要原因是：本年度增加招录新警，人员增加，人员工资调增，住房公积金缴费支出增加。</w:t>
      </w:r>
    </w:p>
    <w:p w14:paraId="64F5D6EB">
      <w:pPr>
        <w:spacing w:line="580" w:lineRule="exact"/>
        <w:ind w:firstLine="640"/>
        <w:jc w:val="both"/>
      </w:pPr>
      <w:r>
        <w:rPr>
          <w:rFonts w:ascii="仿宋_GB2312" w:hAnsi="仿宋_GB2312" w:eastAsia="仿宋_GB2312"/>
          <w:b w:val="0"/>
          <w:sz w:val="32"/>
        </w:rPr>
        <w:t>21.灾害防治及应急管理支出(类)应急管理事务(款)其他应急管理支出(项):支出决算数为0.00万元，比上年决算减少</w:t>
      </w:r>
      <w:r>
        <w:rPr>
          <w:rFonts w:ascii="仿宋_GB2312" w:hAnsi="仿宋_GB2312" w:eastAsia="仿宋_GB2312"/>
          <w:b w:val="0"/>
          <w:spacing w:val="-6"/>
          <w:sz w:val="32"/>
        </w:rPr>
        <w:t>10.00万元，下降100.00%,主要原因是：本年未购置应急管理装备。</w:t>
      </w:r>
    </w:p>
    <w:p w14:paraId="7EDBA267">
      <w:pPr>
        <w:spacing w:line="580" w:lineRule="exact"/>
        <w:ind w:firstLine="640"/>
        <w:jc w:val="both"/>
      </w:pPr>
      <w:r>
        <w:rPr>
          <w:rFonts w:ascii="仿宋_GB2312" w:hAnsi="仿宋_GB2312" w:eastAsia="仿宋_GB2312"/>
          <w:b w:val="0"/>
          <w:sz w:val="32"/>
        </w:rPr>
        <w:t>22.其他支出(类)其他支出(款)其他支出(项):支出决算数为22.80万元，比上年决算减少0.05万元，下降0.22%,主要原因是：本年减少为民办实事经费。</w:t>
      </w:r>
    </w:p>
    <w:p w14:paraId="69A5B075">
      <w:pPr>
        <w:spacing w:line="640" w:lineRule="exact"/>
        <w:ind w:firstLine="640"/>
        <w:jc w:val="both"/>
        <w:outlineLvl w:val="2"/>
      </w:pPr>
      <w:r>
        <w:rPr>
          <w:rFonts w:ascii="黑体" w:hAnsi="黑体" w:eastAsia="黑体"/>
          <w:sz w:val="32"/>
        </w:rPr>
        <w:t>六、一般公共预算财政拨款基本支出决算情况说明</w:t>
      </w:r>
    </w:p>
    <w:p w14:paraId="4C244DC6">
      <w:pPr>
        <w:spacing w:line="580" w:lineRule="exact"/>
        <w:ind w:firstLine="640"/>
        <w:jc w:val="both"/>
      </w:pPr>
      <w:r>
        <w:rPr>
          <w:rFonts w:ascii="仿宋_GB2312" w:hAnsi="仿宋_GB2312" w:eastAsia="仿宋_GB2312"/>
          <w:b w:val="0"/>
          <w:sz w:val="32"/>
        </w:rPr>
        <w:t>2024年度一般公共预算财政拨款基本支出8,536.90万元，其中：</w:t>
      </w:r>
      <w:r>
        <w:rPr>
          <w:rFonts w:ascii="仿宋_GB2312" w:hAnsi="仿宋_GB2312" w:eastAsia="仿宋_GB2312"/>
          <w:b/>
          <w:sz w:val="32"/>
        </w:rPr>
        <w:t>人员经费7,495.81万元，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医疗费补助、奖励金。</w:t>
      </w:r>
    </w:p>
    <w:p w14:paraId="29C3CB5F">
      <w:pPr>
        <w:spacing w:line="580" w:lineRule="exact"/>
        <w:ind w:firstLine="640"/>
        <w:jc w:val="both"/>
      </w:pPr>
      <w:r>
        <w:rPr>
          <w:rFonts w:ascii="仿宋_GB2312" w:hAnsi="仿宋_GB2312" w:eastAsia="仿宋_GB2312"/>
          <w:b/>
          <w:sz w:val="32"/>
        </w:rPr>
        <w:t>公用经费1,041.09万元，</w:t>
      </w:r>
      <w:r>
        <w:rPr>
          <w:rFonts w:ascii="仿宋_GB2312" w:hAnsi="仿宋_GB2312" w:eastAsia="仿宋_GB2312"/>
          <w:b w:val="0"/>
          <w:sz w:val="32"/>
        </w:rPr>
        <w:t>包括：办公费、印刷费、水费、电费、取暖费、差旅费、维修（护）费、培训费、公务接待费、劳务费、委托业务费、工会经费、福利费、公务用车运行维护费、其他交通费用、其他商品和服务支出。</w:t>
      </w:r>
    </w:p>
    <w:p w14:paraId="5114CB9B">
      <w:pPr>
        <w:spacing w:line="640" w:lineRule="exact"/>
        <w:ind w:firstLine="640"/>
        <w:jc w:val="both"/>
        <w:outlineLvl w:val="2"/>
      </w:pPr>
      <w:r>
        <w:rPr>
          <w:rFonts w:ascii="黑体" w:hAnsi="黑体" w:eastAsia="黑体"/>
          <w:sz w:val="32"/>
        </w:rPr>
        <w:t>七、政府性基金预算财政拨款收入支出决算情况说明</w:t>
      </w:r>
    </w:p>
    <w:p w14:paraId="276259A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18086F6">
      <w:pPr>
        <w:spacing w:line="640" w:lineRule="exact"/>
        <w:ind w:firstLine="640"/>
        <w:jc w:val="both"/>
        <w:outlineLvl w:val="2"/>
      </w:pPr>
      <w:r>
        <w:rPr>
          <w:rFonts w:ascii="黑体" w:hAnsi="黑体" w:eastAsia="黑体"/>
          <w:sz w:val="32"/>
        </w:rPr>
        <w:t>八、国有资本经营预算财政拨款收入支出决算情况说明</w:t>
      </w:r>
    </w:p>
    <w:p w14:paraId="34C2D51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30C5AD6">
      <w:pPr>
        <w:spacing w:line="640" w:lineRule="exact"/>
        <w:ind w:firstLine="640"/>
        <w:jc w:val="both"/>
        <w:outlineLvl w:val="2"/>
      </w:pPr>
      <w:r>
        <w:rPr>
          <w:rFonts w:ascii="黑体" w:hAnsi="黑体" w:eastAsia="黑体"/>
          <w:sz w:val="32"/>
        </w:rPr>
        <w:t>九、财政拨款“三公”经费支出决算情况说明</w:t>
      </w:r>
    </w:p>
    <w:p w14:paraId="0C7EEBE7">
      <w:pPr>
        <w:spacing w:line="580" w:lineRule="exact"/>
        <w:ind w:firstLine="640"/>
        <w:jc w:val="both"/>
      </w:pPr>
      <w:r>
        <w:rPr>
          <w:rFonts w:ascii="仿宋_GB2312" w:hAnsi="仿宋_GB2312" w:eastAsia="仿宋_GB2312"/>
          <w:b/>
          <w:sz w:val="32"/>
        </w:rPr>
        <w:t>2024年度财政拨款“三公”经费支出210.92万元，</w:t>
      </w:r>
      <w:r>
        <w:rPr>
          <w:rFonts w:ascii="仿宋_GB2312" w:hAnsi="仿宋_GB2312" w:eastAsia="仿宋_GB2312"/>
          <w:b w:val="0"/>
          <w:sz w:val="32"/>
        </w:rPr>
        <w:t>比上年减少23.57万元，下降10.05%，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208.92万元，占99.05%，比上年减少25.16万元，下降10.75%，主要原因是：严格落实中央八项规定精神，厉行节约，减少公务用车运行维护费。公务接待费支出2.00万元，占0.95%，比上年增加1.59万元，增长387.80%，主要原因是：本年因工作需求，增加公务接待工作，导致公务接待费较上年增加。</w:t>
      </w:r>
    </w:p>
    <w:p w14:paraId="78391DC8">
      <w:pPr>
        <w:spacing w:line="580" w:lineRule="exact"/>
        <w:ind w:firstLine="640"/>
        <w:jc w:val="both"/>
      </w:pPr>
      <w:r>
        <w:rPr>
          <w:rFonts w:ascii="仿宋_GB2312" w:hAnsi="仿宋_GB2312" w:eastAsia="仿宋_GB2312"/>
          <w:b/>
          <w:sz w:val="32"/>
        </w:rPr>
        <w:t>具体情况如下：</w:t>
      </w:r>
    </w:p>
    <w:p w14:paraId="7CF6F95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6E5136D">
      <w:pPr>
        <w:spacing w:line="580" w:lineRule="exact"/>
        <w:ind w:firstLine="640"/>
        <w:jc w:val="both"/>
      </w:pPr>
      <w:r>
        <w:rPr>
          <w:rFonts w:ascii="仿宋_GB2312" w:hAnsi="仿宋_GB2312" w:eastAsia="仿宋_GB2312"/>
          <w:b w:val="0"/>
          <w:sz w:val="32"/>
        </w:rPr>
        <w:t>公务用车购置及运行维护费208.92万元，其中：公务用车购置费39.90万元，公务用车运行维护费169.02万元。公务用车运行维护费开支内容包括车辆加油费、维修费、保险费、过路费等。公务用车购置数5辆，公务用车保有量138辆。国有资产占用情况中固定资产车辆138辆，与公务用车保有量差异原因是：本单位固定资产车辆与公务用车保有量一致无差异。</w:t>
      </w:r>
    </w:p>
    <w:p w14:paraId="6792964C">
      <w:pPr>
        <w:spacing w:line="580" w:lineRule="exact"/>
        <w:ind w:firstLine="640"/>
        <w:jc w:val="both"/>
      </w:pPr>
      <w:r>
        <w:rPr>
          <w:rFonts w:ascii="仿宋_GB2312" w:hAnsi="仿宋_GB2312" w:eastAsia="仿宋_GB2312"/>
          <w:b w:val="0"/>
          <w:sz w:val="32"/>
        </w:rPr>
        <w:t>公务接待费2.00万元，开支内容包括因工作需要，接待上级领导检查产生的就餐费。单位全年安排的国内公务接待17批次，205人次。</w:t>
      </w:r>
    </w:p>
    <w:p w14:paraId="4DA4CD4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210.92万元，决算数210.92万元，预决算差异率0.00%，主要原因是：严格按照预算执行，预决算无差异。其中：因公出国（境）费全年预算数0.00万元，决算数0.00万元，预决算差异率0.00%，主要原因是：本单位无因公出国（境）费。公务用车购置费全年预算数39.90万元，决算数39.90万元，预决算差异率0.00%，主要原因是：严格按照预算执行，预决算无差异。公务用车运行维护费全年预算数169.02万元，决算数169.02万元，预决算差异率0.00%，主要原因是：严格按照预算执行，预决算无差异。公务接待费全年预算数2.00万元，决算数2.00万元，预决算差异率0.00%，主要原因是：严格按照预算执行，预决算无差异。</w:t>
      </w:r>
    </w:p>
    <w:p w14:paraId="5033B7FF">
      <w:pPr>
        <w:spacing w:line="640" w:lineRule="exact"/>
        <w:ind w:firstLine="640"/>
        <w:jc w:val="both"/>
        <w:outlineLvl w:val="2"/>
      </w:pPr>
      <w:r>
        <w:rPr>
          <w:rFonts w:ascii="黑体" w:hAnsi="黑体" w:eastAsia="黑体"/>
          <w:sz w:val="32"/>
        </w:rPr>
        <w:t>十、其他重要事项的情况说明</w:t>
      </w:r>
    </w:p>
    <w:p w14:paraId="4AD314F7">
      <w:pPr>
        <w:spacing w:line="640" w:lineRule="exact"/>
        <w:ind w:firstLine="640"/>
        <w:jc w:val="both"/>
        <w:outlineLvl w:val="3"/>
      </w:pPr>
      <w:r>
        <w:rPr>
          <w:rFonts w:ascii="楷体_GB2312" w:hAnsi="楷体_GB2312" w:eastAsia="楷体_GB2312"/>
          <w:b/>
          <w:sz w:val="32"/>
        </w:rPr>
        <w:t>（一）机关运行经费及公用经费支出情况</w:t>
      </w:r>
    </w:p>
    <w:p w14:paraId="3486008D">
      <w:pPr>
        <w:spacing w:line="580" w:lineRule="exact"/>
        <w:ind w:firstLine="640"/>
        <w:jc w:val="both"/>
      </w:pPr>
      <w:r>
        <w:rPr>
          <w:rFonts w:ascii="仿宋_GB2312" w:hAnsi="仿宋_GB2312" w:eastAsia="仿宋_GB2312"/>
          <w:b w:val="0"/>
          <w:sz w:val="32"/>
        </w:rPr>
        <w:t>2024年度昌吉回族自治州公安局（行政单位和参照公务员法管理事业单位）机关运行经费支出1,041.09万元，比上年减少34.13万元，下降3.17%，主要原因是：本年减少维修维护费，办公费等。</w:t>
      </w:r>
    </w:p>
    <w:p w14:paraId="458630D3">
      <w:pPr>
        <w:spacing w:line="640" w:lineRule="exact"/>
        <w:ind w:firstLine="640"/>
        <w:jc w:val="both"/>
        <w:outlineLvl w:val="3"/>
      </w:pPr>
      <w:r>
        <w:rPr>
          <w:rFonts w:ascii="楷体_GB2312" w:hAnsi="楷体_GB2312" w:eastAsia="楷体_GB2312"/>
          <w:b/>
          <w:sz w:val="32"/>
        </w:rPr>
        <w:t>（二）政府采购情况</w:t>
      </w:r>
    </w:p>
    <w:p w14:paraId="2EBC3562">
      <w:pPr>
        <w:spacing w:line="580" w:lineRule="exact"/>
        <w:ind w:firstLine="640"/>
        <w:jc w:val="both"/>
      </w:pPr>
      <w:r>
        <w:rPr>
          <w:rFonts w:ascii="仿宋_GB2312" w:hAnsi="仿宋_GB2312" w:eastAsia="仿宋_GB2312"/>
          <w:b w:val="0"/>
          <w:sz w:val="32"/>
        </w:rPr>
        <w:t>2024年度政府采购支出总额3,136.06万元，其中：政府采购货物支出1,724.19万元、政府采购工程支出8.76万元、政府采购服务支出1,403.11万元。</w:t>
      </w:r>
    </w:p>
    <w:p w14:paraId="55AE9959">
      <w:pPr>
        <w:spacing w:line="580" w:lineRule="exact"/>
        <w:ind w:firstLine="640"/>
        <w:jc w:val="both"/>
      </w:pPr>
      <w:r>
        <w:rPr>
          <w:rFonts w:ascii="仿宋_GB2312" w:hAnsi="仿宋_GB2312" w:eastAsia="仿宋_GB2312"/>
          <w:b w:val="0"/>
          <w:sz w:val="32"/>
        </w:rPr>
        <w:t>授予中小企业合同金额3,136.06万元，占政府采购支出总额的100.00%，其中：授予小微企业合同金额3,136.06万元，占政府采购支出总额的100.00%。</w:t>
      </w:r>
    </w:p>
    <w:p w14:paraId="472D9BC8">
      <w:pPr>
        <w:spacing w:line="640" w:lineRule="exact"/>
        <w:ind w:firstLine="640"/>
        <w:jc w:val="both"/>
        <w:outlineLvl w:val="3"/>
      </w:pPr>
      <w:r>
        <w:rPr>
          <w:rFonts w:ascii="楷体_GB2312" w:hAnsi="楷体_GB2312" w:eastAsia="楷体_GB2312"/>
          <w:b/>
          <w:sz w:val="32"/>
        </w:rPr>
        <w:t>（三）国有资产占用情况说明</w:t>
      </w:r>
    </w:p>
    <w:p w14:paraId="1A7E07B6">
      <w:pPr>
        <w:spacing w:line="580" w:lineRule="exact"/>
        <w:ind w:firstLine="640"/>
        <w:jc w:val="both"/>
      </w:pPr>
      <w:r>
        <w:rPr>
          <w:rFonts w:ascii="仿宋_GB2312" w:hAnsi="仿宋_GB2312" w:eastAsia="仿宋_GB2312"/>
          <w:b w:val="0"/>
          <w:sz w:val="32"/>
        </w:rPr>
        <w:t>截至2024年12月31日，房屋42,852.21平方米，价值17,687.35万元。车辆138辆，价值3,837.78万元，其中：副部（省）级及以上领导用车0辆、主要负责人用车0辆、机要通信用车0辆、应急保障用车8辆、执法执勤用车77辆、特种专业技术用车53辆、离退休干部服务用车0辆、其他用车0辆，其他用车主要是：本单位无其他用车。单价100万元（含）以上设备（不含车辆）27台（套）。</w:t>
      </w:r>
    </w:p>
    <w:p w14:paraId="2897C34F">
      <w:pPr>
        <w:spacing w:line="640" w:lineRule="exact"/>
        <w:ind w:firstLine="640"/>
        <w:jc w:val="both"/>
        <w:outlineLvl w:val="2"/>
      </w:pPr>
      <w:r>
        <w:rPr>
          <w:rFonts w:ascii="黑体" w:hAnsi="黑体" w:eastAsia="黑体"/>
          <w:sz w:val="32"/>
        </w:rPr>
        <w:t>十一、预算绩效的情况说明</w:t>
      </w:r>
    </w:p>
    <w:p w14:paraId="119A78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16,040.59万元，实际执行总额15,748.74万元；预算绩效评价项目36个，全年预算数7503.69万元，全年执行数7211.84万元。预算绩效管理取得的成效：1.组织指导参与国家危害国家安全案件的侦查工作，并参与境内重大刑事案件，经济案件和缉毒案件等侦查工作；2.驯养警犬日常参加侦查、巡逻等工作任务；3.保障网络安全运行</w:t>
      </w:r>
      <w:r>
        <w:rPr>
          <w:rFonts w:hint="eastAsia" w:ascii="仿宋_GB2312" w:hAnsi="仿宋_GB2312" w:eastAsia="仿宋_GB2312"/>
          <w:b w:val="0"/>
          <w:sz w:val="32"/>
          <w:lang w:eastAsia="zh-CN"/>
        </w:rPr>
        <w:t>；</w:t>
      </w:r>
      <w:r>
        <w:rPr>
          <w:rFonts w:ascii="仿宋_GB2312" w:hAnsi="仿宋_GB2312" w:eastAsia="仿宋_GB2312"/>
          <w:b w:val="0"/>
          <w:sz w:val="32"/>
        </w:rPr>
        <w:t>4.部分应用系统设备托管至移动公司云大机房、电信公司应用机房、电信公司数据中心机房的正常运</w:t>
      </w:r>
      <w:r>
        <w:rPr>
          <w:rFonts w:hint="eastAsia" w:ascii="仿宋_GB2312" w:hAnsi="仿宋_GB2312" w:eastAsia="仿宋_GB2312"/>
          <w:b w:val="0"/>
          <w:sz w:val="32"/>
          <w:lang w:eastAsia="zh-CN"/>
        </w:rPr>
        <w:t>行；</w:t>
      </w:r>
      <w:r>
        <w:rPr>
          <w:rFonts w:ascii="仿宋_GB2312" w:hAnsi="仿宋_GB2312" w:eastAsia="仿宋_GB2312"/>
          <w:b w:val="0"/>
          <w:sz w:val="32"/>
        </w:rPr>
        <w:t>5.对各类案件应办尽办，保障社会大局持续稳定。通过以上工作的实施，掌握影响稳定、危害国内和社会治安的情况，分析形势，制定对策,大力加强</w:t>
      </w:r>
      <w:r>
        <w:rPr>
          <w:rFonts w:hint="eastAsia" w:ascii="仿宋_GB2312" w:hAnsi="仿宋_GB2312" w:eastAsia="仿宋_GB2312"/>
          <w:b w:val="0"/>
          <w:sz w:val="32"/>
          <w:lang w:eastAsia="zh-CN"/>
        </w:rPr>
        <w:t>法治</w:t>
      </w:r>
      <w:r>
        <w:rPr>
          <w:rFonts w:ascii="仿宋_GB2312" w:hAnsi="仿宋_GB2312" w:eastAsia="仿宋_GB2312"/>
          <w:b w:val="0"/>
          <w:sz w:val="32"/>
        </w:rPr>
        <w:t>公安建设、智慧公安建设、基层基础建设、过硬队伍建设，努力以新安全格局保障新发展格局、以高水平安全保障高质量发展。发现的问题及原因：1.绩效管理工作有待</w:t>
      </w:r>
      <w:r>
        <w:rPr>
          <w:rFonts w:hint="eastAsia" w:ascii="仿宋_GB2312" w:hAnsi="仿宋_GB2312" w:eastAsia="仿宋_GB2312"/>
          <w:b w:val="0"/>
          <w:sz w:val="32"/>
          <w:lang w:eastAsia="zh-CN"/>
        </w:rPr>
        <w:t>更加</w:t>
      </w:r>
      <w:r>
        <w:rPr>
          <w:rFonts w:ascii="仿宋_GB2312" w:hAnsi="仿宋_GB2312" w:eastAsia="仿宋_GB2312"/>
          <w:b w:val="0"/>
          <w:sz w:val="32"/>
        </w:rPr>
        <w:t>完善，无论是预算申报还是自评工作，</w:t>
      </w:r>
      <w:r>
        <w:rPr>
          <w:rFonts w:hint="eastAsia" w:ascii="仿宋_GB2312" w:hAnsi="仿宋_GB2312" w:eastAsia="仿宋_GB2312"/>
          <w:b w:val="0"/>
          <w:sz w:val="32"/>
          <w:lang w:eastAsia="zh-CN"/>
        </w:rPr>
        <w:t>本单位</w:t>
      </w:r>
      <w:r>
        <w:rPr>
          <w:rFonts w:ascii="仿宋_GB2312" w:hAnsi="仿宋_GB2312" w:eastAsia="仿宋_GB2312"/>
          <w:b w:val="0"/>
          <w:sz w:val="32"/>
        </w:rPr>
        <w:t>还存在一定的困难，需要</w:t>
      </w:r>
      <w:r>
        <w:rPr>
          <w:rFonts w:hint="eastAsia" w:ascii="仿宋_GB2312" w:hAnsi="仿宋_GB2312" w:eastAsia="仿宋_GB2312"/>
          <w:b w:val="0"/>
          <w:sz w:val="32"/>
          <w:lang w:eastAsia="zh-CN"/>
        </w:rPr>
        <w:t>更加</w:t>
      </w:r>
      <w:r>
        <w:rPr>
          <w:rFonts w:ascii="仿宋_GB2312" w:hAnsi="仿宋_GB2312" w:eastAsia="仿宋_GB2312"/>
          <w:b w:val="0"/>
          <w:sz w:val="32"/>
        </w:rPr>
        <w:t>完善的机制和更专业的培训。2.因财务室工作繁杂琐碎，绩效评价工作落在财务室，在绩效管理分析判断方面存在片面性，不够全面科学。3.绩效指标的明确性、可衡量性、相关性还需进一步提升。预算精细化管理还需完善，预算编制管理水平仍有进一步提升的空间。4.业务人员绩效管理意识有待增强，未能全面深入认识理解绩效管理工作的意义。绩效管理经验不足，预算绩效管理工作有待进一步落实。下一步改进措施：1.高度重视财政预决算工作，加强预算的约束力。2.加强内部管理，严格执行预算，坚持厉行节约，进一步降低财务支出。3.严格财务管理，提高工作效率。4.加大绩效工作宣传力度，强化绩效理念，强化业务人员整体素质。5.加强对绩效的管理培训工作，设置目标时考虑目标的可实现，尽量做到目标的细化量化、明确清晰。6、完善绩效指标，提高整体绩效目标质量。提升预算精细化管理水平。具体附整体支出绩效自评表。</w:t>
      </w:r>
    </w:p>
    <w:p w14:paraId="68035A5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F94468B">
        <w:tblPrEx>
          <w:tblCellMar>
            <w:top w:w="0" w:type="dxa"/>
            <w:left w:w="108" w:type="dxa"/>
            <w:bottom w:w="0" w:type="dxa"/>
            <w:right w:w="108" w:type="dxa"/>
          </w:tblCellMar>
        </w:tblPrEx>
        <w:tc>
          <w:tcPr>
            <w:tcW w:w="8847" w:type="dxa"/>
            <w:gridSpan w:val="9"/>
            <w:vAlign w:val="center"/>
          </w:tcPr>
          <w:p w14:paraId="241698B0">
            <w:pPr>
              <w:jc w:val="center"/>
            </w:pPr>
            <w:r>
              <w:rPr>
                <w:rFonts w:ascii="宋体" w:hAnsi="宋体" w:eastAsia="宋体"/>
                <w:sz w:val="24"/>
              </w:rPr>
              <w:t>单位整体支出绩效自评表</w:t>
            </w:r>
          </w:p>
        </w:tc>
      </w:tr>
      <w:tr w14:paraId="5090A61A">
        <w:tblPrEx>
          <w:tblCellMar>
            <w:top w:w="0" w:type="dxa"/>
            <w:left w:w="108" w:type="dxa"/>
            <w:bottom w:w="0" w:type="dxa"/>
            <w:right w:w="108" w:type="dxa"/>
          </w:tblCellMar>
        </w:tblPrEx>
        <w:tc>
          <w:tcPr>
            <w:tcW w:w="8847" w:type="dxa"/>
            <w:gridSpan w:val="9"/>
            <w:vAlign w:val="center"/>
          </w:tcPr>
          <w:p w14:paraId="46C92047">
            <w:pPr>
              <w:jc w:val="center"/>
            </w:pPr>
            <w:r>
              <w:rPr>
                <w:rFonts w:ascii="宋体" w:hAnsi="宋体" w:eastAsia="宋体"/>
                <w:sz w:val="24"/>
              </w:rPr>
              <w:t>（2024年度）</w:t>
            </w:r>
          </w:p>
        </w:tc>
      </w:tr>
      <w:tr w14:paraId="2E6E8E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1FF0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DEEDC8F">
            <w:pPr>
              <w:jc w:val="center"/>
            </w:pPr>
            <w:r>
              <w:rPr>
                <w:rFonts w:ascii="宋体" w:hAnsi="宋体" w:eastAsia="宋体"/>
                <w:sz w:val="16"/>
              </w:rPr>
              <w:t>昌吉回族自治州公安局</w:t>
            </w:r>
          </w:p>
        </w:tc>
      </w:tr>
      <w:tr w14:paraId="71F424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ADE9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019E7">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DADD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9BB8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C5E6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7497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A995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8CB65">
            <w:pPr>
              <w:jc w:val="center"/>
            </w:pPr>
            <w:r>
              <w:rPr>
                <w:rFonts w:ascii="宋体" w:hAnsi="宋体" w:eastAsia="宋体"/>
                <w:sz w:val="16"/>
              </w:rPr>
              <w:t>得分</w:t>
            </w:r>
          </w:p>
        </w:tc>
      </w:tr>
      <w:tr w14:paraId="7FF0EB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4585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671A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EEB34">
            <w:pPr>
              <w:jc w:val="center"/>
            </w:pPr>
            <w:r>
              <w:rPr>
                <w:rFonts w:ascii="宋体" w:hAnsi="宋体" w:eastAsia="宋体"/>
                <w:sz w:val="16"/>
              </w:rPr>
              <w:t>633.54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99099">
            <w:pPr>
              <w:jc w:val="center"/>
            </w:pPr>
            <w:r>
              <w:rPr>
                <w:rFonts w:ascii="宋体" w:hAnsi="宋体" w:eastAsia="宋体"/>
                <w:sz w:val="16"/>
              </w:rPr>
              <w:t>2,780.42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8A73B0">
            <w:pPr>
              <w:jc w:val="center"/>
            </w:pPr>
            <w:r>
              <w:rPr>
                <w:rFonts w:ascii="宋体" w:hAnsi="宋体" w:eastAsia="宋体"/>
                <w:sz w:val="16"/>
              </w:rPr>
              <w:t>2,780.42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6745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2A42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DB7B8">
            <w:pPr>
              <w:jc w:val="center"/>
            </w:pPr>
            <w:r>
              <w:rPr>
                <w:rFonts w:ascii="宋体" w:hAnsi="宋体" w:eastAsia="宋体"/>
                <w:sz w:val="16"/>
              </w:rPr>
              <w:t>-</w:t>
            </w:r>
          </w:p>
        </w:tc>
      </w:tr>
      <w:tr w14:paraId="61B731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95B4B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6552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F1FD7">
            <w:pPr>
              <w:jc w:val="center"/>
            </w:pPr>
            <w:r>
              <w:rPr>
                <w:rFonts w:ascii="宋体" w:hAnsi="宋体" w:eastAsia="宋体"/>
                <w:sz w:val="16"/>
              </w:rPr>
              <w:t>12,155.42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E872B">
            <w:pPr>
              <w:jc w:val="center"/>
            </w:pPr>
            <w:r>
              <w:rPr>
                <w:rFonts w:ascii="宋体" w:hAnsi="宋体" w:eastAsia="宋体"/>
                <w:sz w:val="16"/>
              </w:rPr>
              <w:t>12,933.89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D3F75">
            <w:pPr>
              <w:jc w:val="center"/>
            </w:pPr>
            <w:r>
              <w:rPr>
                <w:rFonts w:ascii="宋体" w:hAnsi="宋体" w:eastAsia="宋体"/>
                <w:sz w:val="16"/>
              </w:rPr>
              <w:t>12,642.04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8209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7428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6FA2A6">
            <w:pPr>
              <w:jc w:val="center"/>
            </w:pPr>
            <w:r>
              <w:rPr>
                <w:rFonts w:ascii="宋体" w:hAnsi="宋体" w:eastAsia="宋体"/>
                <w:sz w:val="16"/>
              </w:rPr>
              <w:t>-</w:t>
            </w:r>
          </w:p>
        </w:tc>
      </w:tr>
      <w:tr w14:paraId="0AD46A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EC4C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BF73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95D96">
            <w:pPr>
              <w:jc w:val="center"/>
            </w:pPr>
            <w:r>
              <w:rPr>
                <w:rFonts w:ascii="宋体" w:hAnsi="宋体" w:eastAsia="宋体"/>
                <w:sz w:val="16"/>
              </w:rPr>
              <w:t>95.36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A6AB8">
            <w:pPr>
              <w:jc w:val="center"/>
            </w:pPr>
            <w:r>
              <w:rPr>
                <w:rFonts w:ascii="宋体" w:hAnsi="宋体" w:eastAsia="宋体"/>
                <w:sz w:val="16"/>
              </w:rPr>
              <w:t>326.28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F82CF7">
            <w:pPr>
              <w:jc w:val="center"/>
            </w:pPr>
            <w:r>
              <w:rPr>
                <w:rFonts w:ascii="宋体" w:hAnsi="宋体" w:eastAsia="宋体"/>
                <w:sz w:val="16"/>
              </w:rPr>
              <w:t>326.28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41D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E51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2C988A">
            <w:pPr>
              <w:jc w:val="center"/>
            </w:pPr>
            <w:r>
              <w:rPr>
                <w:rFonts w:ascii="宋体" w:hAnsi="宋体" w:eastAsia="宋体"/>
                <w:sz w:val="16"/>
              </w:rPr>
              <w:t>-</w:t>
            </w:r>
          </w:p>
        </w:tc>
      </w:tr>
      <w:tr w14:paraId="132CDF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65F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6857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CBEE0B">
            <w:pPr>
              <w:jc w:val="center"/>
            </w:pPr>
            <w:r>
              <w:rPr>
                <w:rFonts w:ascii="宋体" w:hAnsi="宋体" w:eastAsia="宋体"/>
                <w:sz w:val="16"/>
              </w:rPr>
              <w:t>12,884.32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AEE282">
            <w:pPr>
              <w:jc w:val="center"/>
            </w:pPr>
            <w:r>
              <w:rPr>
                <w:rFonts w:ascii="宋体" w:hAnsi="宋体" w:eastAsia="宋体"/>
                <w:sz w:val="16"/>
              </w:rPr>
              <w:t>16,040.59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E69E8">
            <w:pPr>
              <w:jc w:val="center"/>
            </w:pPr>
            <w:r>
              <w:rPr>
                <w:rFonts w:ascii="宋体" w:hAnsi="宋体" w:eastAsia="宋体"/>
                <w:sz w:val="16"/>
              </w:rPr>
              <w:t>15,748.74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9D43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2D2E4">
            <w:pPr>
              <w:jc w:val="center"/>
            </w:pPr>
            <w:r>
              <w:rPr>
                <w:rFonts w:ascii="宋体" w:hAnsi="宋体" w:eastAsia="宋体"/>
                <w:sz w:val="16"/>
              </w:rPr>
              <w:t>98.18%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DF28A">
            <w:pPr>
              <w:jc w:val="center"/>
            </w:pPr>
            <w:r>
              <w:rPr>
                <w:rFonts w:ascii="宋体" w:hAnsi="宋体" w:eastAsia="宋体"/>
                <w:sz w:val="16"/>
              </w:rPr>
              <w:t>9.81</w:t>
            </w:r>
          </w:p>
        </w:tc>
      </w:tr>
      <w:tr w14:paraId="5BD86C4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2A449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9E460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B31C29">
            <w:pPr>
              <w:jc w:val="center"/>
            </w:pPr>
            <w:r>
              <w:rPr>
                <w:rFonts w:ascii="宋体" w:hAnsi="宋体" w:eastAsia="宋体"/>
                <w:sz w:val="16"/>
              </w:rPr>
              <w:t>实际完成情况</w:t>
            </w:r>
          </w:p>
        </w:tc>
      </w:tr>
      <w:tr w14:paraId="5B96B7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0DB8E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D2E3744">
            <w:pPr>
              <w:jc w:val="both"/>
            </w:pPr>
            <w:r>
              <w:rPr>
                <w:rFonts w:ascii="宋体" w:hAnsi="宋体" w:eastAsia="宋体"/>
                <w:sz w:val="16"/>
              </w:rPr>
              <w:t>2024年公安工作要坚持以习近平新时代中国特色社会主义思想为指导，深入贯彻落实习近平总书记关于新时代公安工作的重要论述，坚持统筹发展和安全，坚持总体国家安全观，聚焦聚力平安中国建设。大力加强</w:t>
            </w:r>
            <w:r>
              <w:rPr>
                <w:rFonts w:hint="eastAsia" w:ascii="宋体" w:hAnsi="宋体"/>
                <w:sz w:val="16"/>
                <w:lang w:eastAsia="zh-CN"/>
              </w:rPr>
              <w:t>法治</w:t>
            </w:r>
            <w:r>
              <w:rPr>
                <w:rFonts w:ascii="宋体" w:hAnsi="宋体" w:eastAsia="宋体"/>
                <w:sz w:val="16"/>
              </w:rPr>
              <w:t>公安建设、智慧公安建设、基层基础建设、过硬队伍建设，努力以新安全格局保障新发展格局、以高水平安全保障高质量发展。掌握影响稳定、危害国内和社会治安的情况，分析形势，制定对策 ；组织指导参与国家危害国家安全案件的侦查工作，并参与境内重大刑事案件，经济案件和缉毒案件等侦查工作；驯养45只警犬的日常参加侦查、巡逻等工作任务 ；保障网络安全运行 ，部分应用系统设备托管至移动公司云大机房、电信公司应用机房、电信公司数据中心机房的正常运</w:t>
            </w:r>
            <w:r>
              <w:rPr>
                <w:rFonts w:hint="eastAsia" w:ascii="宋体" w:hAnsi="宋体"/>
                <w:sz w:val="16"/>
                <w:lang w:eastAsia="zh-CN"/>
              </w:rPr>
              <w:t>行</w:t>
            </w:r>
            <w:r>
              <w:rPr>
                <w:rFonts w:ascii="宋体" w:hAnsi="宋体" w:eastAsia="宋体"/>
                <w:sz w:val="16"/>
              </w:rPr>
              <w:t>；对各类案件应办尽办，保障社会大局持续稳定。掌握影响稳定、危害国内和社会治安的情况，分析形势，制定对策；组织指导参与国家危害国家</w:t>
            </w:r>
            <w:r>
              <w:rPr>
                <w:rFonts w:hint="eastAsia" w:ascii="宋体" w:hAnsi="宋体"/>
                <w:sz w:val="16"/>
                <w:lang w:eastAsia="zh-CN"/>
              </w:rPr>
              <w:t>安全</w:t>
            </w:r>
            <w:r>
              <w:rPr>
                <w:rFonts w:ascii="宋体" w:hAnsi="宋体" w:eastAsia="宋体"/>
                <w:sz w:val="16"/>
              </w:rPr>
              <w:t>案件的侦查工作，对境内参与重大刑事案件，经济案件和缉毒等工作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93242DA">
            <w:pPr>
              <w:jc w:val="both"/>
            </w:pPr>
            <w:r>
              <w:rPr>
                <w:rFonts w:ascii="宋体" w:hAnsi="宋体" w:eastAsia="宋体"/>
                <w:sz w:val="16"/>
              </w:rPr>
              <w:t>1.组织指导参与国家危害国家安全案件的侦查工作，并参与境内重大刑事案件，经济案件和缉毒案件等侦查工作；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2.驯养45只警犬的日常参加侦查、巡逻等工作任务；</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3.保障网络安全运行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4.部分应用系统设备托管至移动公司云大机房、电信公司应用机房、电信公司数据中心机房的正常运</w:t>
            </w:r>
            <w:r>
              <w:rPr>
                <w:rFonts w:hint="eastAsia" w:ascii="宋体" w:hAnsi="宋体"/>
                <w:sz w:val="16"/>
                <w:lang w:eastAsia="zh-CN"/>
              </w:rPr>
              <w:t>行；</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5.对各类案件应办尽办，保障社会大局持续稳定。</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通过以上工作的实施，掌握影响稳定、危害国内和社会治安的情况，分析形势，制定对策,大力加强</w:t>
            </w:r>
            <w:r>
              <w:rPr>
                <w:rFonts w:hint="eastAsia" w:ascii="宋体" w:hAnsi="宋体"/>
                <w:sz w:val="16"/>
                <w:lang w:eastAsia="zh-CN"/>
              </w:rPr>
              <w:t>法治</w:t>
            </w:r>
            <w:r>
              <w:rPr>
                <w:rFonts w:ascii="宋体" w:hAnsi="宋体" w:eastAsia="宋体"/>
                <w:sz w:val="16"/>
              </w:rPr>
              <w:t>公安建设、智慧公安建设、基层基础建设、过硬队伍建设，努力以新安全格局保障新发展格局、以高水平安全保障高质量发展。</w:t>
            </w:r>
          </w:p>
        </w:tc>
      </w:tr>
      <w:tr w14:paraId="628080D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7558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895AF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E815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8635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0B07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0BF0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BBD37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A1D3B">
            <w:pPr>
              <w:jc w:val="center"/>
            </w:pPr>
            <w:r>
              <w:rPr>
                <w:rFonts w:ascii="宋体" w:hAnsi="宋体" w:eastAsia="宋体"/>
                <w:sz w:val="16"/>
              </w:rPr>
              <w:t>得分</w:t>
            </w:r>
          </w:p>
        </w:tc>
      </w:tr>
      <w:tr w14:paraId="78301D5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D0CDA1">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E164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DCD5C">
            <w:pPr>
              <w:jc w:val="center"/>
            </w:pPr>
            <w:r>
              <w:rPr>
                <w:rFonts w:ascii="宋体" w:hAnsi="宋体" w:eastAsia="宋体"/>
                <w:sz w:val="16"/>
              </w:rPr>
              <w:t>支持州本级公安机关数量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420FB">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CCC17">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0C706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5BB4A">
            <w:pPr>
              <w:jc w:val="center"/>
            </w:pPr>
            <w:r>
              <w:rPr>
                <w:rFonts w:ascii="宋体" w:hAnsi="宋体" w:eastAsia="宋体"/>
                <w:sz w:val="16"/>
              </w:rPr>
              <w:t>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F5B26">
            <w:pPr>
              <w:jc w:val="center"/>
            </w:pPr>
            <w:r>
              <w:rPr>
                <w:rFonts w:ascii="宋体" w:hAnsi="宋体" w:eastAsia="宋体"/>
                <w:sz w:val="16"/>
              </w:rPr>
              <w:t>10</w:t>
            </w:r>
          </w:p>
        </w:tc>
      </w:tr>
      <w:tr w14:paraId="3253961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EAB1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AE9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393B7">
            <w:pPr>
              <w:jc w:val="center"/>
            </w:pPr>
            <w:r>
              <w:rPr>
                <w:rFonts w:ascii="宋体" w:hAnsi="宋体" w:eastAsia="宋体"/>
                <w:sz w:val="16"/>
              </w:rPr>
              <w:t>严防发生暴恐案件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64984">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B3DB7">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2722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7321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13138">
            <w:pPr>
              <w:jc w:val="center"/>
            </w:pPr>
            <w:r>
              <w:rPr>
                <w:rFonts w:ascii="宋体" w:hAnsi="宋体" w:eastAsia="宋体"/>
                <w:sz w:val="16"/>
              </w:rPr>
              <w:t>20</w:t>
            </w:r>
          </w:p>
        </w:tc>
      </w:tr>
      <w:tr w14:paraId="3B1229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17E3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12B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EBCE8">
            <w:pPr>
              <w:jc w:val="center"/>
            </w:pPr>
            <w:r>
              <w:rPr>
                <w:rFonts w:ascii="宋体" w:hAnsi="宋体" w:eastAsia="宋体"/>
                <w:sz w:val="16"/>
              </w:rPr>
              <w:t>严防发生影响恶劣的个人极端暴力犯罪案件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86328">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BDB84">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44D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6D1D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BDB825">
            <w:pPr>
              <w:jc w:val="center"/>
            </w:pPr>
            <w:r>
              <w:rPr>
                <w:rFonts w:ascii="宋体" w:hAnsi="宋体" w:eastAsia="宋体"/>
                <w:sz w:val="16"/>
              </w:rPr>
              <w:t>10</w:t>
            </w:r>
          </w:p>
        </w:tc>
      </w:tr>
      <w:tr w14:paraId="2FD0B7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3B888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7635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3D576">
            <w:pPr>
              <w:jc w:val="center"/>
            </w:pPr>
            <w:r>
              <w:rPr>
                <w:rFonts w:ascii="宋体" w:hAnsi="宋体" w:eastAsia="宋体"/>
                <w:sz w:val="16"/>
              </w:rPr>
              <w:t>严防发生重大影响的政治类敏感事件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CECBA">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82DB0">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C97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9DB8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CAAD4">
            <w:pPr>
              <w:jc w:val="center"/>
            </w:pPr>
            <w:r>
              <w:rPr>
                <w:rFonts w:ascii="宋体" w:hAnsi="宋体" w:eastAsia="宋体"/>
                <w:sz w:val="16"/>
              </w:rPr>
              <w:t>10</w:t>
            </w:r>
          </w:p>
        </w:tc>
      </w:tr>
      <w:tr w14:paraId="1CA8C2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002C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AC971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39A55">
            <w:pPr>
              <w:jc w:val="center"/>
            </w:pPr>
            <w:r>
              <w:rPr>
                <w:rFonts w:ascii="宋体" w:hAnsi="宋体" w:eastAsia="宋体"/>
                <w:sz w:val="16"/>
              </w:rPr>
              <w:t>严防发生重特大公共安全事故</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32D1E">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2854D">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ACFE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001EC">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C05C7">
            <w:pPr>
              <w:jc w:val="center"/>
            </w:pPr>
            <w:r>
              <w:rPr>
                <w:rFonts w:ascii="宋体" w:hAnsi="宋体" w:eastAsia="宋体"/>
                <w:sz w:val="16"/>
              </w:rPr>
              <w:t>10</w:t>
            </w:r>
          </w:p>
        </w:tc>
      </w:tr>
      <w:tr w14:paraId="104DE4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50FE4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1245E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80C89">
            <w:pPr>
              <w:jc w:val="center"/>
            </w:pPr>
            <w:r>
              <w:rPr>
                <w:rFonts w:ascii="宋体" w:hAnsi="宋体" w:eastAsia="宋体"/>
                <w:sz w:val="16"/>
              </w:rPr>
              <w:t>严防发生大规模集体进京访事件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A5D3D">
            <w:pPr>
              <w:jc w:val="center"/>
            </w:pPr>
            <w:r>
              <w:rPr>
                <w:rFonts w:ascii="宋体" w:hAnsi="宋体" w:eastAsia="宋体"/>
                <w:sz w:val="16"/>
              </w:rPr>
              <w:t>=0起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3B63F">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26D8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5A23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515E9">
            <w:pPr>
              <w:jc w:val="center"/>
            </w:pPr>
            <w:r>
              <w:rPr>
                <w:rFonts w:ascii="宋体" w:hAnsi="宋体" w:eastAsia="宋体"/>
                <w:sz w:val="16"/>
              </w:rPr>
              <w:t>10</w:t>
            </w:r>
          </w:p>
        </w:tc>
      </w:tr>
      <w:tr w14:paraId="58922F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26027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B9A842">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8321">
            <w:pPr>
              <w:jc w:val="center"/>
            </w:pPr>
            <w:r>
              <w:rPr>
                <w:rFonts w:ascii="宋体" w:hAnsi="宋体" w:eastAsia="宋体"/>
                <w:sz w:val="16"/>
              </w:rPr>
              <w:t>公安机关案件破案率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E31C5">
            <w:pPr>
              <w:jc w:val="center"/>
            </w:pPr>
            <w:r>
              <w:rPr>
                <w:rFonts w:ascii="宋体" w:hAnsi="宋体" w:eastAsia="宋体"/>
                <w:sz w:val="16"/>
              </w:rPr>
              <w:t>&gt;=30%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5C04A">
            <w:pPr>
              <w:jc w:val="center"/>
            </w:pPr>
            <w:r>
              <w:rPr>
                <w:rFonts w:ascii="宋体" w:hAnsi="宋体" w:eastAsia="宋体"/>
                <w:sz w:val="16"/>
              </w:rPr>
              <w:t>公安机关工作要求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B238C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4FED2">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CD9F9">
            <w:pPr>
              <w:jc w:val="center"/>
            </w:pPr>
            <w:r>
              <w:rPr>
                <w:rFonts w:ascii="宋体" w:hAnsi="宋体" w:eastAsia="宋体"/>
                <w:sz w:val="16"/>
              </w:rPr>
              <w:t>20</w:t>
            </w:r>
          </w:p>
        </w:tc>
      </w:tr>
    </w:tbl>
    <w:p w14:paraId="2EE7BCA9">
      <w:r>
        <w:br w:type="page"/>
      </w:r>
    </w:p>
    <w:p w14:paraId="32D476C3">
      <w:pPr>
        <w:spacing w:line="640" w:lineRule="exact"/>
        <w:ind w:firstLine="640"/>
        <w:jc w:val="both"/>
        <w:outlineLvl w:val="2"/>
      </w:pPr>
      <w:r>
        <w:rPr>
          <w:rFonts w:ascii="黑体" w:hAnsi="黑体" w:eastAsia="黑体"/>
          <w:sz w:val="32"/>
        </w:rPr>
        <w:t>十二、其他需说明的事项</w:t>
      </w:r>
    </w:p>
    <w:p w14:paraId="661F968D">
      <w:pPr>
        <w:spacing w:line="580" w:lineRule="exact"/>
        <w:ind w:firstLine="640"/>
        <w:jc w:val="both"/>
      </w:pPr>
      <w:r>
        <w:rPr>
          <w:rFonts w:ascii="仿宋_GB2312" w:hAnsi="仿宋_GB2312" w:eastAsia="仿宋_GB2312"/>
          <w:b w:val="0"/>
          <w:sz w:val="32"/>
        </w:rPr>
        <w:t>本年本单位不予公开项目36个，全年预算数7503.69万元，全年执行数7211.84万元。</w:t>
      </w:r>
    </w:p>
    <w:p w14:paraId="5DD9E1F2">
      <w:r>
        <w:br w:type="page"/>
      </w:r>
    </w:p>
    <w:p w14:paraId="1FA12B37">
      <w:pPr>
        <w:spacing w:line="240" w:lineRule="auto"/>
        <w:jc w:val="center"/>
        <w:outlineLvl w:val="1"/>
      </w:pPr>
      <w:r>
        <w:rPr>
          <w:rFonts w:ascii="黑体" w:hAnsi="黑体" w:eastAsia="黑体"/>
          <w:sz w:val="32"/>
        </w:rPr>
        <w:t>第三部分 专业名词解释</w:t>
      </w:r>
    </w:p>
    <w:p w14:paraId="4CC13BB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34BF5E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6A85F9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B2DAAD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AF81C1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497D1B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441204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4889B4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72C71A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CA6F95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69B23B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6FBE72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748448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2116A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B62B986">
      <w:r>
        <w:br w:type="page"/>
      </w:r>
    </w:p>
    <w:p w14:paraId="752EBC29">
      <w:pPr>
        <w:spacing w:line="240" w:lineRule="auto"/>
        <w:jc w:val="center"/>
        <w:outlineLvl w:val="1"/>
      </w:pPr>
      <w:r>
        <w:rPr>
          <w:rFonts w:ascii="黑体" w:hAnsi="黑体" w:eastAsia="黑体"/>
          <w:sz w:val="32"/>
        </w:rPr>
        <w:t>第四部分 部门决算报表（见附表）</w:t>
      </w:r>
    </w:p>
    <w:p w14:paraId="37E5E625">
      <w:pPr>
        <w:spacing w:line="240" w:lineRule="auto"/>
        <w:ind w:firstLine="640"/>
        <w:jc w:val="both"/>
      </w:pPr>
      <w:r>
        <w:rPr>
          <w:rFonts w:ascii="仿宋_GB2312" w:hAnsi="仿宋_GB2312" w:eastAsia="仿宋_GB2312"/>
          <w:b w:val="0"/>
          <w:sz w:val="32"/>
        </w:rPr>
        <w:t>一、《收入支出决算总表》</w:t>
      </w:r>
    </w:p>
    <w:p w14:paraId="76AFE110">
      <w:pPr>
        <w:spacing w:line="240" w:lineRule="auto"/>
        <w:ind w:firstLine="640"/>
        <w:jc w:val="both"/>
      </w:pPr>
      <w:r>
        <w:rPr>
          <w:rFonts w:ascii="仿宋_GB2312" w:hAnsi="仿宋_GB2312" w:eastAsia="仿宋_GB2312"/>
          <w:b w:val="0"/>
          <w:sz w:val="32"/>
        </w:rPr>
        <w:t>二、《收入决算表》</w:t>
      </w:r>
    </w:p>
    <w:p w14:paraId="7A0AB52B">
      <w:pPr>
        <w:spacing w:line="240" w:lineRule="auto"/>
        <w:ind w:firstLine="640"/>
        <w:jc w:val="both"/>
      </w:pPr>
      <w:r>
        <w:rPr>
          <w:rFonts w:ascii="仿宋_GB2312" w:hAnsi="仿宋_GB2312" w:eastAsia="仿宋_GB2312"/>
          <w:b w:val="0"/>
          <w:sz w:val="32"/>
        </w:rPr>
        <w:t>三、《支出决算表》</w:t>
      </w:r>
    </w:p>
    <w:p w14:paraId="7AAA26C4">
      <w:pPr>
        <w:spacing w:line="240" w:lineRule="auto"/>
        <w:ind w:firstLine="640"/>
        <w:jc w:val="both"/>
      </w:pPr>
      <w:r>
        <w:rPr>
          <w:rFonts w:ascii="仿宋_GB2312" w:hAnsi="仿宋_GB2312" w:eastAsia="仿宋_GB2312"/>
          <w:b w:val="0"/>
          <w:sz w:val="32"/>
        </w:rPr>
        <w:t>四、《财政拨款收入支出决算总表》</w:t>
      </w:r>
    </w:p>
    <w:p w14:paraId="146AA374">
      <w:pPr>
        <w:spacing w:line="240" w:lineRule="auto"/>
        <w:ind w:firstLine="640"/>
        <w:jc w:val="both"/>
      </w:pPr>
      <w:r>
        <w:rPr>
          <w:rFonts w:ascii="仿宋_GB2312" w:hAnsi="仿宋_GB2312" w:eastAsia="仿宋_GB2312"/>
          <w:b w:val="0"/>
          <w:sz w:val="32"/>
        </w:rPr>
        <w:t>五、《一般公共预算财政拨款支出决算表》</w:t>
      </w:r>
    </w:p>
    <w:p w14:paraId="22A3D24C">
      <w:pPr>
        <w:spacing w:line="240" w:lineRule="auto"/>
        <w:ind w:firstLine="640"/>
        <w:jc w:val="both"/>
      </w:pPr>
      <w:r>
        <w:rPr>
          <w:rFonts w:ascii="仿宋_GB2312" w:hAnsi="仿宋_GB2312" w:eastAsia="仿宋_GB2312"/>
          <w:b w:val="0"/>
          <w:sz w:val="32"/>
        </w:rPr>
        <w:t>六、《一般公共预算财政拨款基本支出决算表》</w:t>
      </w:r>
    </w:p>
    <w:p w14:paraId="57904925">
      <w:pPr>
        <w:spacing w:line="240" w:lineRule="auto"/>
        <w:ind w:firstLine="640"/>
        <w:jc w:val="both"/>
      </w:pPr>
      <w:r>
        <w:rPr>
          <w:rFonts w:ascii="仿宋_GB2312" w:hAnsi="仿宋_GB2312" w:eastAsia="仿宋_GB2312"/>
          <w:b w:val="0"/>
          <w:sz w:val="32"/>
        </w:rPr>
        <w:t>七、《政府性基金预算财政拨款收入支出决算表》</w:t>
      </w:r>
    </w:p>
    <w:p w14:paraId="60830812">
      <w:pPr>
        <w:spacing w:line="240" w:lineRule="auto"/>
        <w:ind w:firstLine="640"/>
        <w:jc w:val="both"/>
      </w:pPr>
      <w:r>
        <w:rPr>
          <w:rFonts w:ascii="仿宋_GB2312" w:hAnsi="仿宋_GB2312" w:eastAsia="仿宋_GB2312"/>
          <w:b w:val="0"/>
          <w:sz w:val="32"/>
        </w:rPr>
        <w:t>八、《国有资本经营预算财政拨款收入支出决算表》</w:t>
      </w:r>
    </w:p>
    <w:p w14:paraId="0CD86369">
      <w:pPr>
        <w:spacing w:line="240" w:lineRule="auto"/>
        <w:ind w:firstLine="640"/>
        <w:jc w:val="both"/>
      </w:pPr>
      <w:r>
        <w:rPr>
          <w:rFonts w:ascii="仿宋_GB2312" w:hAnsi="仿宋_GB2312" w:eastAsia="仿宋_GB2312"/>
          <w:b w:val="0"/>
          <w:sz w:val="32"/>
        </w:rPr>
        <w:t>九、《财政拨款“三公”经费支出决算表》</w:t>
      </w:r>
    </w:p>
    <w:p w14:paraId="245F517D">
      <w:pPr>
        <w:spacing w:line="240" w:lineRule="auto"/>
        <w:ind w:firstLine="640"/>
        <w:jc w:val="both"/>
      </w:pPr>
    </w:p>
    <w:p w14:paraId="30AF800D">
      <w:pPr>
        <w:spacing w:line="240" w:lineRule="auto"/>
        <w:ind w:firstLine="640"/>
        <w:jc w:val="both"/>
      </w:pPr>
    </w:p>
    <w:p w14:paraId="7C5F8198">
      <w:pPr>
        <w:spacing w:line="240" w:lineRule="auto"/>
        <w:ind w:firstLine="640"/>
        <w:jc w:val="both"/>
      </w:pPr>
    </w:p>
    <w:p w14:paraId="3AA0CFD6">
      <w:pPr>
        <w:spacing w:line="240" w:lineRule="auto"/>
        <w:ind w:firstLine="640"/>
        <w:jc w:val="both"/>
      </w:pPr>
    </w:p>
    <w:p w14:paraId="698C953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045589"/>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884CB5"/>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9D67B30"/>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5952</Words>
  <Characters>7055</Characters>
  <Lines>0</Lines>
  <Paragraphs>0</Paragraphs>
  <TotalTime>3</TotalTime>
  <ScaleCrop>false</ScaleCrop>
  <LinksUpToDate>false</LinksUpToDate>
  <CharactersWithSpaces>7063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2025-10-15T03:43:55Z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eyJoZGlkIjoiZWE5M2E4OTRkNmEwYTUyNjM2Mzg3NThiMTA5NmIzZWUiLCJ1c2VySWQiOiI0OTMxMTE3MjUifQ==</vt:lpwstr>
  </property>
</Properties>
</file>