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昌吉回族自治州干部综合考核评价信息服务中心2024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2501C0F">
      <w:r>
        <w:br w:type="page"/>
      </w:r>
    </w:p>
    <w:p w14:paraId="135E9C99">
      <w:pPr>
        <w:spacing w:line="640" w:lineRule="exact"/>
        <w:jc w:val="center"/>
        <w:outlineLvl w:val="1"/>
      </w:pPr>
      <w:r>
        <w:rPr>
          <w:rFonts w:ascii="黑体" w:hAnsi="黑体" w:eastAsia="黑体"/>
          <w:sz w:val="32"/>
        </w:rPr>
        <w:t>第一部分 单位概况</w:t>
      </w:r>
    </w:p>
    <w:p w14:paraId="57018AE5">
      <w:pPr>
        <w:spacing w:line="640" w:lineRule="exact"/>
        <w:ind w:firstLine="640"/>
        <w:jc w:val="both"/>
        <w:outlineLvl w:val="2"/>
      </w:pPr>
      <w:r>
        <w:rPr>
          <w:rFonts w:ascii="黑体" w:hAnsi="黑体" w:eastAsia="黑体"/>
          <w:sz w:val="32"/>
        </w:rPr>
        <w:t>一、主要职能</w:t>
      </w:r>
    </w:p>
    <w:p w14:paraId="4EAD41DB">
      <w:pPr>
        <w:spacing w:line="580" w:lineRule="exact"/>
        <w:ind w:firstLine="640"/>
        <w:jc w:val="both"/>
        <w:rPr>
          <w:rFonts w:hint="eastAsia" w:eastAsia="仿宋_GB2312"/>
          <w:lang w:eastAsia="zh-CN"/>
        </w:rPr>
      </w:pPr>
      <w:r>
        <w:rPr>
          <w:rFonts w:ascii="仿宋_GB2312" w:hAnsi="仿宋_GB2312" w:eastAsia="仿宋_GB2312"/>
          <w:sz w:val="32"/>
        </w:rPr>
        <w:t>昌吉回族自治州干部综合考核评价信息服务中心（以下简称州干部综合考评中心）贯彻落实党中央关于干部综合（绩效）考核评价的方针政策、决策部署以及自治区、自治州党委工作要求，在履行职责过程中坚持和加强党对干部综合（绩效）考核评价工作的集中统一领导。主要职责是</w:t>
      </w:r>
      <w:r>
        <w:rPr>
          <w:rFonts w:hint="eastAsia" w:ascii="仿宋_GB2312" w:hAnsi="仿宋_GB2312" w:eastAsia="仿宋_GB2312"/>
          <w:sz w:val="32"/>
          <w:lang w:eastAsia="zh-CN"/>
        </w:rPr>
        <w:t>：</w:t>
      </w:r>
    </w:p>
    <w:p w14:paraId="45BF8070">
      <w:pPr>
        <w:spacing w:line="580" w:lineRule="exact"/>
        <w:ind w:firstLine="640"/>
        <w:jc w:val="both"/>
      </w:pPr>
      <w:r>
        <w:rPr>
          <w:rFonts w:ascii="仿宋_GB2312" w:hAnsi="仿宋_GB2312" w:eastAsia="仿宋_GB2312"/>
          <w:sz w:val="32"/>
        </w:rPr>
        <w:t>（一）贯彻执行党中央《党政领导干部考核工作条例》及自治区、自治州党委关于干部综合（绩效）考核评价工作相关要求，建立完善日常考核、分类考核、近距离考核的“知事识人”体系。</w:t>
      </w:r>
    </w:p>
    <w:p w14:paraId="351B8B53">
      <w:pPr>
        <w:spacing w:line="580" w:lineRule="exact"/>
        <w:ind w:firstLine="640"/>
        <w:jc w:val="both"/>
      </w:pPr>
      <w:r>
        <w:rPr>
          <w:rFonts w:ascii="仿宋_GB2312" w:hAnsi="仿宋_GB2312" w:eastAsia="仿宋_GB2312"/>
          <w:sz w:val="32"/>
        </w:rPr>
        <w:t>（二）在州党委组织部的指导下，研究制定自治州领导班子和领导干部综合（绩效）考核评价实施办法、年度工作方案等并组织实施。</w:t>
      </w:r>
    </w:p>
    <w:p w14:paraId="2C775CE7">
      <w:pPr>
        <w:spacing w:line="580" w:lineRule="exact"/>
        <w:ind w:firstLine="640"/>
        <w:jc w:val="both"/>
      </w:pPr>
      <w:r>
        <w:rPr>
          <w:rFonts w:ascii="仿宋_GB2312" w:hAnsi="仿宋_GB2312" w:eastAsia="仿宋_GB2312"/>
          <w:sz w:val="32"/>
        </w:rPr>
        <w:t>（三）负责县市（园区）、州直部门、事业单位、国资委监管国有企业县级领导班子和县级干部综合（绩效）考核评价的指标设定、日常监管和检查核验工作。</w:t>
      </w:r>
    </w:p>
    <w:p w14:paraId="41C188D5">
      <w:pPr>
        <w:spacing w:line="580" w:lineRule="exact"/>
        <w:ind w:firstLine="640"/>
        <w:jc w:val="both"/>
      </w:pPr>
      <w:r>
        <w:rPr>
          <w:rFonts w:ascii="仿宋_GB2312" w:hAnsi="仿宋_GB2312" w:eastAsia="仿宋_GB2312"/>
          <w:sz w:val="32"/>
        </w:rPr>
        <w:t>（四）配合州党委组织部开展县级领导班子和领导干部的平时考核、年度考核、专项考核、任期考核。</w:t>
      </w:r>
    </w:p>
    <w:p w14:paraId="11068FC8">
      <w:pPr>
        <w:spacing w:line="580" w:lineRule="exact"/>
        <w:ind w:firstLine="640"/>
        <w:jc w:val="both"/>
      </w:pPr>
      <w:r>
        <w:rPr>
          <w:rFonts w:ascii="仿宋_GB2312" w:hAnsi="仿宋_GB2312" w:eastAsia="仿宋_GB2312"/>
          <w:sz w:val="32"/>
        </w:rPr>
        <w:t>（五）负责县级领导班子和县级干部年度考核成绩梳理汇总，为考核定等提供数据和参考依据。</w:t>
      </w:r>
    </w:p>
    <w:p w14:paraId="35DF5ECD">
      <w:pPr>
        <w:spacing w:line="580" w:lineRule="exact"/>
        <w:ind w:firstLine="640"/>
        <w:jc w:val="both"/>
      </w:pPr>
      <w:r>
        <w:rPr>
          <w:rFonts w:ascii="仿宋_GB2312" w:hAnsi="仿宋_GB2312" w:eastAsia="仿宋_GB2312"/>
          <w:sz w:val="32"/>
        </w:rPr>
        <w:t>（六）在州党委组织部的指导下，承办科级及以下公务员考核奖励事务性工作。</w:t>
      </w:r>
    </w:p>
    <w:p w14:paraId="66AE29C6">
      <w:pPr>
        <w:spacing w:line="580" w:lineRule="exact"/>
        <w:ind w:firstLine="640"/>
        <w:jc w:val="both"/>
      </w:pPr>
      <w:r>
        <w:rPr>
          <w:rFonts w:ascii="仿宋_GB2312" w:hAnsi="仿宋_GB2312" w:eastAsia="仿宋_GB2312"/>
          <w:sz w:val="32"/>
        </w:rPr>
        <w:t>（七）负责自治区年度（绩效）考核任务的统筹协调、督促落实和工作对接。</w:t>
      </w:r>
    </w:p>
    <w:p w14:paraId="4E71B93E">
      <w:pPr>
        <w:spacing w:line="580" w:lineRule="exact"/>
        <w:ind w:firstLine="640"/>
        <w:jc w:val="both"/>
      </w:pPr>
      <w:r>
        <w:rPr>
          <w:rFonts w:ascii="仿宋_GB2312" w:hAnsi="仿宋_GB2312" w:eastAsia="仿宋_GB2312"/>
          <w:sz w:val="32"/>
        </w:rPr>
        <w:t>（八）负责全州县级领导班子和领导干部综合（绩效）考核评价信息化建设，承担“昌吉州领导班子和领导干部综合（绩效）考核评价智能管理系统”的日常管理、运行维护和改进升级工作。</w:t>
      </w:r>
    </w:p>
    <w:p w14:paraId="0ED988FA">
      <w:pPr>
        <w:spacing w:line="580" w:lineRule="exact"/>
        <w:ind w:firstLine="640"/>
        <w:jc w:val="both"/>
      </w:pPr>
      <w:r>
        <w:rPr>
          <w:rFonts w:ascii="仿宋_GB2312" w:hAnsi="仿宋_GB2312" w:eastAsia="仿宋_GB2312"/>
          <w:sz w:val="32"/>
        </w:rPr>
        <w:t>（十）负责统筹规范自治州各类考核达标事项。</w:t>
      </w:r>
    </w:p>
    <w:p w14:paraId="22EC286A">
      <w:pPr>
        <w:spacing w:line="580" w:lineRule="exact"/>
        <w:ind w:firstLine="640"/>
        <w:jc w:val="both"/>
      </w:pPr>
      <w:r>
        <w:rPr>
          <w:rFonts w:ascii="仿宋_GB2312" w:hAnsi="仿宋_GB2312" w:eastAsia="仿宋_GB2312"/>
          <w:sz w:val="32"/>
        </w:rPr>
        <w:t>（十）指导各县市（园区）、州直部门干部综合（绩效）考核评价工作。</w:t>
      </w:r>
    </w:p>
    <w:p w14:paraId="39D351FA">
      <w:pPr>
        <w:spacing w:line="580" w:lineRule="exact"/>
        <w:ind w:firstLine="640"/>
        <w:jc w:val="both"/>
      </w:pPr>
      <w:r>
        <w:rPr>
          <w:rFonts w:ascii="仿宋_GB2312" w:hAnsi="仿宋_GB2312" w:eastAsia="仿宋_GB2312"/>
          <w:sz w:val="32"/>
        </w:rPr>
        <w:t>（十一）完成自治州党委交办的其他任务。</w:t>
      </w:r>
    </w:p>
    <w:p w14:paraId="297F870D">
      <w:pPr>
        <w:spacing w:line="640" w:lineRule="exact"/>
        <w:ind w:firstLine="640"/>
        <w:jc w:val="both"/>
        <w:outlineLvl w:val="2"/>
      </w:pPr>
      <w:r>
        <w:rPr>
          <w:rFonts w:ascii="黑体" w:hAnsi="黑体" w:eastAsia="黑体"/>
          <w:sz w:val="32"/>
        </w:rPr>
        <w:t>二、机构设置及人员情况</w:t>
      </w:r>
    </w:p>
    <w:p w14:paraId="5DBA093D">
      <w:pPr>
        <w:spacing w:line="580" w:lineRule="exact"/>
        <w:ind w:firstLine="640"/>
        <w:jc w:val="both"/>
      </w:pPr>
      <w:r>
        <w:rPr>
          <w:rFonts w:ascii="仿宋_GB2312" w:hAnsi="仿宋_GB2312" w:eastAsia="仿宋_GB2312"/>
          <w:sz w:val="32"/>
        </w:rPr>
        <w:t>昌吉回族自治州干部综合考核评价信息服务中心2024年度，实有人数12人，其中：在职人员12人，增加0人；离休人员0人，增加0人；退休人员0人,增加0人。</w:t>
      </w:r>
    </w:p>
    <w:p w14:paraId="33A6518F">
      <w:pPr>
        <w:spacing w:line="580" w:lineRule="exact"/>
        <w:ind w:firstLine="640"/>
        <w:jc w:val="both"/>
      </w:pPr>
      <w:r>
        <w:rPr>
          <w:rFonts w:ascii="仿宋_GB2312" w:hAnsi="仿宋_GB2312" w:eastAsia="仿宋_GB2312"/>
          <w:sz w:val="32"/>
        </w:rPr>
        <w:t>昌吉回族自治州干部综合考核评价信息服务中心无下属预算单位，下设3个科室，分别是：综合科（组织人事科）、考评一科、考评二科。</w:t>
      </w:r>
    </w:p>
    <w:p w14:paraId="4345E709">
      <w:r>
        <w:br w:type="page"/>
      </w:r>
    </w:p>
    <w:p w14:paraId="39495525">
      <w:pPr>
        <w:spacing w:line="240" w:lineRule="auto"/>
        <w:jc w:val="center"/>
        <w:outlineLvl w:val="1"/>
      </w:pPr>
      <w:r>
        <w:rPr>
          <w:rFonts w:ascii="黑体" w:hAnsi="黑体" w:eastAsia="黑体"/>
          <w:sz w:val="32"/>
        </w:rPr>
        <w:t>第二部分 部门决算情况说明</w:t>
      </w:r>
    </w:p>
    <w:p w14:paraId="652B6B51">
      <w:pPr>
        <w:spacing w:line="640" w:lineRule="exact"/>
        <w:ind w:firstLine="640"/>
        <w:jc w:val="both"/>
        <w:outlineLvl w:val="2"/>
      </w:pPr>
      <w:r>
        <w:rPr>
          <w:rFonts w:ascii="黑体" w:hAnsi="黑体" w:eastAsia="黑体"/>
          <w:sz w:val="32"/>
        </w:rPr>
        <w:t>一、收入支出决算总体情况说明</w:t>
      </w:r>
    </w:p>
    <w:p w14:paraId="335BB75D">
      <w:pPr>
        <w:spacing w:line="580" w:lineRule="exact"/>
        <w:ind w:firstLine="640"/>
        <w:jc w:val="both"/>
      </w:pPr>
      <w:r>
        <w:rPr>
          <w:rFonts w:ascii="仿宋_GB2312" w:hAnsi="仿宋_GB2312" w:eastAsia="仿宋_GB2312"/>
          <w:b/>
          <w:sz w:val="32"/>
        </w:rPr>
        <w:t>2024年度收入总计313.76万元，</w:t>
      </w:r>
      <w:r>
        <w:rPr>
          <w:rFonts w:ascii="仿宋_GB2312" w:hAnsi="仿宋_GB2312" w:eastAsia="仿宋_GB2312"/>
          <w:b w:val="0"/>
          <w:sz w:val="32"/>
        </w:rPr>
        <w:t>其中：本年收入合计291.61万元，使用非财政拨款结余（含专用结余）0.00万元，年初结转和结余22.15万元。</w:t>
      </w:r>
    </w:p>
    <w:p w14:paraId="5C379C59">
      <w:pPr>
        <w:spacing w:line="580" w:lineRule="exact"/>
        <w:ind w:firstLine="640"/>
        <w:jc w:val="both"/>
      </w:pPr>
      <w:r>
        <w:rPr>
          <w:rFonts w:ascii="仿宋_GB2312" w:hAnsi="仿宋_GB2312" w:eastAsia="仿宋_GB2312"/>
          <w:b/>
          <w:sz w:val="32"/>
        </w:rPr>
        <w:t>2024年度支出总计313.76万元，</w:t>
      </w:r>
      <w:r>
        <w:rPr>
          <w:rFonts w:ascii="仿宋_GB2312" w:hAnsi="仿宋_GB2312" w:eastAsia="仿宋_GB2312"/>
          <w:b w:val="0"/>
          <w:sz w:val="32"/>
        </w:rPr>
        <w:t>其中：本年支出合计291.12万元，结余分配0.00万元，年末结转和结余22.64万元。</w:t>
      </w:r>
    </w:p>
    <w:p w14:paraId="6DD79174">
      <w:pPr>
        <w:spacing w:line="580" w:lineRule="exact"/>
        <w:ind w:firstLine="640"/>
        <w:jc w:val="both"/>
      </w:pPr>
      <w:r>
        <w:rPr>
          <w:rFonts w:ascii="仿宋_GB2312" w:hAnsi="仿宋_GB2312" w:eastAsia="仿宋_GB2312"/>
          <w:b w:val="0"/>
          <w:sz w:val="32"/>
        </w:rPr>
        <w:t>收入支出总体与上年相比，减少19.01万元，下降5.71%，主要原因是：本年减少工程项目州本级配套资金、购置公务用车专项经费、自治区结转结余工程建设资金、援疆教育培训资金。</w:t>
      </w:r>
    </w:p>
    <w:p w14:paraId="7D91508F">
      <w:pPr>
        <w:spacing w:line="640" w:lineRule="exact"/>
        <w:ind w:firstLine="640"/>
        <w:jc w:val="both"/>
        <w:outlineLvl w:val="2"/>
      </w:pPr>
      <w:r>
        <w:rPr>
          <w:rFonts w:ascii="黑体" w:hAnsi="黑体" w:eastAsia="黑体"/>
          <w:sz w:val="32"/>
        </w:rPr>
        <w:t>二、收入决算情况说明</w:t>
      </w:r>
    </w:p>
    <w:p w14:paraId="60ED156E">
      <w:pPr>
        <w:spacing w:line="580" w:lineRule="exact"/>
        <w:ind w:firstLine="640"/>
        <w:jc w:val="both"/>
      </w:pPr>
      <w:r>
        <w:rPr>
          <w:rFonts w:ascii="仿宋_GB2312" w:hAnsi="仿宋_GB2312" w:eastAsia="仿宋_GB2312"/>
          <w:b/>
          <w:sz w:val="32"/>
        </w:rPr>
        <w:t>本年收入291.61万元，</w:t>
      </w:r>
      <w:r>
        <w:rPr>
          <w:rFonts w:ascii="仿宋_GB2312" w:hAnsi="仿宋_GB2312" w:eastAsia="仿宋_GB2312"/>
          <w:b w:val="0"/>
          <w:sz w:val="32"/>
        </w:rPr>
        <w:t>其中：财政拨款收入271.22万元，占93.01%；上级补助收入0.00万元，占0.00%；事业收入0.00万元，占0.00%；经营收入0.00万元，占0.00%；附属单位上缴收入0.00万元，占0.00%；其他收入20.39万元，占6.99%。</w:t>
      </w:r>
    </w:p>
    <w:p w14:paraId="2546E404">
      <w:pPr>
        <w:spacing w:line="640" w:lineRule="exact"/>
        <w:ind w:firstLine="640"/>
        <w:jc w:val="both"/>
        <w:outlineLvl w:val="2"/>
      </w:pPr>
      <w:r>
        <w:rPr>
          <w:rFonts w:ascii="黑体" w:hAnsi="黑体" w:eastAsia="黑体"/>
          <w:sz w:val="32"/>
        </w:rPr>
        <w:t>三、支出决算情况说明</w:t>
      </w:r>
    </w:p>
    <w:p w14:paraId="7CF8080B">
      <w:pPr>
        <w:spacing w:line="580" w:lineRule="exact"/>
        <w:ind w:firstLine="640"/>
        <w:jc w:val="both"/>
      </w:pPr>
      <w:r>
        <w:rPr>
          <w:rFonts w:ascii="仿宋_GB2312" w:hAnsi="仿宋_GB2312" w:eastAsia="仿宋_GB2312"/>
          <w:b/>
          <w:sz w:val="32"/>
        </w:rPr>
        <w:t>本年支出291.12万元，</w:t>
      </w:r>
      <w:r>
        <w:rPr>
          <w:rFonts w:ascii="仿宋_GB2312" w:hAnsi="仿宋_GB2312" w:eastAsia="仿宋_GB2312"/>
          <w:b w:val="0"/>
          <w:sz w:val="32"/>
        </w:rPr>
        <w:t>其中：基本支出241.10万元，占82.82%；项目支出50.02万元，占17.18%；上缴上级支出0.00万元，占0.00%；经营支出0.00万元，占0.00%；对附属单位补助支出0.00万元，占0.00%。</w:t>
      </w:r>
    </w:p>
    <w:p w14:paraId="4A643C72">
      <w:pPr>
        <w:spacing w:line="640" w:lineRule="exact"/>
        <w:ind w:firstLine="640"/>
        <w:jc w:val="both"/>
        <w:outlineLvl w:val="2"/>
      </w:pPr>
      <w:r>
        <w:rPr>
          <w:rFonts w:ascii="黑体" w:hAnsi="黑体" w:eastAsia="黑体"/>
          <w:sz w:val="32"/>
        </w:rPr>
        <w:t>四、财政拨款收入支出决算总体情况说明</w:t>
      </w:r>
    </w:p>
    <w:p w14:paraId="67C8BF50">
      <w:pPr>
        <w:spacing w:line="580" w:lineRule="exact"/>
        <w:ind w:firstLine="640"/>
        <w:jc w:val="both"/>
      </w:pPr>
      <w:r>
        <w:rPr>
          <w:rFonts w:ascii="仿宋_GB2312" w:hAnsi="仿宋_GB2312" w:eastAsia="仿宋_GB2312"/>
          <w:b/>
          <w:sz w:val="32"/>
        </w:rPr>
        <w:t>2024年度财政拨款收入总计271.22万元，</w:t>
      </w:r>
      <w:r>
        <w:rPr>
          <w:rFonts w:ascii="仿宋_GB2312" w:hAnsi="仿宋_GB2312" w:eastAsia="仿宋_GB2312"/>
          <w:b w:val="0"/>
          <w:sz w:val="32"/>
        </w:rPr>
        <w:t>其中：年初财政拨款结转和结余0.00万元，本年财政拨款收入271.22万元。</w:t>
      </w:r>
      <w:r>
        <w:rPr>
          <w:rFonts w:ascii="仿宋_GB2312" w:hAnsi="仿宋_GB2312" w:eastAsia="仿宋_GB2312"/>
          <w:b/>
          <w:sz w:val="32"/>
        </w:rPr>
        <w:t>财政拨款支出总计271.22万元，</w:t>
      </w:r>
      <w:r>
        <w:rPr>
          <w:rFonts w:ascii="仿宋_GB2312" w:hAnsi="仿宋_GB2312" w:eastAsia="仿宋_GB2312"/>
          <w:b w:val="0"/>
          <w:sz w:val="32"/>
        </w:rPr>
        <w:t>其中：年末财政拨款结转和结余0.00万元，本年财政拨款支出271.22万元。</w:t>
      </w:r>
    </w:p>
    <w:p w14:paraId="1F592FD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减少7.00万元，下降2.52%，主要原因是：本年减少工程项目州本级配套资金、购置公务用车专项经费、自治区结转结余工程建设资金。</w:t>
      </w:r>
      <w:r>
        <w:rPr>
          <w:rFonts w:ascii="仿宋_GB2312" w:hAnsi="仿宋_GB2312" w:eastAsia="仿宋_GB2312"/>
          <w:b/>
          <w:sz w:val="32"/>
        </w:rPr>
        <w:t>与年初预算相比，</w:t>
      </w:r>
      <w:r>
        <w:rPr>
          <w:rFonts w:ascii="仿宋_GB2312" w:hAnsi="仿宋_GB2312" w:eastAsia="仿宋_GB2312"/>
          <w:b w:val="0"/>
          <w:sz w:val="32"/>
        </w:rPr>
        <w:t>年初预算数294.06万元，决算数271.22万元，预决算差异率-7.77%，主要原因是：年中调减机构运行补助、2024年绩效考核公众满意度测评等项目资金，导致预决算存在差异。</w:t>
      </w:r>
    </w:p>
    <w:p w14:paraId="39B9F493">
      <w:pPr>
        <w:spacing w:line="640" w:lineRule="exact"/>
        <w:ind w:firstLine="640"/>
        <w:jc w:val="both"/>
        <w:outlineLvl w:val="2"/>
      </w:pPr>
      <w:r>
        <w:rPr>
          <w:rFonts w:ascii="黑体" w:hAnsi="黑体" w:eastAsia="黑体"/>
          <w:sz w:val="32"/>
        </w:rPr>
        <w:t>五、一般公共预算财政拨款支出决算情况说明</w:t>
      </w:r>
    </w:p>
    <w:p w14:paraId="34023794">
      <w:pPr>
        <w:spacing w:line="640" w:lineRule="exact"/>
        <w:ind w:firstLine="640"/>
        <w:jc w:val="both"/>
        <w:outlineLvl w:val="3"/>
      </w:pPr>
      <w:r>
        <w:rPr>
          <w:rFonts w:ascii="楷体_GB2312" w:hAnsi="楷体_GB2312" w:eastAsia="楷体_GB2312"/>
          <w:b/>
          <w:sz w:val="32"/>
        </w:rPr>
        <w:t>（一）一般公共预算财政拨款支出决算总体情况</w:t>
      </w:r>
    </w:p>
    <w:p w14:paraId="218A126E">
      <w:pPr>
        <w:spacing w:line="580" w:lineRule="exact"/>
        <w:ind w:firstLine="640"/>
        <w:jc w:val="both"/>
      </w:pPr>
      <w:r>
        <w:rPr>
          <w:rFonts w:ascii="仿宋_GB2312" w:hAnsi="仿宋_GB2312" w:eastAsia="仿宋_GB2312"/>
          <w:b/>
          <w:sz w:val="32"/>
        </w:rPr>
        <w:t>2024年度一般公共预算财政拨款支出271.22万元，</w:t>
      </w:r>
      <w:r>
        <w:rPr>
          <w:rFonts w:ascii="仿宋_GB2312" w:hAnsi="仿宋_GB2312" w:eastAsia="仿宋_GB2312"/>
          <w:b w:val="0"/>
          <w:sz w:val="32"/>
        </w:rPr>
        <w:t>占本年支出合计的93.16%。</w:t>
      </w:r>
      <w:r>
        <w:rPr>
          <w:rFonts w:ascii="仿宋_GB2312" w:hAnsi="仿宋_GB2312" w:eastAsia="仿宋_GB2312"/>
          <w:b/>
          <w:sz w:val="32"/>
        </w:rPr>
        <w:t>与上年相比，</w:t>
      </w:r>
      <w:r>
        <w:rPr>
          <w:rFonts w:ascii="仿宋_GB2312" w:hAnsi="仿宋_GB2312" w:eastAsia="仿宋_GB2312"/>
          <w:b w:val="0"/>
          <w:sz w:val="32"/>
        </w:rPr>
        <w:t>减少7.00万元，下降2.52%，主要原因是：本年减少工程项目州本级配套资金、购置公务用车专项经费、自治区结转结余工程建设资金。</w:t>
      </w:r>
      <w:r>
        <w:rPr>
          <w:rFonts w:ascii="仿宋_GB2312" w:hAnsi="仿宋_GB2312" w:eastAsia="仿宋_GB2312"/>
          <w:b/>
          <w:sz w:val="32"/>
        </w:rPr>
        <w:t>与年初预算相比,</w:t>
      </w:r>
      <w:r>
        <w:rPr>
          <w:rFonts w:ascii="仿宋_GB2312" w:hAnsi="仿宋_GB2312" w:eastAsia="仿宋_GB2312"/>
          <w:b w:val="0"/>
          <w:sz w:val="32"/>
        </w:rPr>
        <w:t>年初预算数294.06万元，决算数271.22万元，预决算差异率-7.77%，主要原因是：年中调减机构运行补助、2024年绩效考核公众满意度测评等项目资金，导致预决算存在差异。</w:t>
      </w:r>
    </w:p>
    <w:p w14:paraId="20A423B1">
      <w:pPr>
        <w:spacing w:line="640" w:lineRule="exact"/>
        <w:ind w:firstLine="640"/>
        <w:jc w:val="both"/>
        <w:outlineLvl w:val="3"/>
      </w:pPr>
      <w:r>
        <w:rPr>
          <w:rFonts w:ascii="楷体_GB2312" w:hAnsi="楷体_GB2312" w:eastAsia="楷体_GB2312"/>
          <w:b/>
          <w:sz w:val="32"/>
        </w:rPr>
        <w:t>（二）一般公共预算财政拨款支出决算结构情况</w:t>
      </w:r>
    </w:p>
    <w:p w14:paraId="29794601">
      <w:pPr>
        <w:spacing w:line="580" w:lineRule="exact"/>
        <w:ind w:firstLine="640"/>
        <w:jc w:val="both"/>
      </w:pPr>
      <w:r>
        <w:rPr>
          <w:rFonts w:ascii="仿宋_GB2312" w:hAnsi="仿宋_GB2312" w:eastAsia="仿宋_GB2312"/>
          <w:b w:val="0"/>
          <w:sz w:val="32"/>
        </w:rPr>
        <w:t>1.一般公共服务支出(类)204.41万元,占75.37%。</w:t>
      </w:r>
    </w:p>
    <w:p w14:paraId="4457A912">
      <w:pPr>
        <w:spacing w:line="580" w:lineRule="exact"/>
        <w:ind w:firstLine="640"/>
        <w:jc w:val="both"/>
      </w:pPr>
      <w:r>
        <w:rPr>
          <w:rFonts w:ascii="仿宋_GB2312" w:hAnsi="仿宋_GB2312" w:eastAsia="仿宋_GB2312"/>
          <w:b w:val="0"/>
          <w:sz w:val="32"/>
        </w:rPr>
        <w:t>2.社会保障和就业支出(类)39.33万元,占14.50%。</w:t>
      </w:r>
    </w:p>
    <w:p w14:paraId="2DB52A28">
      <w:pPr>
        <w:spacing w:line="580" w:lineRule="exact"/>
        <w:ind w:firstLine="640"/>
        <w:jc w:val="both"/>
      </w:pPr>
      <w:r>
        <w:rPr>
          <w:rFonts w:ascii="仿宋_GB2312" w:hAnsi="仿宋_GB2312" w:eastAsia="仿宋_GB2312"/>
          <w:b w:val="0"/>
          <w:sz w:val="32"/>
        </w:rPr>
        <w:t>3.卫生健康支出(类)10.93万元,占4.03%。</w:t>
      </w:r>
    </w:p>
    <w:p w14:paraId="6683AC3C">
      <w:pPr>
        <w:spacing w:line="580" w:lineRule="exact"/>
        <w:ind w:firstLine="640"/>
        <w:jc w:val="both"/>
      </w:pPr>
      <w:r>
        <w:rPr>
          <w:rFonts w:ascii="仿宋_GB2312" w:hAnsi="仿宋_GB2312" w:eastAsia="仿宋_GB2312"/>
          <w:b w:val="0"/>
          <w:sz w:val="32"/>
        </w:rPr>
        <w:t>4.住房保障支出(类)16.54万元,占6.10%。</w:t>
      </w:r>
    </w:p>
    <w:p w14:paraId="0E1D6C07">
      <w:pPr>
        <w:spacing w:line="640" w:lineRule="exact"/>
        <w:ind w:firstLine="640"/>
        <w:jc w:val="both"/>
        <w:outlineLvl w:val="3"/>
      </w:pPr>
      <w:r>
        <w:rPr>
          <w:rFonts w:ascii="楷体_GB2312" w:hAnsi="楷体_GB2312" w:eastAsia="楷体_GB2312"/>
          <w:b/>
          <w:sz w:val="32"/>
        </w:rPr>
        <w:t>（三）一般公共预算财政拨款支出决算具体情况</w:t>
      </w:r>
    </w:p>
    <w:p w14:paraId="7FE8B63E">
      <w:pPr>
        <w:spacing w:line="580" w:lineRule="exact"/>
        <w:ind w:firstLine="640"/>
        <w:jc w:val="both"/>
      </w:pPr>
      <w:r>
        <w:rPr>
          <w:rFonts w:ascii="仿宋_GB2312" w:hAnsi="仿宋_GB2312" w:eastAsia="仿宋_GB2312"/>
          <w:b w:val="0"/>
          <w:sz w:val="32"/>
        </w:rPr>
        <w:t>1.一般公共服务支出(类)组织事务(款)事业运行(项):支出决算数为174.20万元，比上年决算增加7.73万元，增长4.64%,主要原因是：本年在职人员工资调增，导致相关人员经费较上年有所增加。</w:t>
      </w:r>
    </w:p>
    <w:p w14:paraId="288F2EE6">
      <w:pPr>
        <w:spacing w:line="580" w:lineRule="exact"/>
        <w:ind w:firstLine="640"/>
        <w:jc w:val="both"/>
      </w:pPr>
      <w:r>
        <w:rPr>
          <w:rFonts w:ascii="仿宋_GB2312" w:hAnsi="仿宋_GB2312" w:eastAsia="仿宋_GB2312"/>
          <w:b w:val="0"/>
          <w:sz w:val="32"/>
        </w:rPr>
        <w:t>2.一般公共服务支出(类)组织事务(款)其他组织事务支出(项):支出决算数为30.21万元，比上年决算减少27.90万元，下降48.01%,主要原因是：本年减少工程项目州本级配套资金、购置公务用车专项经费、自治区结转结余工程建设资金。</w:t>
      </w:r>
    </w:p>
    <w:p w14:paraId="76800963">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20.44万元，比上年决算增加2.14万元，增长11.69%,主要原因是：本年在职人员工资基数调增，养老缴费基数上涨，相应支出增加。</w:t>
      </w:r>
    </w:p>
    <w:p w14:paraId="6762BEF1">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18.89万元，比上年决算增加9.85万元，增长108.96%,主要原因是：本年补缴往年辞职调出人员职业年金，职业年金缴费支出增加。</w:t>
      </w:r>
    </w:p>
    <w:p w14:paraId="73F4D4E8">
      <w:pPr>
        <w:spacing w:line="580" w:lineRule="exact"/>
        <w:ind w:firstLine="640"/>
        <w:jc w:val="both"/>
      </w:pPr>
      <w:r>
        <w:rPr>
          <w:rFonts w:ascii="仿宋_GB2312" w:hAnsi="仿宋_GB2312" w:eastAsia="仿宋_GB2312"/>
          <w:b w:val="0"/>
          <w:sz w:val="32"/>
        </w:rPr>
        <w:t>5.卫生健康支出(类)行政事业单位医疗(款)事业单位医疗(项):支出决算数为10.22万元，比上年决算增加1.18万元，增长13.05%,主要原因是：本年在职人员工资基数调增，医疗缴费基数上涨，相应支出增加。</w:t>
      </w:r>
    </w:p>
    <w:p w14:paraId="28370497">
      <w:pPr>
        <w:spacing w:line="580" w:lineRule="exact"/>
        <w:ind w:firstLine="640"/>
        <w:jc w:val="both"/>
      </w:pPr>
      <w:r>
        <w:rPr>
          <w:rFonts w:ascii="仿宋_GB2312" w:hAnsi="仿宋_GB2312" w:eastAsia="仿宋_GB2312"/>
          <w:b w:val="0"/>
          <w:sz w:val="32"/>
        </w:rPr>
        <w:t>6.卫生健康支出(类)行政事业单位医疗(款)公务员医疗补助(项):支出决算数为0.64万元，比上年决算增加0.07万元，增长12.28%,主要原因是：本年在职人员工资基数调增，医疗缴费基数上涨，相应支出增加。</w:t>
      </w:r>
    </w:p>
    <w:p w14:paraId="0E8F1EE9">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7.卫生健康支出(类)行政事业单位医疗(款)其他行政事业单位医疗支出(项):支出决算数为0.07万元，比上年决算增加0.00万元，增长0.00%,主要原因是：本年其他行政事业单位医疗支出与上年一致，无变化。</w:t>
      </w:r>
    </w:p>
    <w:p w14:paraId="38F920DE">
      <w:pPr>
        <w:spacing w:line="580" w:lineRule="exact"/>
        <w:ind w:firstLine="640"/>
        <w:jc w:val="both"/>
      </w:pPr>
      <w:r>
        <w:rPr>
          <w:rFonts w:ascii="仿宋_GB2312" w:hAnsi="仿宋_GB2312" w:eastAsia="仿宋_GB2312"/>
          <w:b w:val="0"/>
          <w:sz w:val="32"/>
        </w:rPr>
        <w:t>8.住房保障支出(类)住房改革支出(款)住房公积金(项):支出决算数为16.54万元，比上年决算增加1.93万元，增长13.21%,主要原因是：本年在职人员工资基数调增，公积金缴费基数上涨，相应支出增加。</w:t>
      </w:r>
    </w:p>
    <w:p w14:paraId="287BBE44">
      <w:pPr>
        <w:spacing w:line="580" w:lineRule="exact"/>
        <w:ind w:firstLine="640"/>
        <w:jc w:val="both"/>
      </w:pPr>
      <w:r>
        <w:rPr>
          <w:rFonts w:ascii="仿宋_GB2312" w:hAnsi="仿宋_GB2312" w:eastAsia="仿宋_GB2312"/>
          <w:b w:val="0"/>
          <w:sz w:val="32"/>
        </w:rPr>
        <w:t>9.其他支出(类)其他支出(款)其他支出(项):支出决算数为0.00万元，比上年决算减少2.02万元，下降100.00%,主要原因是：本年减少为民办实事经费。</w:t>
      </w:r>
    </w:p>
    <w:p w14:paraId="296C3EF3">
      <w:pPr>
        <w:spacing w:line="640" w:lineRule="exact"/>
        <w:ind w:firstLine="640"/>
        <w:jc w:val="both"/>
        <w:outlineLvl w:val="2"/>
      </w:pPr>
      <w:r>
        <w:rPr>
          <w:rFonts w:ascii="黑体" w:hAnsi="黑体" w:eastAsia="黑体"/>
          <w:sz w:val="32"/>
        </w:rPr>
        <w:t>六、一般公共预算财政拨款基本支出决算情况说明</w:t>
      </w:r>
    </w:p>
    <w:p w14:paraId="344F2E46">
      <w:pPr>
        <w:spacing w:line="580" w:lineRule="exact"/>
        <w:ind w:firstLine="640"/>
        <w:jc w:val="both"/>
      </w:pPr>
      <w:r>
        <w:rPr>
          <w:rFonts w:ascii="仿宋_GB2312" w:hAnsi="仿宋_GB2312" w:eastAsia="仿宋_GB2312"/>
          <w:b w:val="0"/>
          <w:sz w:val="32"/>
        </w:rPr>
        <w:t>2024年度一般公共预算财政拨款基本支出241.01万元，其中：</w:t>
      </w:r>
      <w:r>
        <w:rPr>
          <w:rFonts w:ascii="仿宋_GB2312" w:hAnsi="仿宋_GB2312" w:eastAsia="仿宋_GB2312"/>
          <w:b/>
          <w:sz w:val="32"/>
        </w:rPr>
        <w:t>人员经费226.31万元，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w:t>
      </w:r>
    </w:p>
    <w:p w14:paraId="6FC483F6">
      <w:pPr>
        <w:spacing w:line="580" w:lineRule="exact"/>
        <w:ind w:firstLine="640"/>
        <w:jc w:val="both"/>
      </w:pPr>
      <w:r>
        <w:rPr>
          <w:rFonts w:ascii="仿宋_GB2312" w:hAnsi="仿宋_GB2312" w:eastAsia="仿宋_GB2312"/>
          <w:b/>
          <w:sz w:val="32"/>
        </w:rPr>
        <w:t>公用经费14.70万元，</w:t>
      </w:r>
      <w:r>
        <w:rPr>
          <w:rFonts w:ascii="仿宋_GB2312" w:hAnsi="仿宋_GB2312" w:eastAsia="仿宋_GB2312"/>
          <w:b w:val="0"/>
          <w:sz w:val="32"/>
        </w:rPr>
        <w:t>包括：办公费、邮电费、物业管理费、差旅费、劳务费、工会经费、福利费、公务用车运行维护费、其他交通费用、其他商品和服务支出。</w:t>
      </w:r>
    </w:p>
    <w:p w14:paraId="41C3C4CA">
      <w:pPr>
        <w:spacing w:line="640" w:lineRule="exact"/>
        <w:ind w:firstLine="640"/>
        <w:jc w:val="both"/>
        <w:outlineLvl w:val="2"/>
      </w:pPr>
      <w:r>
        <w:rPr>
          <w:rFonts w:ascii="黑体" w:hAnsi="黑体" w:eastAsia="黑体"/>
          <w:sz w:val="32"/>
        </w:rPr>
        <w:t>七、政府性基金预算财政拨款收入支出决算情况说明</w:t>
      </w:r>
    </w:p>
    <w:p w14:paraId="55ACBF0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FB9A757">
      <w:pPr>
        <w:spacing w:line="640" w:lineRule="exact"/>
        <w:ind w:firstLine="640"/>
        <w:jc w:val="both"/>
        <w:outlineLvl w:val="2"/>
      </w:pPr>
      <w:r>
        <w:rPr>
          <w:rFonts w:ascii="黑体" w:hAnsi="黑体" w:eastAsia="黑体"/>
          <w:sz w:val="32"/>
        </w:rPr>
        <w:t>八、国有资本经营预算财政拨款收入支出决算情况说明</w:t>
      </w:r>
    </w:p>
    <w:p w14:paraId="35A0CF0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6E63BFB">
      <w:pPr>
        <w:spacing w:line="640" w:lineRule="exact"/>
        <w:ind w:firstLine="640"/>
        <w:jc w:val="both"/>
        <w:outlineLvl w:val="2"/>
      </w:pPr>
      <w:r>
        <w:rPr>
          <w:rFonts w:ascii="黑体" w:hAnsi="黑体" w:eastAsia="黑体"/>
          <w:sz w:val="32"/>
        </w:rPr>
        <w:t>九、财政拨款“三公”经费支出决算情况说明</w:t>
      </w:r>
    </w:p>
    <w:p w14:paraId="329E86AA">
      <w:pPr>
        <w:spacing w:line="580" w:lineRule="exact"/>
        <w:ind w:firstLine="640"/>
        <w:jc w:val="both"/>
      </w:pPr>
      <w:r>
        <w:rPr>
          <w:rFonts w:ascii="仿宋_GB2312" w:hAnsi="仿宋_GB2312" w:eastAsia="仿宋_GB2312"/>
          <w:b/>
          <w:sz w:val="32"/>
        </w:rPr>
        <w:t>2024年度财政拨款“三公”经费支出1.62万元，</w:t>
      </w:r>
      <w:r>
        <w:rPr>
          <w:rFonts w:ascii="仿宋_GB2312" w:hAnsi="仿宋_GB2312" w:eastAsia="仿宋_GB2312"/>
          <w:b w:val="0"/>
          <w:sz w:val="32"/>
        </w:rPr>
        <w:t>比上年减少1.07万元，下降39.78%，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1.62万元，占100.00%，比上年减少1.07万元，下降39.78%，主要原因是：严格落实中央八项规定精神，厉行节约，减少公务用车运行维护费。公务接待费支出0.00万元，占0.00%，比上年增加0.00万元，增长0.00%，主要原因是：2023年与2024年均未安排公务接待费支出。</w:t>
      </w:r>
    </w:p>
    <w:p w14:paraId="12DCC490">
      <w:pPr>
        <w:spacing w:line="580" w:lineRule="exact"/>
        <w:ind w:firstLine="640"/>
        <w:jc w:val="both"/>
      </w:pPr>
      <w:r>
        <w:rPr>
          <w:rFonts w:ascii="仿宋_GB2312" w:hAnsi="仿宋_GB2312" w:eastAsia="仿宋_GB2312"/>
          <w:b/>
          <w:sz w:val="32"/>
        </w:rPr>
        <w:t>具体情况如下：</w:t>
      </w:r>
    </w:p>
    <w:p w14:paraId="0727499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7DAE16E">
      <w:pPr>
        <w:spacing w:line="580" w:lineRule="exact"/>
        <w:ind w:firstLine="640"/>
        <w:jc w:val="both"/>
      </w:pPr>
      <w:r>
        <w:rPr>
          <w:rFonts w:ascii="仿宋_GB2312" w:hAnsi="仿宋_GB2312" w:eastAsia="仿宋_GB2312"/>
          <w:b w:val="0"/>
          <w:sz w:val="32"/>
        </w:rPr>
        <w:t>公务用车购置及运行维护费1.62万元，其中：公务用车购置费0.00万元，公务用车运行维护费1.62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7B84BF5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82D7F5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1.62万元，决算数1.62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1.62万元，决算数1.62万元，预决算差异率0.00%，主要原因是：严格按照预算执行，预决算无差异。公务接待费全年预算数0.00万元，决算数0.00万元，预决算差异率0.00%，主要原因是：本单位无公务接待费。</w:t>
      </w:r>
    </w:p>
    <w:p w14:paraId="48620D68">
      <w:pPr>
        <w:spacing w:line="640" w:lineRule="exact"/>
        <w:ind w:firstLine="640"/>
        <w:jc w:val="both"/>
        <w:outlineLvl w:val="2"/>
      </w:pPr>
      <w:r>
        <w:rPr>
          <w:rFonts w:ascii="黑体" w:hAnsi="黑体" w:eastAsia="黑体"/>
          <w:sz w:val="32"/>
        </w:rPr>
        <w:t>十、其他重要事项的情况说明</w:t>
      </w:r>
    </w:p>
    <w:p w14:paraId="55F45E67">
      <w:pPr>
        <w:spacing w:line="640" w:lineRule="exact"/>
        <w:ind w:firstLine="640"/>
        <w:jc w:val="both"/>
        <w:outlineLvl w:val="3"/>
      </w:pPr>
      <w:r>
        <w:rPr>
          <w:rFonts w:ascii="楷体_GB2312" w:hAnsi="楷体_GB2312" w:eastAsia="楷体_GB2312"/>
          <w:b/>
          <w:sz w:val="32"/>
        </w:rPr>
        <w:t>（一）机关运行经费及公用经费支出情况</w:t>
      </w:r>
    </w:p>
    <w:p w14:paraId="0D3765AA">
      <w:pPr>
        <w:spacing w:line="580" w:lineRule="exact"/>
        <w:ind w:firstLine="640"/>
        <w:jc w:val="both"/>
      </w:pPr>
      <w:r>
        <w:rPr>
          <w:rFonts w:ascii="仿宋_GB2312" w:hAnsi="仿宋_GB2312" w:eastAsia="仿宋_GB2312"/>
          <w:b w:val="0"/>
          <w:sz w:val="32"/>
        </w:rPr>
        <w:t>2024年度昌吉回族自治州干部综合考核评价信息服务中心（事业单位）公用经费支出14.70万元，比上年减少0.17万元，下降1.14%，主要原因是：严控经费支出，厉行节约，减少经费支出。</w:t>
      </w:r>
    </w:p>
    <w:p w14:paraId="5EFD51F1">
      <w:pPr>
        <w:spacing w:line="640" w:lineRule="exact"/>
        <w:ind w:firstLine="640"/>
        <w:jc w:val="both"/>
        <w:outlineLvl w:val="3"/>
      </w:pPr>
      <w:r>
        <w:rPr>
          <w:rFonts w:ascii="楷体_GB2312" w:hAnsi="楷体_GB2312" w:eastAsia="楷体_GB2312"/>
          <w:b/>
          <w:sz w:val="32"/>
        </w:rPr>
        <w:t>（二）政府采购情况</w:t>
      </w:r>
    </w:p>
    <w:p w14:paraId="2DF38BC2">
      <w:pPr>
        <w:spacing w:line="580" w:lineRule="exact"/>
        <w:ind w:firstLine="640"/>
        <w:jc w:val="both"/>
      </w:pPr>
      <w:r>
        <w:rPr>
          <w:rFonts w:ascii="仿宋_GB2312" w:hAnsi="仿宋_GB2312" w:eastAsia="仿宋_GB2312"/>
          <w:b w:val="0"/>
          <w:sz w:val="32"/>
        </w:rPr>
        <w:t>2024年度政府采购支出总额3.00万元，其中：政府采购货物支出2.67万元、政府采购工程支出0.00万元、政府采购服务支出0.33万元。</w:t>
      </w:r>
    </w:p>
    <w:p w14:paraId="18AF1906">
      <w:pPr>
        <w:spacing w:line="580" w:lineRule="exact"/>
        <w:ind w:firstLine="640"/>
        <w:jc w:val="both"/>
      </w:pPr>
      <w:r>
        <w:rPr>
          <w:rFonts w:ascii="仿宋_GB2312" w:hAnsi="仿宋_GB2312" w:eastAsia="仿宋_GB2312"/>
          <w:b w:val="0"/>
          <w:sz w:val="32"/>
        </w:rPr>
        <w:t>授予中小企业合同金额3.00万元，占政府采购支出总额的100.00%，其中：授予小微企业合同金额0.50万元，占政府采购支出总额的16.67%。</w:t>
      </w:r>
    </w:p>
    <w:p w14:paraId="1CCA48CD">
      <w:pPr>
        <w:spacing w:line="640" w:lineRule="exact"/>
        <w:ind w:firstLine="640"/>
        <w:jc w:val="both"/>
        <w:outlineLvl w:val="3"/>
      </w:pPr>
      <w:r>
        <w:rPr>
          <w:rFonts w:ascii="楷体_GB2312" w:hAnsi="楷体_GB2312" w:eastAsia="楷体_GB2312"/>
          <w:b/>
          <w:sz w:val="32"/>
        </w:rPr>
        <w:t>（三）国有资产占用情况说明</w:t>
      </w:r>
    </w:p>
    <w:p w14:paraId="7C1B7F8A">
      <w:pPr>
        <w:spacing w:line="580" w:lineRule="exact"/>
        <w:ind w:firstLine="640"/>
        <w:jc w:val="both"/>
      </w:pPr>
      <w:r>
        <w:rPr>
          <w:rFonts w:ascii="仿宋_GB2312" w:hAnsi="仿宋_GB2312" w:eastAsia="仿宋_GB2312"/>
          <w:b w:val="0"/>
          <w:sz w:val="32"/>
        </w:rPr>
        <w:t>截至2024年12月31日，房屋0.00平方米，价值0.00万元。车辆1辆，价值17.69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7A1CDC66">
      <w:pPr>
        <w:spacing w:line="640" w:lineRule="exact"/>
        <w:ind w:firstLine="640"/>
        <w:jc w:val="both"/>
        <w:outlineLvl w:val="2"/>
      </w:pPr>
      <w:r>
        <w:rPr>
          <w:rFonts w:ascii="黑体" w:hAnsi="黑体" w:eastAsia="黑体"/>
          <w:sz w:val="32"/>
        </w:rPr>
        <w:t>十一、预算绩效的情况说明</w:t>
      </w:r>
    </w:p>
    <w:p w14:paraId="6E64445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313.76万元，实际执行总额291.12万元；预算绩效评价项目4个，全年预算数47.52万元，全年执行数47.52万元。预算绩效管理取得的成效：一是聚焦党政中心工作，按照差异化指标设置，科学设定考核指标。二是改进日常考核工作方法，运用“线上考和线下核”“督考联动”等方式推动工作落地见效。三是通过强化考核结果运用，激励干部担当作为。发现的问题及原因：一是党建工作内在活力不足，缺乏创新，满足于完成“规定动作”，党员干部的积极性及党组织的凝聚力发挥不充分；二是在借助大数据分析、云计算、视联网等现代高科技信息技术手段提高绩效考核精准度和实效性方面的短板。下一步改进措施：一是加强党建业务融合发展，始终坚持“州党委决策部署到哪里，绩效考核就跟进到哪里”的原则，紧盯建设中国式现代化新疆实践的典范地州历史使命，不断加强和改进绩效管理工作；二是努力将绩效考核打造成州党委“重点工作的得力推手、执行落实的督军帮手、提升效率的重要抓手、科学决策的参谋助手、高质量发展的服务援手”，以务实重干的成效推动昌吉州高质量发展取得新突破。</w:t>
      </w:r>
      <w:bookmarkStart w:id="0" w:name="_GoBack"/>
      <w:r>
        <w:rPr>
          <w:rFonts w:ascii="仿宋_GB2312" w:hAnsi="仿宋_GB2312" w:eastAsia="仿宋_GB2312"/>
          <w:b w:val="0"/>
          <w:sz w:val="32"/>
        </w:rPr>
        <w:t>具体附整体支出绩效自评表，项目支出绩效自评表和评价报告。</w:t>
      </w:r>
      <w:bookmarkEnd w:id="0"/>
    </w:p>
    <w:p w14:paraId="3AB3F82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4BC90B2">
        <w:tblPrEx>
          <w:tblCellMar>
            <w:top w:w="0" w:type="dxa"/>
            <w:left w:w="108" w:type="dxa"/>
            <w:bottom w:w="0" w:type="dxa"/>
            <w:right w:w="108" w:type="dxa"/>
          </w:tblCellMar>
        </w:tblPrEx>
        <w:tc>
          <w:tcPr>
            <w:tcW w:w="8847" w:type="dxa"/>
            <w:gridSpan w:val="9"/>
            <w:vAlign w:val="center"/>
          </w:tcPr>
          <w:p w14:paraId="0CB67CE7">
            <w:pPr>
              <w:jc w:val="center"/>
            </w:pPr>
            <w:r>
              <w:rPr>
                <w:rFonts w:ascii="宋体" w:hAnsi="宋体" w:eastAsia="宋体"/>
                <w:sz w:val="24"/>
              </w:rPr>
              <w:t>单位整体支出绩效自评表</w:t>
            </w:r>
          </w:p>
        </w:tc>
      </w:tr>
      <w:tr w14:paraId="186FDEFC">
        <w:tblPrEx>
          <w:tblCellMar>
            <w:top w:w="0" w:type="dxa"/>
            <w:left w:w="108" w:type="dxa"/>
            <w:bottom w:w="0" w:type="dxa"/>
            <w:right w:w="108" w:type="dxa"/>
          </w:tblCellMar>
        </w:tblPrEx>
        <w:tc>
          <w:tcPr>
            <w:tcW w:w="8847" w:type="dxa"/>
            <w:gridSpan w:val="9"/>
            <w:vAlign w:val="center"/>
          </w:tcPr>
          <w:p w14:paraId="6121FD35">
            <w:pPr>
              <w:jc w:val="center"/>
            </w:pPr>
            <w:r>
              <w:rPr>
                <w:rFonts w:ascii="宋体" w:hAnsi="宋体" w:eastAsia="宋体"/>
                <w:sz w:val="24"/>
              </w:rPr>
              <w:t>（2024年度）</w:t>
            </w:r>
          </w:p>
        </w:tc>
      </w:tr>
      <w:tr w14:paraId="17D88CB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6640E">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5D3CC40">
            <w:pPr>
              <w:jc w:val="center"/>
            </w:pPr>
            <w:r>
              <w:rPr>
                <w:rFonts w:ascii="宋体" w:hAnsi="宋体" w:eastAsia="宋体"/>
                <w:sz w:val="16"/>
              </w:rPr>
              <w:t>昌吉回族自治州干部综合考核评价信息服务中心</w:t>
            </w:r>
          </w:p>
        </w:tc>
      </w:tr>
      <w:tr w14:paraId="5290D56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15446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0BCE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0C2C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8567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CFB9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59B2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9E70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35ABF">
            <w:pPr>
              <w:jc w:val="center"/>
            </w:pPr>
            <w:r>
              <w:rPr>
                <w:rFonts w:ascii="宋体" w:hAnsi="宋体" w:eastAsia="宋体"/>
                <w:sz w:val="16"/>
              </w:rPr>
              <w:t>得分</w:t>
            </w:r>
          </w:p>
        </w:tc>
      </w:tr>
      <w:tr w14:paraId="595761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C81A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4831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B5AE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DA50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498E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3835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5011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34F3F">
            <w:pPr>
              <w:jc w:val="center"/>
            </w:pPr>
            <w:r>
              <w:rPr>
                <w:rFonts w:ascii="宋体" w:hAnsi="宋体" w:eastAsia="宋体"/>
                <w:sz w:val="16"/>
              </w:rPr>
              <w:t>-</w:t>
            </w:r>
          </w:p>
        </w:tc>
      </w:tr>
      <w:tr w14:paraId="436BA4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EBBF5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B1D3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CCCE3">
            <w:pPr>
              <w:jc w:val="center"/>
            </w:pPr>
            <w:r>
              <w:rPr>
                <w:rFonts w:ascii="宋体" w:hAnsi="宋体" w:eastAsia="宋体"/>
                <w:sz w:val="16"/>
              </w:rPr>
              <w:t>300.15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5EC23">
            <w:pPr>
              <w:jc w:val="center"/>
            </w:pPr>
            <w:r>
              <w:rPr>
                <w:rFonts w:ascii="宋体" w:hAnsi="宋体" w:eastAsia="宋体"/>
                <w:sz w:val="16"/>
              </w:rPr>
              <w:t>291.12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E1609">
            <w:pPr>
              <w:jc w:val="center"/>
            </w:pPr>
            <w:r>
              <w:rPr>
                <w:rFonts w:ascii="宋体" w:hAnsi="宋体" w:eastAsia="宋体"/>
                <w:sz w:val="16"/>
              </w:rPr>
              <w:t>291.12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8AF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3EDC2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38598">
            <w:pPr>
              <w:jc w:val="center"/>
            </w:pPr>
            <w:r>
              <w:rPr>
                <w:rFonts w:ascii="宋体" w:hAnsi="宋体" w:eastAsia="宋体"/>
                <w:sz w:val="16"/>
              </w:rPr>
              <w:t>-</w:t>
            </w:r>
          </w:p>
        </w:tc>
      </w:tr>
      <w:tr w14:paraId="3B876C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CD9A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B4BB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550A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87893">
            <w:pPr>
              <w:jc w:val="center"/>
            </w:pPr>
            <w:r>
              <w:rPr>
                <w:rFonts w:ascii="宋体" w:hAnsi="宋体" w:eastAsia="宋体"/>
                <w:sz w:val="16"/>
              </w:rPr>
              <w:t>22.64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04D7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1E01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228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5D8C5">
            <w:pPr>
              <w:jc w:val="center"/>
            </w:pPr>
            <w:r>
              <w:rPr>
                <w:rFonts w:ascii="宋体" w:hAnsi="宋体" w:eastAsia="宋体"/>
                <w:sz w:val="16"/>
              </w:rPr>
              <w:t>-</w:t>
            </w:r>
          </w:p>
        </w:tc>
      </w:tr>
      <w:tr w14:paraId="57B6F4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FA37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3769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A7A9D">
            <w:pPr>
              <w:jc w:val="center"/>
            </w:pPr>
            <w:r>
              <w:rPr>
                <w:rFonts w:ascii="宋体" w:hAnsi="宋体" w:eastAsia="宋体"/>
                <w:sz w:val="16"/>
              </w:rPr>
              <w:t>300.15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E8D56">
            <w:pPr>
              <w:jc w:val="center"/>
            </w:pPr>
            <w:r>
              <w:rPr>
                <w:rFonts w:ascii="宋体" w:hAnsi="宋体" w:eastAsia="宋体"/>
                <w:sz w:val="16"/>
              </w:rPr>
              <w:t>313.76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887C2">
            <w:pPr>
              <w:jc w:val="center"/>
            </w:pPr>
            <w:r>
              <w:rPr>
                <w:rFonts w:ascii="宋体" w:hAnsi="宋体" w:eastAsia="宋体"/>
                <w:sz w:val="16"/>
              </w:rPr>
              <w:t>291.12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26B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BE5FC">
            <w:pPr>
              <w:jc w:val="center"/>
            </w:pPr>
            <w:r>
              <w:rPr>
                <w:rFonts w:ascii="宋体" w:hAnsi="宋体" w:eastAsia="宋体"/>
                <w:sz w:val="16"/>
              </w:rPr>
              <w:t>92.78%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CFA52">
            <w:pPr>
              <w:jc w:val="center"/>
            </w:pPr>
            <w:r>
              <w:rPr>
                <w:rFonts w:ascii="宋体" w:hAnsi="宋体" w:eastAsia="宋体"/>
                <w:sz w:val="16"/>
              </w:rPr>
              <w:t>9.28</w:t>
            </w:r>
          </w:p>
        </w:tc>
      </w:tr>
      <w:tr w14:paraId="3352D8E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6A64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27765E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2594E9">
            <w:pPr>
              <w:jc w:val="center"/>
            </w:pPr>
            <w:r>
              <w:rPr>
                <w:rFonts w:ascii="宋体" w:hAnsi="宋体" w:eastAsia="宋体"/>
                <w:sz w:val="16"/>
              </w:rPr>
              <w:t>实际完成情况</w:t>
            </w:r>
          </w:p>
        </w:tc>
      </w:tr>
      <w:tr w14:paraId="5F49B8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06AFB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8CD01D">
            <w:pPr>
              <w:jc w:val="both"/>
            </w:pPr>
            <w:r>
              <w:rPr>
                <w:rFonts w:ascii="宋体" w:hAnsi="宋体" w:eastAsia="宋体"/>
                <w:sz w:val="16"/>
              </w:rPr>
              <w:t>科学制定、下达年度考核指标，有序开展实地核验，推动各项重点目标任务落地见效，进一步提升绩效管理水平，不断加强绩效干部队伍能力素质建设，组织开展年终绩效考核工作，激励各级领导干部担当作为，为州党委科学决策提供参考依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AC1EEA">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全年预算数为313.76 万元，全年执行数为291.12万元，总预算执行率为92.78%。2024 年</w:t>
            </w:r>
            <w:r>
              <w:rPr>
                <w:rFonts w:hint="eastAsia" w:ascii="宋体" w:hAnsi="宋体"/>
                <w:sz w:val="16"/>
                <w:lang w:eastAsia="zh-CN"/>
              </w:rPr>
              <w:t>本单位</w:t>
            </w:r>
            <w:r>
              <w:rPr>
                <w:rFonts w:ascii="宋体" w:hAnsi="宋体" w:eastAsia="宋体"/>
                <w:sz w:val="16"/>
              </w:rPr>
              <w:t>完成以下工作内容:1.完成本年度考核指标制定并下达；2.开展提升绩效干部队伍能力素质培训；3.开展绩效指标及十大重点专项实地核验5次，形成指标落实情况分析报告5篇；4.修订绩效管理制度汇编、绩效管理知识库2项内容；5.开展绩优推报4次；5.制定高质量发展综合绩效考核方案并完成年终绩效考核工作。通过以上工作的实施，</w:t>
            </w:r>
            <w:r>
              <w:rPr>
                <w:rFonts w:hint="eastAsia" w:ascii="宋体" w:hAnsi="宋体"/>
                <w:sz w:val="16"/>
                <w:lang w:eastAsia="zh-CN"/>
              </w:rPr>
              <w:t>有效</w:t>
            </w:r>
            <w:r>
              <w:rPr>
                <w:rFonts w:ascii="宋体" w:hAnsi="宋体" w:eastAsia="宋体"/>
                <w:sz w:val="16"/>
              </w:rPr>
              <w:t>推动各项重点目标任务落地见效，提升了绩效管理水平，加强了绩效干部队伍能力素质建设，激励各级领导干部担当作为，为州党委科学决策提供参考依据。</w:t>
            </w:r>
          </w:p>
        </w:tc>
      </w:tr>
      <w:tr w14:paraId="216985C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51C4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0E853">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AC86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8596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DCDE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35AB0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938B6">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35E2FC">
            <w:pPr>
              <w:jc w:val="center"/>
            </w:pPr>
            <w:r>
              <w:rPr>
                <w:rFonts w:ascii="宋体" w:hAnsi="宋体" w:eastAsia="宋体"/>
                <w:sz w:val="16"/>
              </w:rPr>
              <w:t>得分</w:t>
            </w:r>
          </w:p>
        </w:tc>
      </w:tr>
      <w:tr w14:paraId="078F367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D8D29">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7C8D5">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C5553">
            <w:pPr>
              <w:jc w:val="center"/>
            </w:pPr>
            <w:r>
              <w:rPr>
                <w:rFonts w:ascii="宋体" w:hAnsi="宋体" w:eastAsia="宋体"/>
                <w:sz w:val="16"/>
              </w:rPr>
              <w:t>组织制定并下达年度考核指标完成率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F03F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2E424">
            <w:pPr>
              <w:jc w:val="center"/>
            </w:pPr>
            <w:r>
              <w:rPr>
                <w:rFonts w:ascii="宋体" w:hAnsi="宋体" w:eastAsia="宋体"/>
                <w:sz w:val="16"/>
              </w:rPr>
              <w:t>工作思路要点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BC33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2841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86642">
            <w:pPr>
              <w:jc w:val="center"/>
            </w:pPr>
            <w:r>
              <w:rPr>
                <w:rFonts w:ascii="宋体" w:hAnsi="宋体" w:eastAsia="宋体"/>
                <w:sz w:val="16"/>
              </w:rPr>
              <w:t>15</w:t>
            </w:r>
          </w:p>
        </w:tc>
      </w:tr>
      <w:tr w14:paraId="3A470F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D4AAD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4E25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5BDDA">
            <w:pPr>
              <w:jc w:val="center"/>
            </w:pPr>
            <w:r>
              <w:rPr>
                <w:rFonts w:ascii="宋体" w:hAnsi="宋体" w:eastAsia="宋体"/>
                <w:sz w:val="16"/>
              </w:rPr>
              <w:t>开展提升绩效干部队伍能力素质培训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7F84D">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EB47F">
            <w:pPr>
              <w:jc w:val="center"/>
            </w:pPr>
            <w:r>
              <w:rPr>
                <w:rFonts w:ascii="宋体" w:hAnsi="宋体" w:eastAsia="宋体"/>
                <w:sz w:val="16"/>
              </w:rPr>
              <w:t>工作思路要点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BA6A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FBF2A">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0DBCB">
            <w:pPr>
              <w:jc w:val="center"/>
            </w:pPr>
            <w:r>
              <w:rPr>
                <w:rFonts w:ascii="宋体" w:hAnsi="宋体" w:eastAsia="宋体"/>
                <w:sz w:val="16"/>
              </w:rPr>
              <w:t>10</w:t>
            </w:r>
          </w:p>
        </w:tc>
      </w:tr>
      <w:tr w14:paraId="50B8B4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A7D36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6D252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B4B8A">
            <w:pPr>
              <w:jc w:val="center"/>
            </w:pPr>
            <w:r>
              <w:rPr>
                <w:rFonts w:ascii="宋体" w:hAnsi="宋体" w:eastAsia="宋体"/>
                <w:sz w:val="16"/>
              </w:rPr>
              <w:t>做好指标落实情况分析，形成报告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D4C84">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41D3C">
            <w:pPr>
              <w:jc w:val="center"/>
            </w:pPr>
            <w:r>
              <w:rPr>
                <w:rFonts w:ascii="宋体" w:hAnsi="宋体" w:eastAsia="宋体"/>
                <w:sz w:val="16"/>
              </w:rPr>
              <w:t>工作思路要点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7FF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0CB28">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406FA">
            <w:pPr>
              <w:jc w:val="center"/>
            </w:pPr>
            <w:r>
              <w:rPr>
                <w:rFonts w:ascii="宋体" w:hAnsi="宋体" w:eastAsia="宋体"/>
                <w:sz w:val="16"/>
              </w:rPr>
              <w:t>10</w:t>
            </w:r>
          </w:p>
        </w:tc>
      </w:tr>
      <w:tr w14:paraId="0451BD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FE90F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6EA34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BFD8F">
            <w:pPr>
              <w:jc w:val="center"/>
            </w:pPr>
            <w:r>
              <w:rPr>
                <w:rFonts w:ascii="宋体" w:hAnsi="宋体" w:eastAsia="宋体"/>
                <w:sz w:val="16"/>
              </w:rPr>
              <w:t>开展绩优推报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2560C">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EA54C">
            <w:pPr>
              <w:jc w:val="center"/>
            </w:pPr>
            <w:r>
              <w:rPr>
                <w:rFonts w:ascii="宋体" w:hAnsi="宋体" w:eastAsia="宋体"/>
                <w:sz w:val="16"/>
              </w:rPr>
              <w:t>工作思路要点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1B98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46CDC">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E1EF64">
            <w:pPr>
              <w:jc w:val="center"/>
            </w:pPr>
            <w:r>
              <w:rPr>
                <w:rFonts w:ascii="宋体" w:hAnsi="宋体" w:eastAsia="宋体"/>
                <w:sz w:val="16"/>
              </w:rPr>
              <w:t>10</w:t>
            </w:r>
          </w:p>
        </w:tc>
      </w:tr>
      <w:tr w14:paraId="5C94D4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9B795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8D6A5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1DDD7">
            <w:pPr>
              <w:jc w:val="center"/>
            </w:pPr>
            <w:r>
              <w:rPr>
                <w:rFonts w:ascii="宋体" w:hAnsi="宋体" w:eastAsia="宋体"/>
                <w:sz w:val="16"/>
              </w:rPr>
              <w:t>组织开展年终绩效考核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2BB52">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292CA">
            <w:pPr>
              <w:jc w:val="center"/>
            </w:pPr>
            <w:r>
              <w:rPr>
                <w:rFonts w:ascii="宋体" w:hAnsi="宋体" w:eastAsia="宋体"/>
                <w:sz w:val="16"/>
              </w:rPr>
              <w:t>工作思路要点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E70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E9EA3">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489D7">
            <w:pPr>
              <w:jc w:val="center"/>
            </w:pPr>
            <w:r>
              <w:rPr>
                <w:rFonts w:ascii="宋体" w:hAnsi="宋体" w:eastAsia="宋体"/>
                <w:sz w:val="16"/>
              </w:rPr>
              <w:t>10</w:t>
            </w:r>
          </w:p>
        </w:tc>
      </w:tr>
      <w:tr w14:paraId="70E3FD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EDB1A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2ADB4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913B1">
            <w:pPr>
              <w:jc w:val="center"/>
            </w:pPr>
            <w:r>
              <w:rPr>
                <w:rFonts w:ascii="宋体" w:hAnsi="宋体" w:eastAsia="宋体"/>
                <w:sz w:val="16"/>
              </w:rPr>
              <w:t>修订绩效管理制度汇编、绩效管理知识库</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1EB7F">
            <w:pPr>
              <w:jc w:val="center"/>
            </w:pPr>
            <w:r>
              <w:rPr>
                <w:rFonts w:ascii="宋体" w:hAnsi="宋体" w:eastAsia="宋体"/>
                <w:sz w:val="16"/>
              </w:rPr>
              <w: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3EE12">
            <w:pPr>
              <w:jc w:val="center"/>
            </w:pPr>
            <w:r>
              <w:rPr>
                <w:rFonts w:ascii="宋体" w:hAnsi="宋体" w:eastAsia="宋体"/>
                <w:sz w:val="16"/>
              </w:rPr>
              <w:t>工作思路要点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ED9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8882D">
            <w:pPr>
              <w:jc w:val="center"/>
            </w:pPr>
            <w:r>
              <w:rPr>
                <w:rFonts w:ascii="宋体" w:hAnsi="宋体" w:eastAsia="宋体"/>
                <w:sz w:val="16"/>
              </w:rPr>
              <w:t>=2项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6D3D6">
            <w:pPr>
              <w:jc w:val="center"/>
            </w:pPr>
            <w:r>
              <w:rPr>
                <w:rFonts w:ascii="宋体" w:hAnsi="宋体" w:eastAsia="宋体"/>
                <w:sz w:val="16"/>
              </w:rPr>
              <w:t>10</w:t>
            </w:r>
          </w:p>
        </w:tc>
      </w:tr>
      <w:tr w14:paraId="10B1DC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2916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EB258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DB275">
            <w:pPr>
              <w:jc w:val="center"/>
            </w:pPr>
            <w:r>
              <w:rPr>
                <w:rFonts w:ascii="宋体" w:hAnsi="宋体" w:eastAsia="宋体"/>
                <w:sz w:val="16"/>
              </w:rPr>
              <w:t>开展十大重点专项考核实地核验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D2738">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DA4BC">
            <w:pPr>
              <w:jc w:val="center"/>
            </w:pPr>
            <w:r>
              <w:rPr>
                <w:rFonts w:ascii="宋体" w:hAnsi="宋体" w:eastAsia="宋体"/>
                <w:sz w:val="16"/>
              </w:rPr>
              <w:t>工作思路要点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5AA4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43094D">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63AD1">
            <w:pPr>
              <w:jc w:val="center"/>
            </w:pPr>
            <w:r>
              <w:rPr>
                <w:rFonts w:ascii="宋体" w:hAnsi="宋体" w:eastAsia="宋体"/>
                <w:sz w:val="16"/>
              </w:rPr>
              <w:t>15</w:t>
            </w:r>
          </w:p>
        </w:tc>
      </w:tr>
      <w:tr w14:paraId="5AED73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DD7A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CB97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BD263">
            <w:pPr>
              <w:jc w:val="center"/>
            </w:pPr>
            <w:r>
              <w:rPr>
                <w:rFonts w:ascii="宋体" w:hAnsi="宋体" w:eastAsia="宋体"/>
                <w:sz w:val="16"/>
              </w:rPr>
              <w:t>制定高质量发展综合绩效考核方案并组织实施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F30CF">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1726D">
            <w:pPr>
              <w:jc w:val="center"/>
            </w:pPr>
            <w:r>
              <w:rPr>
                <w:rFonts w:ascii="宋体" w:hAnsi="宋体" w:eastAsia="宋体"/>
                <w:sz w:val="16"/>
              </w:rPr>
              <w:t>工作思路要点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FC2A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E7F7D">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AAFFA">
            <w:pPr>
              <w:jc w:val="center"/>
            </w:pPr>
            <w:r>
              <w:rPr>
                <w:rFonts w:ascii="宋体" w:hAnsi="宋体" w:eastAsia="宋体"/>
                <w:sz w:val="16"/>
              </w:rPr>
              <w:t>10</w:t>
            </w:r>
          </w:p>
        </w:tc>
      </w:tr>
    </w:tbl>
    <w:p w14:paraId="335B7F5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9645992">
        <w:tblPrEx>
          <w:tblCellMar>
            <w:top w:w="0" w:type="dxa"/>
            <w:left w:w="108" w:type="dxa"/>
            <w:bottom w:w="0" w:type="dxa"/>
            <w:right w:w="108" w:type="dxa"/>
          </w:tblCellMar>
        </w:tblPrEx>
        <w:tc>
          <w:tcPr>
            <w:tcW w:w="8848" w:type="dxa"/>
            <w:gridSpan w:val="14"/>
            <w:vAlign w:val="center"/>
          </w:tcPr>
          <w:p w14:paraId="1F0D8AB2">
            <w:pPr>
              <w:jc w:val="center"/>
            </w:pPr>
            <w:r>
              <w:rPr>
                <w:rFonts w:ascii="宋体" w:hAnsi="宋体" w:eastAsia="宋体"/>
                <w:sz w:val="24"/>
              </w:rPr>
              <w:t>项目支出绩效自评表</w:t>
            </w:r>
          </w:p>
        </w:tc>
      </w:tr>
      <w:tr w14:paraId="0EB4B6C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20AF752">
            <w:pPr>
              <w:jc w:val="center"/>
            </w:pPr>
            <w:r>
              <w:rPr>
                <w:rFonts w:ascii="宋体" w:hAnsi="宋体" w:eastAsia="宋体"/>
                <w:sz w:val="24"/>
              </w:rPr>
              <w:t>(2024年度)</w:t>
            </w:r>
          </w:p>
        </w:tc>
      </w:tr>
      <w:tr w14:paraId="604E93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385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216445">
            <w:pPr>
              <w:jc w:val="center"/>
            </w:pPr>
            <w:r>
              <w:rPr>
                <w:rFonts w:ascii="宋体" w:hAnsi="宋体" w:eastAsia="宋体"/>
                <w:sz w:val="16"/>
              </w:rPr>
              <w:t>“丝路同源·智惠闽昌”昌吉州高质量发展综合绩效考核评价专题培训班</w:t>
            </w:r>
          </w:p>
        </w:tc>
      </w:tr>
      <w:tr w14:paraId="2451C4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7CA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8377E0">
            <w:pPr>
              <w:jc w:val="center"/>
            </w:pPr>
            <w:r>
              <w:rPr>
                <w:rFonts w:ascii="宋体" w:hAnsi="宋体" w:eastAsia="宋体"/>
                <w:sz w:val="16"/>
              </w:rPr>
              <w:t>昌吉回族自治州干部综合考核评价信息服务中心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666F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C1C04B">
            <w:pPr>
              <w:jc w:val="center"/>
            </w:pPr>
            <w:r>
              <w:rPr>
                <w:rFonts w:ascii="宋体" w:hAnsi="宋体" w:eastAsia="宋体"/>
                <w:sz w:val="16"/>
              </w:rPr>
              <w:t>昌吉回族自治州干部综合考核评价信息服务中心</w:t>
            </w:r>
          </w:p>
        </w:tc>
      </w:tr>
      <w:tr w14:paraId="3071F0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D8EAD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7688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445B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FE93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A59E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A94E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82BC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AC303">
            <w:pPr>
              <w:jc w:val="center"/>
            </w:pPr>
            <w:r>
              <w:rPr>
                <w:rFonts w:ascii="宋体" w:hAnsi="宋体" w:eastAsia="宋体"/>
                <w:sz w:val="16"/>
              </w:rPr>
              <w:t>得分</w:t>
            </w:r>
          </w:p>
        </w:tc>
      </w:tr>
      <w:tr w14:paraId="362D5C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FD0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74E6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897A9">
            <w:pPr>
              <w:jc w:val="center"/>
            </w:pPr>
            <w:r>
              <w:rPr>
                <w:rFonts w:ascii="宋体" w:hAnsi="宋体" w:eastAsia="宋体"/>
                <w:sz w:val="16"/>
              </w:rPr>
              <w:t>16.09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73983">
            <w:pPr>
              <w:jc w:val="center"/>
            </w:pPr>
            <w:r>
              <w:rPr>
                <w:rFonts w:ascii="宋体" w:hAnsi="宋体" w:eastAsia="宋体"/>
                <w:sz w:val="16"/>
              </w:rPr>
              <w:t>16.09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5A08E">
            <w:pPr>
              <w:jc w:val="center"/>
            </w:pPr>
            <w:r>
              <w:rPr>
                <w:rFonts w:ascii="宋体" w:hAnsi="宋体" w:eastAsia="宋体"/>
                <w:sz w:val="16"/>
              </w:rPr>
              <w:t>16.09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C1B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CC0A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2DD30">
            <w:pPr>
              <w:jc w:val="center"/>
            </w:pPr>
            <w:r>
              <w:rPr>
                <w:rFonts w:ascii="宋体" w:hAnsi="宋体" w:eastAsia="宋体"/>
                <w:sz w:val="16"/>
              </w:rPr>
              <w:t>10.00</w:t>
            </w:r>
          </w:p>
        </w:tc>
      </w:tr>
      <w:tr w14:paraId="12D09B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F53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BB78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B32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DC7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163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65A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AAD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81648">
            <w:pPr>
              <w:jc w:val="center"/>
            </w:pPr>
            <w:r>
              <w:rPr>
                <w:rFonts w:ascii="宋体" w:hAnsi="宋体" w:eastAsia="宋体"/>
                <w:sz w:val="16"/>
              </w:rPr>
              <w:t>—</w:t>
            </w:r>
          </w:p>
        </w:tc>
      </w:tr>
      <w:tr w14:paraId="7B5D89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634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33CF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79A95">
            <w:pPr>
              <w:jc w:val="center"/>
            </w:pPr>
            <w:r>
              <w:rPr>
                <w:rFonts w:ascii="宋体" w:hAnsi="宋体" w:eastAsia="宋体"/>
                <w:sz w:val="16"/>
              </w:rPr>
              <w:t>16.09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CC22F">
            <w:pPr>
              <w:jc w:val="center"/>
            </w:pPr>
            <w:r>
              <w:rPr>
                <w:rFonts w:ascii="宋体" w:hAnsi="宋体" w:eastAsia="宋体"/>
                <w:sz w:val="16"/>
              </w:rPr>
              <w:t>16.09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02658">
            <w:pPr>
              <w:jc w:val="center"/>
            </w:pPr>
            <w:r>
              <w:rPr>
                <w:rFonts w:ascii="宋体" w:hAnsi="宋体" w:eastAsia="宋体"/>
                <w:sz w:val="16"/>
              </w:rPr>
              <w:t>16.09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5AD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BB8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CAF8E">
            <w:pPr>
              <w:jc w:val="center"/>
            </w:pPr>
            <w:r>
              <w:rPr>
                <w:rFonts w:ascii="宋体" w:hAnsi="宋体" w:eastAsia="宋体"/>
                <w:sz w:val="16"/>
              </w:rPr>
              <w:t>—</w:t>
            </w:r>
          </w:p>
        </w:tc>
      </w:tr>
      <w:tr w14:paraId="482F19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08CDC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A8B8B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FB1B71">
            <w:pPr>
              <w:jc w:val="center"/>
            </w:pPr>
            <w:r>
              <w:rPr>
                <w:rFonts w:ascii="宋体" w:hAnsi="宋体" w:eastAsia="宋体"/>
                <w:sz w:val="16"/>
              </w:rPr>
              <w:t>实际完成情况</w:t>
            </w:r>
          </w:p>
        </w:tc>
      </w:tr>
      <w:tr w14:paraId="69D385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239E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437025">
            <w:pPr>
              <w:jc w:val="both"/>
            </w:pPr>
            <w:r>
              <w:rPr>
                <w:rFonts w:ascii="宋体" w:hAnsi="宋体" w:eastAsia="宋体"/>
                <w:sz w:val="16"/>
              </w:rPr>
              <w:t>为贯彻落实中央、自治区关于高质量发展考核评价工作要求，推动昌吉州综合绩效考核工作深入开展，2024年9月，举办“丝路同源·智惠闽昌”昌吉州高质量发展综合绩效考核评价专题培训班，为期9天，全州各县市（园区）考评中心、州直相关部门绩效员共30人参加培训，通过培训进</w:t>
            </w:r>
            <w:r>
              <w:rPr>
                <w:rFonts w:hint="eastAsia" w:ascii="宋体" w:hAnsi="宋体"/>
                <w:sz w:val="16"/>
                <w:lang w:eastAsia="zh-CN"/>
              </w:rPr>
              <w:t>行进</w:t>
            </w:r>
            <w:r>
              <w:rPr>
                <w:rFonts w:ascii="宋体" w:hAnsi="宋体" w:eastAsia="宋体"/>
                <w:sz w:val="16"/>
              </w:rPr>
              <w:t>一步提升我州绩</w:t>
            </w:r>
            <w:r>
              <w:rPr>
                <w:rFonts w:hint="eastAsia" w:ascii="宋体" w:hAnsi="宋体"/>
                <w:sz w:val="16"/>
                <w:lang w:eastAsia="zh-CN"/>
              </w:rPr>
              <w:t>效人</w:t>
            </w:r>
            <w:r>
              <w:rPr>
                <w:rFonts w:ascii="宋体" w:hAnsi="宋体" w:eastAsia="宋体"/>
                <w:sz w:val="16"/>
              </w:rPr>
              <w:t>员队伍工作能力。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DFB7BD">
            <w:pPr>
              <w:jc w:val="both"/>
            </w:pPr>
            <w:r>
              <w:rPr>
                <w:rFonts w:hint="eastAsia" w:ascii="宋体" w:hAnsi="宋体"/>
                <w:sz w:val="16"/>
                <w:lang w:eastAsia="zh-CN"/>
              </w:rPr>
              <w:t>截至</w:t>
            </w:r>
            <w:r>
              <w:rPr>
                <w:rFonts w:ascii="宋体" w:hAnsi="宋体" w:eastAsia="宋体"/>
                <w:sz w:val="16"/>
              </w:rPr>
              <w:t>2024年12月31日，该项目实际完成“丝路同源·智惠闽昌”昌吉州高质量发展综合绩效考核评价专题培训班1期，为期9天，全州各县市（园区）考评中心、州直相关部门绩效员共30人参加培训，通过该项目的实施，促进了绩效工作交流，提升了我州绩效员队伍工作能力。</w:t>
            </w:r>
          </w:p>
        </w:tc>
      </w:tr>
      <w:tr w14:paraId="41BC12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A264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AB8A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AD70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A249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642F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C520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74A6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F6F0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77BC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F7FC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549C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CE17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7DF8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156F9">
            <w:pPr>
              <w:jc w:val="center"/>
            </w:pPr>
            <w:r>
              <w:rPr>
                <w:rFonts w:ascii="宋体" w:hAnsi="宋体" w:eastAsia="宋体"/>
                <w:sz w:val="16"/>
              </w:rPr>
              <w:t>偏差原因分析及改进措施</w:t>
            </w:r>
          </w:p>
        </w:tc>
      </w:tr>
      <w:tr w14:paraId="0F6694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641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F62D6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D08ED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B76E5">
            <w:pPr>
              <w:jc w:val="center"/>
            </w:pPr>
            <w:r>
              <w:rPr>
                <w:rFonts w:ascii="宋体" w:hAnsi="宋体" w:eastAsia="宋体"/>
                <w:sz w:val="16"/>
              </w:rPr>
              <w:t>培训班次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EAE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1B7C">
            <w:pPr>
              <w:jc w:val="center"/>
            </w:pPr>
            <w:r>
              <w:rPr>
                <w:rFonts w:ascii="宋体" w:hAnsi="宋体" w:eastAsia="宋体"/>
                <w:sz w:val="16"/>
              </w:rPr>
              <w:t>=1班次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84C73">
            <w:pPr>
              <w:jc w:val="center"/>
            </w:pPr>
            <w:r>
              <w:rPr>
                <w:rFonts w:ascii="宋体" w:hAnsi="宋体" w:eastAsia="宋体"/>
                <w:sz w:val="16"/>
              </w:rPr>
              <w:t>=1班次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350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E76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84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8B2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6EA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6C0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2CB88">
            <w:pPr>
              <w:jc w:val="center"/>
            </w:pPr>
          </w:p>
        </w:tc>
      </w:tr>
      <w:tr w14:paraId="5D6286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7A0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3F1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355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2CD42">
            <w:pPr>
              <w:jc w:val="center"/>
            </w:pPr>
            <w:r>
              <w:rPr>
                <w:rFonts w:ascii="宋体" w:hAnsi="宋体" w:eastAsia="宋体"/>
                <w:sz w:val="16"/>
              </w:rPr>
              <w:t>培训班参训人数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45F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7F2A7">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1784">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171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B10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DE6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8D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3F6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20C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14015">
            <w:pPr>
              <w:jc w:val="center"/>
            </w:pPr>
          </w:p>
        </w:tc>
      </w:tr>
      <w:tr w14:paraId="69C1C8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B84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2CE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EE3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64DC1">
            <w:pPr>
              <w:jc w:val="center"/>
            </w:pPr>
            <w:r>
              <w:rPr>
                <w:rFonts w:ascii="宋体" w:hAnsi="宋体" w:eastAsia="宋体"/>
                <w:sz w:val="16"/>
              </w:rPr>
              <w:t>培训班培训天数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CED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5DDC3">
            <w:pPr>
              <w:jc w:val="center"/>
            </w:pPr>
            <w:r>
              <w:rPr>
                <w:rFonts w:ascii="宋体" w:hAnsi="宋体" w:eastAsia="宋体"/>
                <w:sz w:val="16"/>
              </w:rPr>
              <w:t>=9天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A409">
            <w:pPr>
              <w:jc w:val="center"/>
            </w:pPr>
            <w:r>
              <w:rPr>
                <w:rFonts w:ascii="宋体" w:hAnsi="宋体" w:eastAsia="宋体"/>
                <w:sz w:val="16"/>
              </w:rPr>
              <w:t>=9天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E51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A64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8E8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4FD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6F5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B16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45C6">
            <w:pPr>
              <w:jc w:val="center"/>
            </w:pPr>
          </w:p>
        </w:tc>
      </w:tr>
      <w:tr w14:paraId="256DCA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E56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7EC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F3D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EEF59">
            <w:pPr>
              <w:jc w:val="center"/>
            </w:pPr>
            <w:r>
              <w:rPr>
                <w:rFonts w:ascii="宋体" w:hAnsi="宋体" w:eastAsia="宋体"/>
                <w:sz w:val="16"/>
              </w:rPr>
              <w:t>人员培训出勤率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62BC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762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F9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1F2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EAB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D0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5B1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993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607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B060A">
            <w:pPr>
              <w:jc w:val="center"/>
            </w:pPr>
          </w:p>
        </w:tc>
      </w:tr>
      <w:tr w14:paraId="6C5703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5FA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95C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5B51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1934E">
            <w:pPr>
              <w:jc w:val="center"/>
            </w:pPr>
            <w:r>
              <w:rPr>
                <w:rFonts w:ascii="宋体" w:hAnsi="宋体" w:eastAsia="宋体"/>
                <w:sz w:val="16"/>
              </w:rPr>
              <w:t>培训班培训时限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350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9582C">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8D645">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999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383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85C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B7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703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A8F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A899">
            <w:pPr>
              <w:jc w:val="center"/>
            </w:pPr>
          </w:p>
        </w:tc>
      </w:tr>
      <w:tr w14:paraId="569668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4A65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39002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A8076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B3904">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889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78D6">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E955D">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D41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B8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B7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63D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CB1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BA1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78240">
            <w:pPr>
              <w:jc w:val="center"/>
            </w:pPr>
          </w:p>
        </w:tc>
      </w:tr>
      <w:tr w14:paraId="2CE009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51D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050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CA0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DA5D1">
            <w:pPr>
              <w:jc w:val="center"/>
            </w:pPr>
            <w:r>
              <w:rPr>
                <w:rFonts w:ascii="宋体" w:hAnsi="宋体" w:eastAsia="宋体"/>
                <w:sz w:val="16"/>
              </w:rPr>
              <w:t>现场教学培训费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B5C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D977F">
            <w:pPr>
              <w:jc w:val="center"/>
            </w:pPr>
            <w:r>
              <w:rPr>
                <w:rFonts w:ascii="宋体" w:hAnsi="宋体" w:eastAsia="宋体"/>
                <w:sz w:val="16"/>
              </w:rPr>
              <w:t>&lt;=7.09万元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35D4C">
            <w:pPr>
              <w:jc w:val="center"/>
            </w:pPr>
            <w:r>
              <w:rPr>
                <w:rFonts w:ascii="宋体" w:hAnsi="宋体" w:eastAsia="宋体"/>
                <w:sz w:val="16"/>
              </w:rPr>
              <w:t>=7.09万元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925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CB4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94D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A9D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095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B39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148D1">
            <w:pPr>
              <w:jc w:val="center"/>
            </w:pPr>
          </w:p>
        </w:tc>
      </w:tr>
      <w:tr w14:paraId="4AFDC7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5B6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FE08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ED9A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96E47">
            <w:pPr>
              <w:jc w:val="center"/>
            </w:pPr>
            <w:r>
              <w:rPr>
                <w:rFonts w:ascii="宋体" w:hAnsi="宋体" w:eastAsia="宋体"/>
                <w:sz w:val="16"/>
              </w:rPr>
              <w:t>提升我州绩效员工作能力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E3D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7737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CFFC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C10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932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B0A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49B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08F0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11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BBEAF">
            <w:pPr>
              <w:jc w:val="center"/>
            </w:pPr>
          </w:p>
        </w:tc>
      </w:tr>
      <w:tr w14:paraId="794582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0EE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C9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B3D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DFCAE">
            <w:pPr>
              <w:jc w:val="center"/>
            </w:pPr>
            <w:r>
              <w:rPr>
                <w:rFonts w:ascii="宋体" w:hAnsi="宋体" w:eastAsia="宋体"/>
                <w:sz w:val="16"/>
              </w:rPr>
              <w:t>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325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17EF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A32A1">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CA6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AB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7B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551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CE6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CFB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4E69A">
            <w:pPr>
              <w:jc w:val="center"/>
            </w:pPr>
          </w:p>
        </w:tc>
      </w:tr>
      <w:tr w14:paraId="5D4BEBE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7D16B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A63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B16A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D908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585C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2C50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128C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928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737F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B602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B6943"/>
        </w:tc>
      </w:tr>
    </w:tbl>
    <w:p w14:paraId="676349A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50DCE791">
        <w:tblPrEx>
          <w:tblCellMar>
            <w:top w:w="0" w:type="dxa"/>
            <w:left w:w="108" w:type="dxa"/>
            <w:bottom w:w="0" w:type="dxa"/>
            <w:right w:w="108" w:type="dxa"/>
          </w:tblCellMar>
        </w:tblPrEx>
        <w:tc>
          <w:tcPr>
            <w:tcW w:w="8848" w:type="dxa"/>
            <w:gridSpan w:val="14"/>
            <w:vAlign w:val="center"/>
          </w:tcPr>
          <w:p w14:paraId="451BF302">
            <w:pPr>
              <w:jc w:val="center"/>
            </w:pPr>
            <w:r>
              <w:rPr>
                <w:rFonts w:ascii="宋体" w:hAnsi="宋体" w:eastAsia="宋体"/>
                <w:sz w:val="24"/>
              </w:rPr>
              <w:t>项目支出绩效自评表</w:t>
            </w:r>
          </w:p>
        </w:tc>
      </w:tr>
      <w:tr w14:paraId="7804FE7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44AF300">
            <w:pPr>
              <w:jc w:val="center"/>
            </w:pPr>
            <w:r>
              <w:rPr>
                <w:rFonts w:ascii="宋体" w:hAnsi="宋体" w:eastAsia="宋体"/>
                <w:sz w:val="24"/>
              </w:rPr>
              <w:t>(2024年度)</w:t>
            </w:r>
          </w:p>
        </w:tc>
      </w:tr>
      <w:tr w14:paraId="387332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A7F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F8F13C">
            <w:pPr>
              <w:jc w:val="center"/>
            </w:pPr>
            <w:r>
              <w:rPr>
                <w:rFonts w:ascii="宋体" w:hAnsi="宋体" w:eastAsia="宋体"/>
                <w:sz w:val="16"/>
              </w:rPr>
              <w:t>信息化建设运行维护费</w:t>
            </w:r>
          </w:p>
        </w:tc>
      </w:tr>
      <w:tr w14:paraId="73852E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19FD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AD0E94">
            <w:pPr>
              <w:jc w:val="center"/>
            </w:pPr>
            <w:r>
              <w:rPr>
                <w:rFonts w:ascii="宋体" w:hAnsi="宋体" w:eastAsia="宋体"/>
                <w:sz w:val="16"/>
              </w:rPr>
              <w:t>昌吉回族自治州干部综合考核评价信息服务中心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6C91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C3C59E">
            <w:pPr>
              <w:jc w:val="center"/>
            </w:pPr>
            <w:r>
              <w:rPr>
                <w:rFonts w:ascii="宋体" w:hAnsi="宋体" w:eastAsia="宋体"/>
                <w:sz w:val="16"/>
              </w:rPr>
              <w:t>昌吉回族自治州干部综合考核评价信息服务中心</w:t>
            </w:r>
          </w:p>
        </w:tc>
      </w:tr>
      <w:tr w14:paraId="7EB67B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CA922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499B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9E4B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57EA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B434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FCC4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506D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B2872">
            <w:pPr>
              <w:jc w:val="center"/>
            </w:pPr>
            <w:r>
              <w:rPr>
                <w:rFonts w:ascii="宋体" w:hAnsi="宋体" w:eastAsia="宋体"/>
                <w:sz w:val="16"/>
              </w:rPr>
              <w:t>得分</w:t>
            </w:r>
          </w:p>
        </w:tc>
      </w:tr>
      <w:tr w14:paraId="2E7FC0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369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B897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1855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7B1B5">
            <w:pPr>
              <w:jc w:val="center"/>
            </w:pPr>
            <w:r>
              <w:rPr>
                <w:rFonts w:ascii="宋体" w:hAnsi="宋体" w:eastAsia="宋体"/>
                <w:sz w:val="16"/>
              </w:rPr>
              <w:t>14.78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EF14CC">
            <w:pPr>
              <w:jc w:val="center"/>
            </w:pPr>
            <w:r>
              <w:rPr>
                <w:rFonts w:ascii="宋体" w:hAnsi="宋体" w:eastAsia="宋体"/>
                <w:sz w:val="16"/>
              </w:rPr>
              <w:t>14.78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CB91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A4AD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5615D">
            <w:pPr>
              <w:jc w:val="center"/>
            </w:pPr>
            <w:r>
              <w:rPr>
                <w:rFonts w:ascii="宋体" w:hAnsi="宋体" w:eastAsia="宋体"/>
                <w:sz w:val="16"/>
              </w:rPr>
              <w:t>10.00</w:t>
            </w:r>
          </w:p>
        </w:tc>
      </w:tr>
      <w:tr w14:paraId="5F3C80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EA0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BE73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69DC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1C8FA">
            <w:pPr>
              <w:jc w:val="center"/>
            </w:pPr>
            <w:r>
              <w:rPr>
                <w:rFonts w:ascii="宋体" w:hAnsi="宋体" w:eastAsia="宋体"/>
                <w:sz w:val="16"/>
              </w:rPr>
              <w:t>14.78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CC220">
            <w:pPr>
              <w:jc w:val="center"/>
            </w:pPr>
            <w:r>
              <w:rPr>
                <w:rFonts w:ascii="宋体" w:hAnsi="宋体" w:eastAsia="宋体"/>
                <w:sz w:val="16"/>
              </w:rPr>
              <w:t>14.78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DAF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2B4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A11B9">
            <w:pPr>
              <w:jc w:val="center"/>
            </w:pPr>
            <w:r>
              <w:rPr>
                <w:rFonts w:ascii="宋体" w:hAnsi="宋体" w:eastAsia="宋体"/>
                <w:sz w:val="16"/>
              </w:rPr>
              <w:t>—</w:t>
            </w:r>
          </w:p>
        </w:tc>
      </w:tr>
      <w:tr w14:paraId="01CBFC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78A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41FE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9BA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717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4D0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8D49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F77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ACF43">
            <w:pPr>
              <w:jc w:val="center"/>
            </w:pPr>
            <w:r>
              <w:rPr>
                <w:rFonts w:ascii="宋体" w:hAnsi="宋体" w:eastAsia="宋体"/>
                <w:sz w:val="16"/>
              </w:rPr>
              <w:t>—</w:t>
            </w:r>
          </w:p>
        </w:tc>
      </w:tr>
      <w:tr w14:paraId="18ED9D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74BE3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3B590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1DB556">
            <w:pPr>
              <w:jc w:val="center"/>
            </w:pPr>
            <w:r>
              <w:rPr>
                <w:rFonts w:ascii="宋体" w:hAnsi="宋体" w:eastAsia="宋体"/>
                <w:sz w:val="16"/>
              </w:rPr>
              <w:t>实际完成情况</w:t>
            </w:r>
          </w:p>
        </w:tc>
      </w:tr>
      <w:tr w14:paraId="34C379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C018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275DE4">
            <w:pPr>
              <w:jc w:val="both"/>
            </w:pPr>
            <w:r>
              <w:rPr>
                <w:rFonts w:ascii="宋体" w:hAnsi="宋体" w:eastAsia="宋体"/>
                <w:sz w:val="16"/>
              </w:rPr>
              <w:t>定期做好系统维护更新、数据备份、等级保护测评，及时发现系统内部存在的安全隐患，合理</w:t>
            </w:r>
            <w:r>
              <w:rPr>
                <w:rFonts w:hint="eastAsia" w:ascii="宋体" w:hAnsi="宋体"/>
                <w:sz w:val="16"/>
                <w:lang w:eastAsia="zh-CN"/>
              </w:rPr>
              <w:t>地</w:t>
            </w:r>
            <w:r>
              <w:rPr>
                <w:rFonts w:ascii="宋体" w:hAnsi="宋体" w:eastAsia="宋体"/>
                <w:sz w:val="16"/>
              </w:rPr>
              <w:t>规避风险，进一步提高工作效率，确保信息系统能够正常运行。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8827B7">
            <w:pPr>
              <w:jc w:val="both"/>
            </w:pPr>
            <w:r>
              <w:rPr>
                <w:rFonts w:hint="eastAsia" w:ascii="宋体" w:hAnsi="宋体"/>
                <w:sz w:val="16"/>
                <w:lang w:eastAsia="zh-CN"/>
              </w:rPr>
              <w:t>截至2024</w:t>
            </w:r>
            <w:r>
              <w:rPr>
                <w:rFonts w:ascii="宋体" w:hAnsi="宋体" w:eastAsia="宋体"/>
                <w:sz w:val="16"/>
              </w:rPr>
              <w:t>年12月31日，该项目实际完成系统维护更新19处、数据备份、等级保护测评1项，及时发现系统内部存在的安全隐患，成本控制率100%。通过该项目的实施合理</w:t>
            </w:r>
            <w:r>
              <w:rPr>
                <w:rFonts w:hint="eastAsia" w:ascii="宋体" w:hAnsi="宋体"/>
                <w:sz w:val="16"/>
                <w:lang w:eastAsia="zh-CN"/>
              </w:rPr>
              <w:t>地</w:t>
            </w:r>
            <w:r>
              <w:rPr>
                <w:rFonts w:ascii="宋体" w:hAnsi="宋体" w:eastAsia="宋体"/>
                <w:sz w:val="16"/>
              </w:rPr>
              <w:t>规避风险，提升了工作效率，促进了信息系统能够正常运行。</w:t>
            </w:r>
          </w:p>
        </w:tc>
      </w:tr>
      <w:tr w14:paraId="3041B4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0F69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27DF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42FB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0095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18B7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4740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7B2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7513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0A60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BD7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16F5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361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54CD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318AA">
            <w:pPr>
              <w:jc w:val="center"/>
            </w:pPr>
            <w:r>
              <w:rPr>
                <w:rFonts w:ascii="宋体" w:hAnsi="宋体" w:eastAsia="宋体"/>
                <w:sz w:val="16"/>
              </w:rPr>
              <w:t>偏差原因分析及改进措施</w:t>
            </w:r>
          </w:p>
        </w:tc>
      </w:tr>
      <w:tr w14:paraId="6DE7FE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F997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A317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19E24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33689">
            <w:pPr>
              <w:jc w:val="center"/>
            </w:pPr>
            <w:r>
              <w:rPr>
                <w:rFonts w:ascii="宋体" w:hAnsi="宋体" w:eastAsia="宋体"/>
                <w:sz w:val="16"/>
              </w:rPr>
              <w:t>系统平台软硬件改进完善数量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C00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30407">
            <w:pPr>
              <w:jc w:val="center"/>
            </w:pPr>
            <w:r>
              <w:rPr>
                <w:rFonts w:ascii="宋体" w:hAnsi="宋体" w:eastAsia="宋体"/>
                <w:sz w:val="16"/>
              </w:rPr>
              <w:t>&gt;=20处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FDA15">
            <w:pPr>
              <w:jc w:val="center"/>
            </w:pPr>
            <w:r>
              <w:rPr>
                <w:rFonts w:ascii="宋体" w:hAnsi="宋体" w:eastAsia="宋体"/>
                <w:sz w:val="16"/>
              </w:rPr>
              <w:t>=19处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EEE3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5BA3A">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C89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2D3C0">
            <w:pPr>
              <w:jc w:val="center"/>
            </w:pPr>
            <w:r>
              <w:rPr>
                <w:rFonts w:ascii="宋体" w:hAnsi="宋体" w:eastAsia="宋体"/>
                <w:sz w:val="16"/>
              </w:rPr>
              <w:t>12处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26E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7805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0AD85">
            <w:pPr>
              <w:jc w:val="center"/>
            </w:pPr>
            <w:r>
              <w:rPr>
                <w:rFonts w:ascii="宋体" w:hAnsi="宋体" w:eastAsia="宋体"/>
                <w:sz w:val="16"/>
              </w:rPr>
              <w:t>工作计划改变，指标值出现偏差。</w:t>
            </w:r>
          </w:p>
        </w:tc>
      </w:tr>
      <w:tr w14:paraId="799BD9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F21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1B1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0BB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B32F8">
            <w:pPr>
              <w:jc w:val="center"/>
            </w:pPr>
            <w:r>
              <w:rPr>
                <w:rFonts w:ascii="宋体" w:hAnsi="宋体" w:eastAsia="宋体"/>
                <w:sz w:val="16"/>
              </w:rPr>
              <w:t>系统故障发生次数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49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CDD14">
            <w:pPr>
              <w:jc w:val="center"/>
            </w:pPr>
            <w:r>
              <w:rPr>
                <w:rFonts w:ascii="宋体" w:hAnsi="宋体" w:eastAsia="宋体"/>
                <w:sz w:val="16"/>
              </w:rPr>
              <w:t>&lt;=4次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1455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C34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5A7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25F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52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79D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2C1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AB5C4">
            <w:pPr>
              <w:jc w:val="center"/>
            </w:pPr>
          </w:p>
        </w:tc>
      </w:tr>
      <w:tr w14:paraId="524638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539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0A5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FE2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4CA1">
            <w:pPr>
              <w:jc w:val="center"/>
            </w:pPr>
            <w:r>
              <w:rPr>
                <w:rFonts w:ascii="宋体" w:hAnsi="宋体" w:eastAsia="宋体"/>
                <w:sz w:val="16"/>
              </w:rPr>
              <w:t>获得昌吉州公安部门网络安全备案证明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F06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5806D">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30527">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86F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3F0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E3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9CC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0B07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A15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84B6F">
            <w:pPr>
              <w:jc w:val="center"/>
            </w:pPr>
          </w:p>
        </w:tc>
      </w:tr>
      <w:tr w14:paraId="7D8AB4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B57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733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2E8C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607E1">
            <w:pPr>
              <w:jc w:val="center"/>
            </w:pPr>
            <w:r>
              <w:rPr>
                <w:rFonts w:ascii="宋体" w:hAnsi="宋体" w:eastAsia="宋体"/>
                <w:sz w:val="16"/>
              </w:rPr>
              <w:t>维护完成率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7C0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E59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1B6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FC9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05F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646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74C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BCB3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C67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71084">
            <w:pPr>
              <w:jc w:val="center"/>
            </w:pPr>
          </w:p>
        </w:tc>
      </w:tr>
      <w:tr w14:paraId="29303C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9C8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8F0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A68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2B444">
            <w:pPr>
              <w:jc w:val="center"/>
            </w:pPr>
            <w:r>
              <w:rPr>
                <w:rFonts w:ascii="宋体" w:hAnsi="宋体" w:eastAsia="宋体"/>
                <w:sz w:val="16"/>
              </w:rPr>
              <w:t>系统故障修复处理时长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380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870F9">
            <w:pPr>
              <w:jc w:val="center"/>
            </w:pPr>
            <w:r>
              <w:rPr>
                <w:rFonts w:ascii="宋体" w:hAnsi="宋体" w:eastAsia="宋体"/>
                <w:sz w:val="16"/>
              </w:rPr>
              <w:t>&lt;=5日历日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0E287">
            <w:pPr>
              <w:jc w:val="center"/>
            </w:pPr>
            <w:r>
              <w:rPr>
                <w:rFonts w:ascii="宋体" w:hAnsi="宋体" w:eastAsia="宋体"/>
                <w:sz w:val="16"/>
              </w:rPr>
              <w:t>&lt;=5日历日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0C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438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384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FF0F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83E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D13E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49603">
            <w:pPr>
              <w:jc w:val="center"/>
            </w:pPr>
          </w:p>
        </w:tc>
      </w:tr>
      <w:tr w14:paraId="0E3A51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DD9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848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0BB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AD56">
            <w:pPr>
              <w:jc w:val="center"/>
            </w:pPr>
            <w:r>
              <w:rPr>
                <w:rFonts w:ascii="宋体" w:hAnsi="宋体" w:eastAsia="宋体"/>
                <w:sz w:val="16"/>
              </w:rPr>
              <w:t>系统运行维护响应时间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109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19D0D">
            <w:pPr>
              <w:jc w:val="center"/>
            </w:pPr>
            <w:r>
              <w:rPr>
                <w:rFonts w:ascii="宋体" w:hAnsi="宋体" w:eastAsia="宋体"/>
                <w:sz w:val="16"/>
              </w:rPr>
              <w:t>&lt;=2小时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801C0">
            <w:pPr>
              <w:jc w:val="center"/>
            </w:pPr>
            <w:r>
              <w:rPr>
                <w:rFonts w:ascii="宋体" w:hAnsi="宋体" w:eastAsia="宋体"/>
                <w:sz w:val="16"/>
              </w:rPr>
              <w:t>&lt;=2小时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432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0DF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98D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9345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92A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DF09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FBFED">
            <w:pPr>
              <w:jc w:val="center"/>
            </w:pPr>
          </w:p>
        </w:tc>
      </w:tr>
      <w:tr w14:paraId="275BE5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791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3D4A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4F60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1B7D">
            <w:pPr>
              <w:jc w:val="center"/>
            </w:pPr>
            <w:r>
              <w:rPr>
                <w:rFonts w:ascii="宋体" w:hAnsi="宋体" w:eastAsia="宋体"/>
                <w:sz w:val="16"/>
              </w:rPr>
              <w:t>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ADA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03B11">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C66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DDF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2BA2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7E0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82D68">
            <w:pPr>
              <w:jc w:val="center"/>
            </w:pPr>
            <w:r>
              <w:rPr>
                <w:rFonts w:ascii="宋体" w:hAnsi="宋体" w:eastAsia="宋体"/>
                <w:sz w:val="16"/>
              </w:rPr>
              <w:t>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94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FC7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E8D79">
            <w:pPr>
              <w:jc w:val="center"/>
            </w:pPr>
          </w:p>
        </w:tc>
      </w:tr>
      <w:tr w14:paraId="000AB0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6B1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0A12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12BE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B2822">
            <w:pPr>
              <w:jc w:val="center"/>
            </w:pPr>
            <w:r>
              <w:rPr>
                <w:rFonts w:ascii="宋体" w:hAnsi="宋体" w:eastAsia="宋体"/>
                <w:sz w:val="16"/>
              </w:rPr>
              <w:t>提高各县市及部门工作效率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2A5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FE77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C758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0A1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6D0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A12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62A6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33EE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5398">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4403A">
            <w:pPr>
              <w:jc w:val="center"/>
            </w:pPr>
          </w:p>
        </w:tc>
      </w:tr>
      <w:tr w14:paraId="65D3C6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EAE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9B6D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1F2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4C920">
            <w:pPr>
              <w:jc w:val="center"/>
            </w:pPr>
            <w:r>
              <w:rPr>
                <w:rFonts w:ascii="宋体" w:hAnsi="宋体" w:eastAsia="宋体"/>
                <w:sz w:val="16"/>
              </w:rPr>
              <w:t>被使用单位投诉次数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97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14023">
            <w:pPr>
              <w:jc w:val="center"/>
            </w:pPr>
            <w:r>
              <w:rPr>
                <w:rFonts w:ascii="宋体" w:hAnsi="宋体" w:eastAsia="宋体"/>
                <w:sz w:val="16"/>
              </w:rPr>
              <w:t>&lt;=3次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66037">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F3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95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A96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CC11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CAA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01C9D">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7EBFF">
            <w:pPr>
              <w:jc w:val="center"/>
            </w:pPr>
          </w:p>
        </w:tc>
      </w:tr>
      <w:tr w14:paraId="228A9BA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AA303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F7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B497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FC47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8A6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C2E27">
            <w:pPr>
              <w:jc w:val="center"/>
            </w:pPr>
            <w:r>
              <w:rPr>
                <w:rFonts w:ascii="宋体" w:hAnsi="宋体" w:eastAsia="宋体"/>
                <w:sz w:val="16"/>
              </w:rPr>
              <w:t>98.75分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60C9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6F4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E3EE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62EC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F7341F"/>
        </w:tc>
      </w:tr>
    </w:tbl>
    <w:p w14:paraId="3FA29E7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57BCFED7">
        <w:tc>
          <w:tcPr>
            <w:tcW w:w="8848" w:type="dxa"/>
            <w:gridSpan w:val="14"/>
            <w:vAlign w:val="center"/>
          </w:tcPr>
          <w:p w14:paraId="582D26B0">
            <w:pPr>
              <w:jc w:val="center"/>
            </w:pPr>
            <w:r>
              <w:rPr>
                <w:rFonts w:ascii="宋体" w:hAnsi="宋体" w:eastAsia="宋体"/>
                <w:sz w:val="24"/>
              </w:rPr>
              <w:t>项目支出绩效自评表</w:t>
            </w:r>
          </w:p>
        </w:tc>
      </w:tr>
      <w:tr w14:paraId="15F7034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F4C74F">
            <w:pPr>
              <w:jc w:val="center"/>
            </w:pPr>
            <w:r>
              <w:rPr>
                <w:rFonts w:ascii="宋体" w:hAnsi="宋体" w:eastAsia="宋体"/>
                <w:sz w:val="24"/>
              </w:rPr>
              <w:t>(2024年度)</w:t>
            </w:r>
          </w:p>
        </w:tc>
      </w:tr>
      <w:tr w14:paraId="24D9A4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D32C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C2D6A1">
            <w:pPr>
              <w:jc w:val="center"/>
            </w:pPr>
            <w:r>
              <w:rPr>
                <w:rFonts w:ascii="宋体" w:hAnsi="宋体" w:eastAsia="宋体"/>
                <w:sz w:val="16"/>
              </w:rPr>
              <w:t>机构运行补助（自有资金）</w:t>
            </w:r>
          </w:p>
        </w:tc>
      </w:tr>
      <w:tr w14:paraId="0028C9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28F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51C63A">
            <w:pPr>
              <w:jc w:val="center"/>
            </w:pPr>
            <w:r>
              <w:rPr>
                <w:rFonts w:ascii="宋体" w:hAnsi="宋体" w:eastAsia="宋体"/>
                <w:sz w:val="16"/>
              </w:rPr>
              <w:t>昌吉回族自治州干部综合考核评价信息服务中心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5535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5EF045">
            <w:pPr>
              <w:jc w:val="center"/>
            </w:pPr>
            <w:r>
              <w:rPr>
                <w:rFonts w:ascii="宋体" w:hAnsi="宋体" w:eastAsia="宋体"/>
                <w:sz w:val="16"/>
              </w:rPr>
              <w:t>昌吉回族自治州干部综合考核评价信息服务中心</w:t>
            </w:r>
          </w:p>
        </w:tc>
      </w:tr>
      <w:tr w14:paraId="6B168B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755B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2C52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A84C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A66E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54DE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298F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5C0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4B6E6">
            <w:pPr>
              <w:jc w:val="center"/>
            </w:pPr>
            <w:r>
              <w:rPr>
                <w:rFonts w:ascii="宋体" w:hAnsi="宋体" w:eastAsia="宋体"/>
                <w:sz w:val="16"/>
              </w:rPr>
              <w:t>得分</w:t>
            </w:r>
          </w:p>
        </w:tc>
      </w:tr>
      <w:tr w14:paraId="729B2D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A71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2F7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0D27B">
            <w:pPr>
              <w:jc w:val="center"/>
            </w:pPr>
            <w:r>
              <w:rPr>
                <w:rFonts w:ascii="宋体" w:hAnsi="宋体" w:eastAsia="宋体"/>
                <w:sz w:val="16"/>
              </w:rPr>
              <w:t>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31895">
            <w:pPr>
              <w:jc w:val="center"/>
            </w:pPr>
            <w:r>
              <w:rPr>
                <w:rFonts w:ascii="宋体" w:hAnsi="宋体" w:eastAsia="宋体"/>
                <w:sz w:val="16"/>
              </w:rPr>
              <w:t>3.72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6A07A">
            <w:pPr>
              <w:jc w:val="center"/>
            </w:pPr>
            <w:r>
              <w:rPr>
                <w:rFonts w:ascii="宋体" w:hAnsi="宋体" w:eastAsia="宋体"/>
                <w:sz w:val="16"/>
              </w:rPr>
              <w:t>3.72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95A5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E4AF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60A5">
            <w:pPr>
              <w:jc w:val="center"/>
            </w:pPr>
            <w:r>
              <w:rPr>
                <w:rFonts w:ascii="宋体" w:hAnsi="宋体" w:eastAsia="宋体"/>
                <w:sz w:val="16"/>
              </w:rPr>
              <w:t>10.00</w:t>
            </w:r>
          </w:p>
        </w:tc>
      </w:tr>
      <w:tr w14:paraId="4C4D02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040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35E3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D2AF1">
            <w:pPr>
              <w:jc w:val="center"/>
            </w:pPr>
            <w:r>
              <w:rPr>
                <w:rFonts w:ascii="宋体" w:hAnsi="宋体" w:eastAsia="宋体"/>
                <w:sz w:val="16"/>
              </w:rPr>
              <w:t>6.10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A4726">
            <w:pPr>
              <w:jc w:val="center"/>
            </w:pPr>
            <w:r>
              <w:rPr>
                <w:rFonts w:ascii="宋体" w:hAnsi="宋体" w:eastAsia="宋体"/>
                <w:sz w:val="16"/>
              </w:rPr>
              <w:t>3.72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5427A">
            <w:pPr>
              <w:jc w:val="center"/>
            </w:pPr>
            <w:r>
              <w:rPr>
                <w:rFonts w:ascii="宋体" w:hAnsi="宋体" w:eastAsia="宋体"/>
                <w:sz w:val="16"/>
              </w:rPr>
              <w:t>3.72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892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D29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F8D0F">
            <w:pPr>
              <w:jc w:val="center"/>
            </w:pPr>
            <w:r>
              <w:rPr>
                <w:rFonts w:ascii="宋体" w:hAnsi="宋体" w:eastAsia="宋体"/>
                <w:sz w:val="16"/>
              </w:rPr>
              <w:t>—</w:t>
            </w:r>
          </w:p>
        </w:tc>
      </w:tr>
      <w:tr w14:paraId="3A6C14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D50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CD3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517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C6A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FF3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E6F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DF1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E9833">
            <w:pPr>
              <w:jc w:val="center"/>
            </w:pPr>
            <w:r>
              <w:rPr>
                <w:rFonts w:ascii="宋体" w:hAnsi="宋体" w:eastAsia="宋体"/>
                <w:sz w:val="16"/>
              </w:rPr>
              <w:t>—</w:t>
            </w:r>
          </w:p>
        </w:tc>
      </w:tr>
      <w:tr w14:paraId="4931DC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19AB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DC331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68B3A9">
            <w:pPr>
              <w:jc w:val="center"/>
            </w:pPr>
            <w:r>
              <w:rPr>
                <w:rFonts w:ascii="宋体" w:hAnsi="宋体" w:eastAsia="宋体"/>
                <w:sz w:val="16"/>
              </w:rPr>
              <w:t>实际完成情况</w:t>
            </w:r>
          </w:p>
        </w:tc>
      </w:tr>
      <w:tr w14:paraId="7881C7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7467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DA48D3">
            <w:pPr>
              <w:jc w:val="both"/>
            </w:pPr>
            <w:r>
              <w:rPr>
                <w:rFonts w:ascii="宋体" w:hAnsi="宋体" w:eastAsia="宋体"/>
                <w:sz w:val="16"/>
              </w:rPr>
              <w:t>为保障单位正常运转，开展福利次数1次，</w:t>
            </w:r>
            <w:r>
              <w:rPr>
                <w:rFonts w:hint="eastAsia" w:ascii="宋体" w:hAnsi="宋体"/>
                <w:sz w:val="16"/>
                <w:lang w:eastAsia="zh-CN"/>
              </w:rPr>
              <w:t>保障</w:t>
            </w:r>
            <w:r>
              <w:rPr>
                <w:rFonts w:ascii="宋体" w:hAnsi="宋体" w:eastAsia="宋体"/>
                <w:sz w:val="16"/>
              </w:rPr>
              <w:t>职工人员数15人，福利发放率100%，资金支付及时率100%，补助工会福利费用3万元，预算成本控制率100%。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393384">
            <w:pPr>
              <w:jc w:val="both"/>
            </w:pPr>
            <w:r>
              <w:rPr>
                <w:rFonts w:ascii="宋体" w:hAnsi="宋体" w:eastAsia="宋体"/>
                <w:sz w:val="16"/>
              </w:rPr>
              <w:t>截至2024年12月31日，该项目实施完成保障单位正常运转，开展福利次数1次，</w:t>
            </w:r>
            <w:r>
              <w:rPr>
                <w:rFonts w:hint="eastAsia" w:ascii="宋体" w:hAnsi="宋体"/>
                <w:sz w:val="16"/>
                <w:lang w:eastAsia="zh-CN"/>
              </w:rPr>
              <w:t>保障</w:t>
            </w:r>
            <w:r>
              <w:rPr>
                <w:rFonts w:ascii="宋体" w:hAnsi="宋体" w:eastAsia="宋体"/>
                <w:sz w:val="16"/>
              </w:rPr>
              <w:t>职工人员数15人，福利发放率100%，资金支付及时率100%，补助工会福利费用3.5万元，预算成本控制率100%，通过该项目的实施，提升了单位运转保障，促进了机构正常运行。</w:t>
            </w:r>
          </w:p>
        </w:tc>
      </w:tr>
      <w:tr w14:paraId="636377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9AD3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5C0E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AD6D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19F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4008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3B5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3379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B99D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C9F5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44E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9086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D394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F1E1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A83DD">
            <w:pPr>
              <w:jc w:val="center"/>
            </w:pPr>
            <w:r>
              <w:rPr>
                <w:rFonts w:ascii="宋体" w:hAnsi="宋体" w:eastAsia="宋体"/>
                <w:sz w:val="16"/>
              </w:rPr>
              <w:t>偏差原因分析及改进措施</w:t>
            </w:r>
          </w:p>
        </w:tc>
      </w:tr>
      <w:tr w14:paraId="09ED20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440B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1D0EA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9528D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17DDF">
            <w:pPr>
              <w:jc w:val="center"/>
            </w:pPr>
            <w:r>
              <w:rPr>
                <w:rFonts w:ascii="宋体" w:hAnsi="宋体" w:eastAsia="宋体"/>
                <w:sz w:val="16"/>
              </w:rPr>
              <w:t>开展福利次数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74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2EEC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178C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670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11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37C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282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AAE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258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DE538">
            <w:pPr>
              <w:jc w:val="center"/>
            </w:pPr>
          </w:p>
        </w:tc>
      </w:tr>
      <w:tr w14:paraId="5776A9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E18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611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2C4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D5CA5">
            <w:pPr>
              <w:jc w:val="center"/>
            </w:pPr>
            <w:r>
              <w:rPr>
                <w:rFonts w:ascii="宋体" w:hAnsi="宋体" w:eastAsia="宋体"/>
                <w:sz w:val="16"/>
              </w:rPr>
              <w:t>保障职工人员</w:t>
            </w:r>
            <w:r>
              <w:rPr>
                <w:rFonts w:hint="eastAsia" w:ascii="宋体" w:hAnsi="宋体"/>
                <w:sz w:val="16"/>
                <w:lang w:eastAsia="zh-CN"/>
              </w:rPr>
              <w:t>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A66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34B81">
            <w:pPr>
              <w:jc w:val="center"/>
            </w:pPr>
            <w:r>
              <w:rPr>
                <w:rFonts w:ascii="宋体" w:hAnsi="宋体" w:eastAsia="宋体"/>
                <w:sz w:val="16"/>
              </w:rPr>
              <w:t>&gt;=15人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C2158">
            <w:pPr>
              <w:jc w:val="center"/>
            </w:pPr>
            <w:r>
              <w:rPr>
                <w:rFonts w:ascii="宋体" w:hAnsi="宋体" w:eastAsia="宋体"/>
                <w:sz w:val="16"/>
              </w:rPr>
              <w: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159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9BB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A59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5743F">
            <w:pPr>
              <w:jc w:val="center"/>
            </w:pPr>
            <w:r>
              <w:rPr>
                <w:rFonts w:ascii="宋体" w:hAnsi="宋体" w:eastAsia="宋体"/>
                <w:sz w:val="16"/>
              </w:rPr>
              <w: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854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740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99565">
            <w:pPr>
              <w:jc w:val="center"/>
            </w:pPr>
          </w:p>
        </w:tc>
      </w:tr>
      <w:tr w14:paraId="367C52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97E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B07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EF97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14195">
            <w:pPr>
              <w:jc w:val="center"/>
            </w:pPr>
            <w:r>
              <w:rPr>
                <w:rFonts w:ascii="宋体" w:hAnsi="宋体" w:eastAsia="宋体"/>
                <w:sz w:val="16"/>
              </w:rPr>
              <w:t>福利发放率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4FD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CD2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F78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6B5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4A3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275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54C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DFA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B9AA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D7A2C">
            <w:pPr>
              <w:jc w:val="center"/>
            </w:pPr>
          </w:p>
        </w:tc>
      </w:tr>
      <w:tr w14:paraId="7CCF6D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1A5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BEE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AAA2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ED37">
            <w:pPr>
              <w:jc w:val="center"/>
            </w:pPr>
            <w:r>
              <w:rPr>
                <w:rFonts w:ascii="宋体" w:hAnsi="宋体" w:eastAsia="宋体"/>
                <w:sz w:val="16"/>
              </w:rPr>
              <w:t>资金支付完成时限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627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958B">
            <w:pPr>
              <w:jc w:val="center"/>
            </w:pPr>
            <w:r>
              <w:rPr>
                <w:rFonts w:ascii="宋体" w:hAnsi="宋体" w:eastAsia="宋体"/>
                <w:sz w:val="16"/>
              </w:rPr>
              <w:t>2024年12月30日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C3B2F">
            <w:pPr>
              <w:jc w:val="center"/>
            </w:pPr>
            <w:r>
              <w:rPr>
                <w:rFonts w:ascii="宋体" w:hAnsi="宋体" w:eastAsia="宋体"/>
                <w:sz w:val="16"/>
              </w:rPr>
              <w:t>=2024年12月30日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621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190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020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2DE3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3A8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1C94E">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5B354">
            <w:pPr>
              <w:jc w:val="center"/>
            </w:pPr>
          </w:p>
        </w:tc>
      </w:tr>
      <w:tr w14:paraId="099504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4B3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F2B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14B8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1698E">
            <w:pPr>
              <w:jc w:val="center"/>
            </w:pPr>
            <w:r>
              <w:rPr>
                <w:rFonts w:ascii="宋体" w:hAnsi="宋体" w:eastAsia="宋体"/>
                <w:sz w:val="16"/>
              </w:rPr>
              <w:t>单位补助工会福利支出成本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8F0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E3D12">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6DE98">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57A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90C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F94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5623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7F9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3A0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414F4">
            <w:pPr>
              <w:jc w:val="center"/>
            </w:pPr>
          </w:p>
        </w:tc>
      </w:tr>
      <w:tr w14:paraId="678314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19D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C97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D4E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EA4DB">
            <w:pPr>
              <w:jc w:val="center"/>
            </w:pPr>
            <w:r>
              <w:rPr>
                <w:rFonts w:ascii="宋体" w:hAnsi="宋体" w:eastAsia="宋体"/>
                <w:sz w:val="16"/>
              </w:rPr>
              <w:t>其他费用支出成本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69D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887AE">
            <w:pPr>
              <w:jc w:val="center"/>
            </w:pPr>
            <w:r>
              <w:rPr>
                <w:rFonts w:ascii="宋体" w:hAnsi="宋体" w:eastAsia="宋体"/>
                <w:sz w:val="16"/>
              </w:rPr>
              <w:t>&lt;=0.22万元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76318">
            <w:pPr>
              <w:jc w:val="center"/>
            </w:pPr>
            <w:r>
              <w:rPr>
                <w:rFonts w:ascii="宋体" w:hAnsi="宋体" w:eastAsia="宋体"/>
                <w:sz w:val="16"/>
              </w:rPr>
              <w:t>=0.22万元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EF5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376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7B3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91A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A48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833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1ADD3">
            <w:pPr>
              <w:jc w:val="center"/>
            </w:pPr>
          </w:p>
        </w:tc>
      </w:tr>
      <w:tr w14:paraId="7F5DAA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734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BFF2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EBB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116F8">
            <w:pPr>
              <w:jc w:val="center"/>
            </w:pPr>
            <w:r>
              <w:rPr>
                <w:rFonts w:ascii="宋体" w:hAnsi="宋体" w:eastAsia="宋体"/>
                <w:sz w:val="16"/>
              </w:rPr>
              <w:t>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DAEA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B3E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BED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367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4E5D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D3B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485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CE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7D12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6948D">
            <w:pPr>
              <w:jc w:val="center"/>
            </w:pPr>
          </w:p>
        </w:tc>
      </w:tr>
      <w:tr w14:paraId="3CB2C09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D15BA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DAA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933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E2A8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FA22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92AA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206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9CC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9201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7A12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52D2BD"/>
        </w:tc>
      </w:tr>
    </w:tbl>
    <w:p w14:paraId="51BBC401">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6"/>
        <w:gridCol w:w="776"/>
        <w:gridCol w:w="696"/>
        <w:gridCol w:w="629"/>
        <w:gridCol w:w="696"/>
        <w:gridCol w:w="624"/>
        <w:gridCol w:w="631"/>
        <w:gridCol w:w="624"/>
        <w:gridCol w:w="625"/>
        <w:gridCol w:w="632"/>
      </w:tblGrid>
      <w:tr w14:paraId="627BA48D">
        <w:tblPrEx>
          <w:tblCellMar>
            <w:top w:w="0" w:type="dxa"/>
            <w:left w:w="108" w:type="dxa"/>
            <w:bottom w:w="0" w:type="dxa"/>
            <w:right w:w="108" w:type="dxa"/>
          </w:tblCellMar>
        </w:tblPrEx>
        <w:tc>
          <w:tcPr>
            <w:tcW w:w="8848" w:type="dxa"/>
            <w:gridSpan w:val="14"/>
            <w:vAlign w:val="center"/>
          </w:tcPr>
          <w:p w14:paraId="0AC0E167">
            <w:pPr>
              <w:jc w:val="center"/>
            </w:pPr>
            <w:r>
              <w:rPr>
                <w:rFonts w:ascii="宋体" w:hAnsi="宋体" w:eastAsia="宋体"/>
                <w:sz w:val="24"/>
              </w:rPr>
              <w:t>项目支出绩效自评表</w:t>
            </w:r>
          </w:p>
        </w:tc>
      </w:tr>
      <w:tr w14:paraId="303779C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ACCF6E2">
            <w:pPr>
              <w:jc w:val="center"/>
            </w:pPr>
            <w:r>
              <w:rPr>
                <w:rFonts w:ascii="宋体" w:hAnsi="宋体" w:eastAsia="宋体"/>
                <w:sz w:val="24"/>
              </w:rPr>
              <w:t>(2024年度)</w:t>
            </w:r>
          </w:p>
        </w:tc>
      </w:tr>
      <w:tr w14:paraId="20C9F2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BB0B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A81435">
            <w:pPr>
              <w:jc w:val="center"/>
            </w:pPr>
            <w:r>
              <w:rPr>
                <w:rFonts w:ascii="宋体" w:hAnsi="宋体" w:eastAsia="宋体"/>
                <w:sz w:val="16"/>
              </w:rPr>
              <w:t>考核业务经费（干部综合绩效、公务员日常）</w:t>
            </w:r>
          </w:p>
        </w:tc>
      </w:tr>
      <w:tr w14:paraId="52005A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CE5A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52BBE2">
            <w:pPr>
              <w:jc w:val="center"/>
            </w:pPr>
            <w:r>
              <w:rPr>
                <w:rFonts w:ascii="宋体" w:hAnsi="宋体" w:eastAsia="宋体"/>
                <w:sz w:val="16"/>
              </w:rPr>
              <w:t>昌吉回族自治州干部综合考核评价信息服务中心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A1F5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5F3CF8">
            <w:pPr>
              <w:jc w:val="center"/>
            </w:pPr>
            <w:r>
              <w:rPr>
                <w:rFonts w:ascii="宋体" w:hAnsi="宋体" w:eastAsia="宋体"/>
                <w:sz w:val="16"/>
              </w:rPr>
              <w:t>昌吉回族自治州干部综合考核评价信息服务中心</w:t>
            </w:r>
          </w:p>
        </w:tc>
      </w:tr>
      <w:tr w14:paraId="4DE22D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D9CF1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E204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017F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35B7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2C35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0623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7CDA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3CB17">
            <w:pPr>
              <w:jc w:val="center"/>
            </w:pPr>
            <w:r>
              <w:rPr>
                <w:rFonts w:ascii="宋体" w:hAnsi="宋体" w:eastAsia="宋体"/>
                <w:sz w:val="16"/>
              </w:rPr>
              <w:t>得分</w:t>
            </w:r>
          </w:p>
        </w:tc>
      </w:tr>
      <w:tr w14:paraId="205645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CFF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AC3A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6FA9F">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CCF65">
            <w:pPr>
              <w:jc w:val="center"/>
            </w:pPr>
            <w:r>
              <w:rPr>
                <w:rFonts w:ascii="宋体" w:hAnsi="宋体" w:eastAsia="宋体"/>
                <w:sz w:val="16"/>
              </w:rPr>
              <w:t>12.93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1A8CD">
            <w:pPr>
              <w:jc w:val="center"/>
            </w:pPr>
            <w:r>
              <w:rPr>
                <w:rFonts w:ascii="宋体" w:hAnsi="宋体" w:eastAsia="宋体"/>
                <w:sz w:val="16"/>
              </w:rPr>
              <w:t>12.93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FD12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0244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C62F0">
            <w:pPr>
              <w:jc w:val="center"/>
            </w:pPr>
            <w:r>
              <w:rPr>
                <w:rFonts w:ascii="宋体" w:hAnsi="宋体" w:eastAsia="宋体"/>
                <w:sz w:val="16"/>
              </w:rPr>
              <w:t>10.00</w:t>
            </w:r>
          </w:p>
        </w:tc>
      </w:tr>
      <w:tr w14:paraId="143199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940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D15E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95798">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24638">
            <w:pPr>
              <w:jc w:val="center"/>
            </w:pPr>
            <w:r>
              <w:rPr>
                <w:rFonts w:ascii="宋体" w:hAnsi="宋体" w:eastAsia="宋体"/>
                <w:sz w:val="16"/>
              </w:rPr>
              <w:t>12.93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B0BF9">
            <w:pPr>
              <w:jc w:val="center"/>
            </w:pPr>
            <w:r>
              <w:rPr>
                <w:rFonts w:ascii="宋体" w:hAnsi="宋体" w:eastAsia="宋体"/>
                <w:sz w:val="16"/>
              </w:rPr>
              <w:t>12.93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3BD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A5D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72FC3">
            <w:pPr>
              <w:jc w:val="center"/>
            </w:pPr>
            <w:r>
              <w:rPr>
                <w:rFonts w:ascii="宋体" w:hAnsi="宋体" w:eastAsia="宋体"/>
                <w:sz w:val="16"/>
              </w:rPr>
              <w:t>—</w:t>
            </w:r>
          </w:p>
        </w:tc>
      </w:tr>
      <w:tr w14:paraId="4B597E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90D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F3E8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E39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127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ADF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E586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237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ADA50">
            <w:pPr>
              <w:jc w:val="center"/>
            </w:pPr>
            <w:r>
              <w:rPr>
                <w:rFonts w:ascii="宋体" w:hAnsi="宋体" w:eastAsia="宋体"/>
                <w:sz w:val="16"/>
              </w:rPr>
              <w:t>—</w:t>
            </w:r>
          </w:p>
        </w:tc>
      </w:tr>
      <w:tr w14:paraId="5FE6AE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9621A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BD877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B25EDC">
            <w:pPr>
              <w:jc w:val="center"/>
            </w:pPr>
            <w:r>
              <w:rPr>
                <w:rFonts w:ascii="宋体" w:hAnsi="宋体" w:eastAsia="宋体"/>
                <w:sz w:val="16"/>
              </w:rPr>
              <w:t>实际完成情况</w:t>
            </w:r>
          </w:p>
        </w:tc>
      </w:tr>
      <w:tr w14:paraId="400074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C1FF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DCE573">
            <w:pPr>
              <w:jc w:val="both"/>
            </w:pPr>
            <w:r>
              <w:rPr>
                <w:rFonts w:ascii="宋体" w:hAnsi="宋体" w:eastAsia="宋体"/>
                <w:sz w:val="16"/>
              </w:rPr>
              <w:t>为保障绩效考核业务顺利开展，开展考核培训1次，绩效指标现场察访核验3次，向州党委报送区州重点工作任务监测报告3次，区州重点指标占比50%，干部综合考核结果公开100%。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F10597">
            <w:pPr>
              <w:jc w:val="both"/>
            </w:pPr>
            <w:r>
              <w:rPr>
                <w:rFonts w:hint="eastAsia" w:ascii="宋体" w:hAnsi="宋体"/>
                <w:sz w:val="16"/>
                <w:lang w:eastAsia="zh-CN"/>
              </w:rPr>
              <w:t>截至</w:t>
            </w:r>
            <w:r>
              <w:rPr>
                <w:rFonts w:ascii="宋体" w:hAnsi="宋体" w:eastAsia="宋体"/>
                <w:sz w:val="16"/>
              </w:rPr>
              <w:t>2024年12月31日，该项目实际完成开展考核培训1次，绩效指标现场察访核验3次，向州党委报送区州重点工作任务监测报告3次，区州重点指标占比50%，干部综合考核结果公开100%。通过该项目的实施，提升了我州绩效考核工作管理水平，促进了全州各项重点工作任务完成。</w:t>
            </w:r>
          </w:p>
        </w:tc>
      </w:tr>
      <w:tr w14:paraId="3684FB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0594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FFE1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85FC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DCD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057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5609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0349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1E51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C37A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8652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245C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3888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395B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99AA4">
            <w:pPr>
              <w:jc w:val="center"/>
            </w:pPr>
            <w:r>
              <w:rPr>
                <w:rFonts w:ascii="宋体" w:hAnsi="宋体" w:eastAsia="宋体"/>
                <w:sz w:val="16"/>
              </w:rPr>
              <w:t>偏差原因分析及改进措施</w:t>
            </w:r>
          </w:p>
        </w:tc>
      </w:tr>
      <w:tr w14:paraId="27CC60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F9E1B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739D5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BF3C3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CD3CA">
            <w:pPr>
              <w:jc w:val="center"/>
            </w:pPr>
            <w:r>
              <w:rPr>
                <w:rFonts w:ascii="宋体" w:hAnsi="宋体" w:eastAsia="宋体"/>
                <w:sz w:val="16"/>
              </w:rPr>
              <w:t>开展绩效指标现场察访核验次数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2C9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28C1F">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5A0CD">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7EF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266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4E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D5CD0">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5A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28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255D2">
            <w:pPr>
              <w:jc w:val="center"/>
            </w:pPr>
          </w:p>
        </w:tc>
      </w:tr>
      <w:tr w14:paraId="1DFA8B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B98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A2F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065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02E4">
            <w:pPr>
              <w:jc w:val="center"/>
            </w:pPr>
            <w:r>
              <w:rPr>
                <w:rFonts w:ascii="宋体" w:hAnsi="宋体" w:eastAsia="宋体"/>
                <w:sz w:val="16"/>
              </w:rPr>
              <w:t>向州党委报送区州重点工作任务监测报告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7F3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59712">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310D3">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E32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4AB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AD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33395">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479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D61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BEB85">
            <w:pPr>
              <w:jc w:val="center"/>
            </w:pPr>
          </w:p>
        </w:tc>
      </w:tr>
      <w:tr w14:paraId="6178FD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99D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063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7DC0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7CCEC">
            <w:pPr>
              <w:jc w:val="center"/>
            </w:pPr>
            <w:r>
              <w:rPr>
                <w:rFonts w:ascii="宋体" w:hAnsi="宋体" w:eastAsia="宋体"/>
                <w:sz w:val="16"/>
              </w:rPr>
              <w:t>区州重点指标占比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B2D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1E18E">
            <w:pPr>
              <w:jc w:val="center"/>
            </w:pPr>
            <w:r>
              <w:rPr>
                <w:rFonts w:ascii="宋体" w:hAnsi="宋体" w:eastAsia="宋体"/>
                <w:sz w:val="16"/>
              </w:rPr>
              <w:t>&gt;=50%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3CD4A">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C2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A3B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6A9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FAF7">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B42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7E6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3660E">
            <w:pPr>
              <w:jc w:val="center"/>
            </w:pPr>
          </w:p>
        </w:tc>
      </w:tr>
      <w:tr w14:paraId="74B7FF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4D8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08C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2C0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B079F">
            <w:pPr>
              <w:jc w:val="center"/>
            </w:pPr>
            <w:r>
              <w:rPr>
                <w:rFonts w:ascii="宋体" w:hAnsi="宋体" w:eastAsia="宋体"/>
                <w:sz w:val="16"/>
              </w:rPr>
              <w:t>干部综合考核任务完成率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AB1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85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82D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9B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B5A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CC5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7B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F77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E1A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8D365">
            <w:pPr>
              <w:jc w:val="center"/>
            </w:pPr>
          </w:p>
        </w:tc>
      </w:tr>
      <w:tr w14:paraId="611647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762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29F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58B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36CD1">
            <w:pPr>
              <w:jc w:val="center"/>
            </w:pPr>
            <w:r>
              <w:rPr>
                <w:rFonts w:ascii="宋体" w:hAnsi="宋体" w:eastAsia="宋体"/>
                <w:sz w:val="16"/>
              </w:rPr>
              <w:t>开展考核培训完成时限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4B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9DCBA">
            <w:pPr>
              <w:jc w:val="center"/>
            </w:pPr>
            <w:r>
              <w:rPr>
                <w:rFonts w:ascii="宋体" w:hAnsi="宋体" w:eastAsia="宋体"/>
                <w:sz w:val="16"/>
              </w:rPr>
              <w:t>&lt;=2024年9月30日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69E9">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3B3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D3D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3DD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D1B2">
            <w:pPr>
              <w:jc w:val="center"/>
            </w:pPr>
            <w:r>
              <w:rPr>
                <w:rFonts w:ascii="宋体" w:hAnsi="宋体" w:eastAsia="宋体"/>
                <w:sz w:val="16"/>
              </w:rPr>
              <w:t>&lt;=6月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9FDA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FEC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1C200">
            <w:pPr>
              <w:jc w:val="center"/>
            </w:pPr>
          </w:p>
        </w:tc>
      </w:tr>
      <w:tr w14:paraId="74FAA4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61C0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BECE3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D6555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56CCD">
            <w:pPr>
              <w:jc w:val="center"/>
            </w:pPr>
            <w:r>
              <w:rPr>
                <w:rFonts w:ascii="宋体" w:hAnsi="宋体" w:eastAsia="宋体"/>
                <w:sz w:val="16"/>
              </w:rPr>
              <w:t>办公费支出成本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70B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8CF3E">
            <w:pPr>
              <w:jc w:val="center"/>
            </w:pPr>
            <w:r>
              <w:rPr>
                <w:rFonts w:ascii="宋体" w:hAnsi="宋体" w:eastAsia="宋体"/>
                <w:sz w:val="16"/>
              </w:rPr>
              <w:t>&lt;=12.03万元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5A4BA">
            <w:pPr>
              <w:jc w:val="center"/>
            </w:pPr>
            <w:r>
              <w:rPr>
                <w:rFonts w:ascii="宋体" w:hAnsi="宋体" w:eastAsia="宋体"/>
                <w:sz w:val="16"/>
              </w:rPr>
              <w:t>=12.03万元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C5C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6089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2151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6E5D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F7F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D8F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86C7">
            <w:pPr>
              <w:jc w:val="center"/>
            </w:pPr>
          </w:p>
        </w:tc>
      </w:tr>
      <w:tr w14:paraId="34B773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96D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CBB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38C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C09DE">
            <w:pPr>
              <w:jc w:val="center"/>
            </w:pPr>
            <w:r>
              <w:rPr>
                <w:rFonts w:ascii="宋体" w:hAnsi="宋体" w:eastAsia="宋体"/>
                <w:sz w:val="16"/>
              </w:rPr>
              <w:t>其他交通成本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966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43E31">
            <w:pPr>
              <w:jc w:val="center"/>
            </w:pPr>
            <w:r>
              <w:rPr>
                <w:rFonts w:ascii="宋体" w:hAnsi="宋体" w:eastAsia="宋体"/>
                <w:sz w:val="16"/>
              </w:rPr>
              <w:t>&lt;=0.9万元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3BE34">
            <w:pPr>
              <w:jc w:val="center"/>
            </w:pPr>
            <w:r>
              <w:rPr>
                <w:rFonts w:ascii="宋体" w:hAnsi="宋体" w:eastAsia="宋体"/>
                <w:sz w:val="16"/>
              </w:rPr>
              <w:t>=0.9万元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11C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B7B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4654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DEF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2C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48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82AC5">
            <w:pPr>
              <w:jc w:val="center"/>
            </w:pPr>
          </w:p>
        </w:tc>
      </w:tr>
      <w:tr w14:paraId="07EA6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E4A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8602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8942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C5849">
            <w:pPr>
              <w:jc w:val="center"/>
            </w:pPr>
            <w:r>
              <w:rPr>
                <w:rFonts w:ascii="宋体" w:hAnsi="宋体" w:eastAsia="宋体"/>
                <w:sz w:val="16"/>
              </w:rPr>
              <w:t>干部综合考核结果公开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819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A9EA0">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C0D8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D47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5BD6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AFA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D537E">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1B6D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BBB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8CBBB">
            <w:pPr>
              <w:jc w:val="center"/>
            </w:pPr>
          </w:p>
        </w:tc>
      </w:tr>
      <w:tr w14:paraId="349402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221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DF9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518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F7263">
            <w:pPr>
              <w:jc w:val="center"/>
            </w:pPr>
            <w:r>
              <w:rPr>
                <w:rFonts w:ascii="宋体" w:hAnsi="宋体" w:eastAsia="宋体"/>
                <w:sz w:val="16"/>
              </w:rPr>
              <w:t>被考核单位投诉次数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071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1CD59">
            <w:pPr>
              <w:jc w:val="center"/>
            </w:pPr>
            <w:r>
              <w:rPr>
                <w:rFonts w:ascii="宋体" w:hAnsi="宋体" w:eastAsia="宋体"/>
                <w:sz w:val="16"/>
              </w:rPr>
              <w:t>&lt;=3次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58A90">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6BD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07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D88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64C22">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BC1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048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4823">
            <w:pPr>
              <w:jc w:val="center"/>
            </w:pPr>
          </w:p>
        </w:tc>
      </w:tr>
      <w:tr w14:paraId="0372D51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2D25F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D5A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5249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3C9B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F26D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43CB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60D5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612A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227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E916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3D854"/>
        </w:tc>
      </w:tr>
    </w:tbl>
    <w:p w14:paraId="7CC78D83">
      <w:r>
        <w:br w:type="page"/>
      </w:r>
    </w:p>
    <w:p w14:paraId="35AC12AA">
      <w:pPr>
        <w:spacing w:line="640" w:lineRule="exact"/>
        <w:ind w:firstLine="640"/>
        <w:jc w:val="both"/>
        <w:outlineLvl w:val="2"/>
      </w:pPr>
      <w:r>
        <w:rPr>
          <w:rFonts w:ascii="黑体" w:hAnsi="黑体" w:eastAsia="黑体"/>
          <w:sz w:val="32"/>
        </w:rPr>
        <w:t>十二、其他需说明的事项</w:t>
      </w:r>
    </w:p>
    <w:p w14:paraId="457076AF">
      <w:pPr>
        <w:spacing w:line="580" w:lineRule="exact"/>
        <w:ind w:firstLine="640"/>
        <w:jc w:val="both"/>
      </w:pPr>
      <w:r>
        <w:rPr>
          <w:rFonts w:ascii="仿宋_GB2312" w:hAnsi="仿宋_GB2312" w:eastAsia="仿宋_GB2312"/>
          <w:b w:val="0"/>
          <w:sz w:val="32"/>
        </w:rPr>
        <w:t>本单位无其他需说明的事项。</w:t>
      </w:r>
    </w:p>
    <w:p w14:paraId="0630DBBB">
      <w:r>
        <w:br w:type="page"/>
      </w:r>
    </w:p>
    <w:p w14:paraId="163B82B6">
      <w:pPr>
        <w:spacing w:line="240" w:lineRule="auto"/>
        <w:jc w:val="center"/>
        <w:outlineLvl w:val="1"/>
      </w:pPr>
      <w:r>
        <w:rPr>
          <w:rFonts w:ascii="黑体" w:hAnsi="黑体" w:eastAsia="黑体"/>
          <w:sz w:val="32"/>
        </w:rPr>
        <w:t>第三部分 专业名词解释</w:t>
      </w:r>
    </w:p>
    <w:p w14:paraId="48F97EA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BA5D5F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F5113C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85B440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F4472F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D92F3C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07CFBF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B813E6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D39ED4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299E07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F0B4A2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94B11E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5301CE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400B40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48FF418">
      <w:r>
        <w:br w:type="page"/>
      </w:r>
    </w:p>
    <w:p w14:paraId="6642F114">
      <w:pPr>
        <w:spacing w:line="240" w:lineRule="auto"/>
        <w:jc w:val="center"/>
        <w:outlineLvl w:val="1"/>
      </w:pPr>
      <w:r>
        <w:rPr>
          <w:rFonts w:ascii="黑体" w:hAnsi="黑体" w:eastAsia="黑体"/>
          <w:sz w:val="32"/>
        </w:rPr>
        <w:t>第四部分 部门决算报表（见附表）</w:t>
      </w:r>
    </w:p>
    <w:p w14:paraId="40683D82">
      <w:pPr>
        <w:spacing w:line="240" w:lineRule="auto"/>
        <w:ind w:firstLine="640"/>
        <w:jc w:val="both"/>
      </w:pPr>
      <w:r>
        <w:rPr>
          <w:rFonts w:ascii="仿宋_GB2312" w:hAnsi="仿宋_GB2312" w:eastAsia="仿宋_GB2312"/>
          <w:b w:val="0"/>
          <w:sz w:val="32"/>
        </w:rPr>
        <w:t>一、《收入支出决算总表》</w:t>
      </w:r>
    </w:p>
    <w:p w14:paraId="3C780F63">
      <w:pPr>
        <w:spacing w:line="240" w:lineRule="auto"/>
        <w:ind w:firstLine="640"/>
        <w:jc w:val="both"/>
      </w:pPr>
      <w:r>
        <w:rPr>
          <w:rFonts w:ascii="仿宋_GB2312" w:hAnsi="仿宋_GB2312" w:eastAsia="仿宋_GB2312"/>
          <w:b w:val="0"/>
          <w:sz w:val="32"/>
        </w:rPr>
        <w:t>二、《收入决算表》</w:t>
      </w:r>
    </w:p>
    <w:p w14:paraId="1BF653EC">
      <w:pPr>
        <w:spacing w:line="240" w:lineRule="auto"/>
        <w:ind w:firstLine="640"/>
        <w:jc w:val="both"/>
      </w:pPr>
      <w:r>
        <w:rPr>
          <w:rFonts w:ascii="仿宋_GB2312" w:hAnsi="仿宋_GB2312" w:eastAsia="仿宋_GB2312"/>
          <w:b w:val="0"/>
          <w:sz w:val="32"/>
        </w:rPr>
        <w:t>三、《支出决算表》</w:t>
      </w:r>
    </w:p>
    <w:p w14:paraId="18AB8FC7">
      <w:pPr>
        <w:spacing w:line="240" w:lineRule="auto"/>
        <w:ind w:firstLine="640"/>
        <w:jc w:val="both"/>
      </w:pPr>
      <w:r>
        <w:rPr>
          <w:rFonts w:ascii="仿宋_GB2312" w:hAnsi="仿宋_GB2312" w:eastAsia="仿宋_GB2312"/>
          <w:b w:val="0"/>
          <w:sz w:val="32"/>
        </w:rPr>
        <w:t>四、《财政拨款收入支出决算总表》</w:t>
      </w:r>
    </w:p>
    <w:p w14:paraId="726EB634">
      <w:pPr>
        <w:spacing w:line="240" w:lineRule="auto"/>
        <w:ind w:firstLine="640"/>
        <w:jc w:val="both"/>
      </w:pPr>
      <w:r>
        <w:rPr>
          <w:rFonts w:ascii="仿宋_GB2312" w:hAnsi="仿宋_GB2312" w:eastAsia="仿宋_GB2312"/>
          <w:b w:val="0"/>
          <w:sz w:val="32"/>
        </w:rPr>
        <w:t>五、《一般公共预算财政拨款支出决算表》</w:t>
      </w:r>
    </w:p>
    <w:p w14:paraId="666E37DF">
      <w:pPr>
        <w:spacing w:line="240" w:lineRule="auto"/>
        <w:ind w:firstLine="640"/>
        <w:jc w:val="both"/>
      </w:pPr>
      <w:r>
        <w:rPr>
          <w:rFonts w:ascii="仿宋_GB2312" w:hAnsi="仿宋_GB2312" w:eastAsia="仿宋_GB2312"/>
          <w:b w:val="0"/>
          <w:sz w:val="32"/>
        </w:rPr>
        <w:t>六、《一般公共预算财政拨款基本支出决算表》</w:t>
      </w:r>
    </w:p>
    <w:p w14:paraId="2C4B2E17">
      <w:pPr>
        <w:spacing w:line="240" w:lineRule="auto"/>
        <w:ind w:firstLine="640"/>
        <w:jc w:val="both"/>
      </w:pPr>
      <w:r>
        <w:rPr>
          <w:rFonts w:ascii="仿宋_GB2312" w:hAnsi="仿宋_GB2312" w:eastAsia="仿宋_GB2312"/>
          <w:b w:val="0"/>
          <w:sz w:val="32"/>
        </w:rPr>
        <w:t>七、《政府性基金预算财政拨款收入支出决算表》</w:t>
      </w:r>
    </w:p>
    <w:p w14:paraId="422D35BB">
      <w:pPr>
        <w:spacing w:line="240" w:lineRule="auto"/>
        <w:ind w:firstLine="640"/>
        <w:jc w:val="both"/>
      </w:pPr>
      <w:r>
        <w:rPr>
          <w:rFonts w:ascii="仿宋_GB2312" w:hAnsi="仿宋_GB2312" w:eastAsia="仿宋_GB2312"/>
          <w:b w:val="0"/>
          <w:sz w:val="32"/>
        </w:rPr>
        <w:t>八、《国有资本经营预算财政拨款收入支出决算表》</w:t>
      </w:r>
    </w:p>
    <w:p w14:paraId="6745300A">
      <w:pPr>
        <w:spacing w:line="240" w:lineRule="auto"/>
        <w:ind w:firstLine="640"/>
        <w:jc w:val="both"/>
      </w:pPr>
      <w:r>
        <w:rPr>
          <w:rFonts w:ascii="仿宋_GB2312" w:hAnsi="仿宋_GB2312" w:eastAsia="仿宋_GB2312"/>
          <w:b w:val="0"/>
          <w:sz w:val="32"/>
        </w:rPr>
        <w:t>九、《财政拨款“三公”经费支出决算表》</w:t>
      </w:r>
    </w:p>
    <w:p w14:paraId="399E56DE">
      <w:pPr>
        <w:spacing w:line="240" w:lineRule="auto"/>
        <w:ind w:firstLine="640"/>
        <w:jc w:val="both"/>
      </w:pPr>
    </w:p>
    <w:p w14:paraId="72A33B68">
      <w:pPr>
        <w:spacing w:line="240" w:lineRule="auto"/>
        <w:ind w:firstLine="640"/>
        <w:jc w:val="both"/>
      </w:pPr>
    </w:p>
    <w:p w14:paraId="7F8D854E">
      <w:pPr>
        <w:spacing w:line="240" w:lineRule="auto"/>
        <w:ind w:firstLine="640"/>
        <w:jc w:val="both"/>
      </w:pPr>
    </w:p>
    <w:p w14:paraId="38E495E3">
      <w:pPr>
        <w:spacing w:line="240" w:lineRule="auto"/>
        <w:ind w:firstLine="640"/>
        <w:jc w:val="both"/>
      </w:pPr>
    </w:p>
    <w:p w14:paraId="6E03A43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C56AD8-0273-4047-9A08-FD640A3282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4252170-8483-4001-82C9-AA22CC546EEA}"/>
  </w:font>
  <w:font w:name="仿宋_GB2312">
    <w:altName w:val="仿宋"/>
    <w:panose1 w:val="02010609030101010101"/>
    <w:charset w:val="86"/>
    <w:family w:val="modern"/>
    <w:pitch w:val="default"/>
    <w:sig w:usb0="00000000" w:usb1="00000000" w:usb2="00000000" w:usb3="00000000" w:csb0="00040000" w:csb1="00000000"/>
    <w:embedRegular r:id="rId3" w:fontKey="{75B3F54D-E9AE-48FA-A2F7-B09181C47383}"/>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FE77A317-6883-48AA-A80C-6404D1B5F89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6107BF"/>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9C21D5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5231</Words>
  <Characters>5892</Characters>
  <Lines>0</Lines>
  <Paragraphs>0</Paragraphs>
  <TotalTime>10</TotalTime>
  <ScaleCrop>false</ScaleCrop>
  <LinksUpToDate>false</LinksUpToDate>
  <CharactersWithSpaces>5900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