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F23D47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昌吉回族自治州干部休养所2024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BC14FCF">
      <w:r>
        <w:br w:type="page"/>
      </w:r>
    </w:p>
    <w:p w14:paraId="297281A9">
      <w:pPr>
        <w:spacing w:line="640" w:lineRule="exact"/>
        <w:jc w:val="center"/>
        <w:outlineLvl w:val="1"/>
      </w:pPr>
      <w:r>
        <w:rPr>
          <w:rFonts w:ascii="黑体" w:hAnsi="黑体" w:eastAsia="黑体"/>
          <w:sz w:val="32"/>
        </w:rPr>
        <w:t>第一部分 单位概况</w:t>
      </w:r>
    </w:p>
    <w:p w14:paraId="14043B04">
      <w:pPr>
        <w:spacing w:line="640" w:lineRule="exact"/>
        <w:ind w:firstLine="640"/>
        <w:jc w:val="both"/>
        <w:outlineLvl w:val="2"/>
      </w:pPr>
      <w:r>
        <w:rPr>
          <w:rFonts w:ascii="黑体" w:hAnsi="黑体" w:eastAsia="黑体"/>
          <w:sz w:val="32"/>
        </w:rPr>
        <w:t>一、主要职能</w:t>
      </w:r>
    </w:p>
    <w:p w14:paraId="1895D0A5">
      <w:pPr>
        <w:spacing w:line="580" w:lineRule="exact"/>
        <w:ind w:firstLine="640"/>
        <w:jc w:val="both"/>
      </w:pPr>
      <w:r>
        <w:rPr>
          <w:rFonts w:ascii="仿宋_GB2312" w:hAnsi="仿宋_GB2312" w:eastAsia="仿宋_GB2312"/>
          <w:sz w:val="32"/>
        </w:rPr>
        <w:t>昌吉回族自治州干部休养所由原新疆维吾尔自治区昌吉干部休养所和原昌吉回族自治州健康路干部休养所合并组建。</w:t>
      </w:r>
    </w:p>
    <w:p w14:paraId="55A82479">
      <w:pPr>
        <w:spacing w:line="580" w:lineRule="exact"/>
        <w:ind w:firstLine="640"/>
        <w:jc w:val="both"/>
      </w:pPr>
      <w:r>
        <w:rPr>
          <w:rFonts w:ascii="仿宋_GB2312" w:hAnsi="仿宋_GB2312" w:eastAsia="仿宋_GB2312"/>
          <w:sz w:val="32"/>
        </w:rPr>
        <w:t>昌吉回族自治州干部休养所是参照公务员法管理的事业单位，财政全额拨款，隶属于中共昌吉回族自治州委员会老干部局下属独立核算的法人单位，地址：昌吉市北京南路39号。</w:t>
      </w:r>
    </w:p>
    <w:p w14:paraId="1ED309E6">
      <w:pPr>
        <w:spacing w:line="580" w:lineRule="exact"/>
        <w:ind w:firstLine="640"/>
        <w:jc w:val="both"/>
      </w:pPr>
      <w:r>
        <w:rPr>
          <w:rFonts w:ascii="仿宋_GB2312" w:hAnsi="仿宋_GB2312" w:eastAsia="仿宋_GB2312"/>
          <w:sz w:val="32"/>
        </w:rPr>
        <w:t>主要职能是贯彻落实老干部政策；落实老干部政治待遇和生活待遇；负责原两个干休所离退休干部及遗孀的服务管理、政治学习、生活扶助、医疗保健、生活待遇发放、阅读文件、重要活动、文体活动的组织及相关服务。</w:t>
      </w:r>
    </w:p>
    <w:p w14:paraId="25490704">
      <w:pPr>
        <w:spacing w:line="640" w:lineRule="exact"/>
        <w:ind w:firstLine="640"/>
        <w:jc w:val="both"/>
        <w:outlineLvl w:val="2"/>
      </w:pPr>
      <w:r>
        <w:rPr>
          <w:rFonts w:ascii="黑体" w:hAnsi="黑体" w:eastAsia="黑体"/>
          <w:sz w:val="32"/>
        </w:rPr>
        <w:t>二、机构设置及人员情况</w:t>
      </w:r>
    </w:p>
    <w:p w14:paraId="5A24DB49">
      <w:pPr>
        <w:spacing w:line="580" w:lineRule="exact"/>
        <w:ind w:firstLine="640"/>
        <w:jc w:val="both"/>
      </w:pPr>
      <w:r>
        <w:rPr>
          <w:rFonts w:ascii="仿宋_GB2312" w:hAnsi="仿宋_GB2312" w:eastAsia="仿宋_GB2312"/>
          <w:sz w:val="32"/>
        </w:rPr>
        <w:t>昌吉回族自治州干部休养所2024年度，实有人数38人，其中：在职人员9人，减少1人；离休人员0人，增加0人；退休人员29人,增加2人。</w:t>
      </w:r>
    </w:p>
    <w:p w14:paraId="25BC8B3B">
      <w:pPr>
        <w:spacing w:line="580" w:lineRule="exact"/>
        <w:ind w:firstLine="640"/>
        <w:jc w:val="both"/>
      </w:pPr>
      <w:r>
        <w:rPr>
          <w:rFonts w:ascii="仿宋_GB2312" w:hAnsi="仿宋_GB2312" w:eastAsia="仿宋_GB2312"/>
          <w:sz w:val="32"/>
        </w:rPr>
        <w:t>昌吉回族自治州干部休养所无下属预算单位，下设1个科室，分别是：办公室。</w:t>
      </w:r>
    </w:p>
    <w:p w14:paraId="0CC48F73">
      <w:r>
        <w:br w:type="page"/>
      </w:r>
    </w:p>
    <w:p w14:paraId="025652EA">
      <w:pPr>
        <w:spacing w:line="240" w:lineRule="auto"/>
        <w:jc w:val="center"/>
        <w:outlineLvl w:val="1"/>
      </w:pPr>
      <w:r>
        <w:rPr>
          <w:rFonts w:ascii="黑体" w:hAnsi="黑体" w:eastAsia="黑体"/>
          <w:sz w:val="32"/>
        </w:rPr>
        <w:t>第二部分 部门决算情况说明</w:t>
      </w:r>
    </w:p>
    <w:p w14:paraId="47B7FF2C">
      <w:pPr>
        <w:spacing w:line="640" w:lineRule="exact"/>
        <w:ind w:firstLine="640"/>
        <w:jc w:val="both"/>
        <w:outlineLvl w:val="2"/>
      </w:pPr>
      <w:r>
        <w:rPr>
          <w:rFonts w:ascii="黑体" w:hAnsi="黑体" w:eastAsia="黑体"/>
          <w:sz w:val="32"/>
        </w:rPr>
        <w:t>一、收入支出决算总体情况说明</w:t>
      </w:r>
    </w:p>
    <w:p w14:paraId="0ECF4C1B">
      <w:pPr>
        <w:spacing w:line="580" w:lineRule="exact"/>
        <w:ind w:firstLine="640"/>
        <w:jc w:val="both"/>
      </w:pPr>
      <w:r>
        <w:rPr>
          <w:rFonts w:ascii="仿宋_GB2312" w:hAnsi="仿宋_GB2312" w:eastAsia="仿宋_GB2312"/>
          <w:b/>
          <w:sz w:val="32"/>
        </w:rPr>
        <w:t>2024年度收入总计250.40万元，</w:t>
      </w:r>
      <w:r>
        <w:rPr>
          <w:rFonts w:ascii="仿宋_GB2312" w:hAnsi="仿宋_GB2312" w:eastAsia="仿宋_GB2312"/>
          <w:b w:val="0"/>
          <w:sz w:val="32"/>
        </w:rPr>
        <w:t>其中：本年收入合计250.40万元，使用非财政拨款结余（含专用结余）0.00万元，年初结转和结余0.00万元。</w:t>
      </w:r>
    </w:p>
    <w:p w14:paraId="1F010743">
      <w:pPr>
        <w:spacing w:line="580" w:lineRule="exact"/>
        <w:ind w:firstLine="640"/>
        <w:jc w:val="both"/>
      </w:pPr>
      <w:r>
        <w:rPr>
          <w:rFonts w:ascii="仿宋_GB2312" w:hAnsi="仿宋_GB2312" w:eastAsia="仿宋_GB2312"/>
          <w:b/>
          <w:sz w:val="32"/>
        </w:rPr>
        <w:t>2024年度支出总计250.40万元，</w:t>
      </w:r>
      <w:r>
        <w:rPr>
          <w:rFonts w:ascii="仿宋_GB2312" w:hAnsi="仿宋_GB2312" w:eastAsia="仿宋_GB2312"/>
          <w:b w:val="0"/>
          <w:sz w:val="32"/>
        </w:rPr>
        <w:t>其中：本年支出合计250.40万元，结余分配0.00万元，年末结转和结余0.00万元。</w:t>
      </w:r>
    </w:p>
    <w:p w14:paraId="3CCC52BD">
      <w:pPr>
        <w:spacing w:line="580" w:lineRule="exact"/>
        <w:ind w:firstLine="640"/>
        <w:jc w:val="both"/>
      </w:pPr>
      <w:r>
        <w:rPr>
          <w:rFonts w:ascii="仿宋_GB2312" w:hAnsi="仿宋_GB2312" w:eastAsia="仿宋_GB2312"/>
          <w:b w:val="0"/>
          <w:sz w:val="32"/>
        </w:rPr>
        <w:t>收入支出总体与上年相比，减少33.11万元，下降11.68%，主要原因是：本年在职人员减少，相关人员经费较上年减少；本年新增退休人员较上年减少，职业年金缴费较上年减少。</w:t>
      </w:r>
    </w:p>
    <w:p w14:paraId="3D859647">
      <w:pPr>
        <w:spacing w:line="640" w:lineRule="exact"/>
        <w:ind w:firstLine="640"/>
        <w:jc w:val="both"/>
        <w:outlineLvl w:val="2"/>
      </w:pPr>
      <w:r>
        <w:rPr>
          <w:rFonts w:ascii="黑体" w:hAnsi="黑体" w:eastAsia="黑体"/>
          <w:sz w:val="32"/>
        </w:rPr>
        <w:t>二、收入决算情况说明</w:t>
      </w:r>
    </w:p>
    <w:p w14:paraId="4A08CA8C">
      <w:pPr>
        <w:spacing w:line="580" w:lineRule="exact"/>
        <w:ind w:firstLine="640"/>
        <w:jc w:val="both"/>
      </w:pPr>
      <w:r>
        <w:rPr>
          <w:rFonts w:ascii="仿宋_GB2312" w:hAnsi="仿宋_GB2312" w:eastAsia="仿宋_GB2312"/>
          <w:b/>
          <w:sz w:val="32"/>
        </w:rPr>
        <w:t>本年收入250.40万元，</w:t>
      </w:r>
      <w:r>
        <w:rPr>
          <w:rFonts w:ascii="仿宋_GB2312" w:hAnsi="仿宋_GB2312" w:eastAsia="仿宋_GB2312"/>
          <w:b w:val="0"/>
          <w:sz w:val="32"/>
        </w:rPr>
        <w:t>其中：财政拨款收入250.22万元，占99.93%；上级补助收入0.00万元，占0.00%；事业收入0.00万元，占0.00%；经营收入0.00万元，占0.00%；附属单位上缴收入0.00万元，占0.00%；其他收入0.18万元，占0.07%。</w:t>
      </w:r>
    </w:p>
    <w:p w14:paraId="765AC1FF">
      <w:pPr>
        <w:spacing w:line="640" w:lineRule="exact"/>
        <w:ind w:firstLine="640"/>
        <w:jc w:val="both"/>
        <w:outlineLvl w:val="2"/>
      </w:pPr>
      <w:r>
        <w:rPr>
          <w:rFonts w:ascii="黑体" w:hAnsi="黑体" w:eastAsia="黑体"/>
          <w:sz w:val="32"/>
        </w:rPr>
        <w:t>三、支出决算情况说明</w:t>
      </w:r>
    </w:p>
    <w:p w14:paraId="401DB261">
      <w:pPr>
        <w:spacing w:line="580" w:lineRule="exact"/>
        <w:ind w:firstLine="640"/>
        <w:jc w:val="both"/>
      </w:pPr>
      <w:r>
        <w:rPr>
          <w:rFonts w:ascii="仿宋_GB2312" w:hAnsi="仿宋_GB2312" w:eastAsia="仿宋_GB2312"/>
          <w:b/>
          <w:sz w:val="32"/>
        </w:rPr>
        <w:t>本年支出250.40万元，</w:t>
      </w:r>
      <w:r>
        <w:rPr>
          <w:rFonts w:ascii="仿宋_GB2312" w:hAnsi="仿宋_GB2312" w:eastAsia="仿宋_GB2312"/>
          <w:b w:val="0"/>
          <w:sz w:val="32"/>
        </w:rPr>
        <w:t>其中：基本支出220.60万元，占88.10%；项目支出29.79万元，占11.90%；上缴上级支出0.00万元，占0.00%；经营支出0.00万元，占0.00%；对附属单位补助支出0.00万元，占0.00%。</w:t>
      </w:r>
    </w:p>
    <w:p w14:paraId="08CE7B6B">
      <w:pPr>
        <w:spacing w:line="640" w:lineRule="exact"/>
        <w:ind w:firstLine="640"/>
        <w:jc w:val="both"/>
        <w:outlineLvl w:val="2"/>
      </w:pPr>
      <w:r>
        <w:rPr>
          <w:rFonts w:ascii="黑体" w:hAnsi="黑体" w:eastAsia="黑体"/>
          <w:sz w:val="32"/>
        </w:rPr>
        <w:t>四、财政拨款收入支出决算总体情况说明</w:t>
      </w:r>
    </w:p>
    <w:p w14:paraId="0B577075">
      <w:pPr>
        <w:spacing w:line="580" w:lineRule="exact"/>
        <w:ind w:firstLine="640"/>
        <w:jc w:val="both"/>
      </w:pPr>
      <w:r>
        <w:rPr>
          <w:rFonts w:ascii="仿宋_GB2312" w:hAnsi="仿宋_GB2312" w:eastAsia="仿宋_GB2312"/>
          <w:b/>
          <w:sz w:val="32"/>
        </w:rPr>
        <w:t>2024年度财政拨款收入总计250.22万元，</w:t>
      </w:r>
      <w:r>
        <w:rPr>
          <w:rFonts w:ascii="仿宋_GB2312" w:hAnsi="仿宋_GB2312" w:eastAsia="仿宋_GB2312"/>
          <w:b w:val="0"/>
          <w:sz w:val="32"/>
        </w:rPr>
        <w:t>其中：年初财政拨款结转和结余0.00万元，本年财政拨款收入250.22万元。</w:t>
      </w:r>
      <w:r>
        <w:rPr>
          <w:rFonts w:ascii="仿宋_GB2312" w:hAnsi="仿宋_GB2312" w:eastAsia="仿宋_GB2312"/>
          <w:b/>
          <w:sz w:val="32"/>
        </w:rPr>
        <w:t>财政拨款支出总计250.22万元，</w:t>
      </w:r>
      <w:r>
        <w:rPr>
          <w:rFonts w:ascii="仿宋_GB2312" w:hAnsi="仿宋_GB2312" w:eastAsia="仿宋_GB2312"/>
          <w:b w:val="0"/>
          <w:sz w:val="32"/>
        </w:rPr>
        <w:t>其中：年末财政拨款结转和结余0.00万元，本年财政拨款支出250.22万元。</w:t>
      </w:r>
    </w:p>
    <w:p w14:paraId="0B0E949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减少33.05万元，下降11.67%，主要原因是：本年在职人员减少，相关人员经费较上年减少；本年新增退休人员较上年减少，职业年金缴费较上年减少。</w:t>
      </w:r>
      <w:r>
        <w:rPr>
          <w:rFonts w:ascii="仿宋_GB2312" w:hAnsi="仿宋_GB2312" w:eastAsia="仿宋_GB2312"/>
          <w:b/>
          <w:sz w:val="32"/>
        </w:rPr>
        <w:t>与年初预算相比，</w:t>
      </w:r>
      <w:r>
        <w:rPr>
          <w:rFonts w:ascii="仿宋_GB2312" w:hAnsi="仿宋_GB2312" w:eastAsia="仿宋_GB2312"/>
          <w:b w:val="0"/>
          <w:sz w:val="32"/>
        </w:rPr>
        <w:t>年初预算数221.88万元，决算数250.22万元，预决算差异率12.77%，主要原因是：年中追加人员经费及人员工资、社保调增部分资金，导致预决算存在差异。</w:t>
      </w:r>
    </w:p>
    <w:p w14:paraId="12FC7B4D">
      <w:pPr>
        <w:spacing w:line="640" w:lineRule="exact"/>
        <w:ind w:firstLine="640"/>
        <w:jc w:val="both"/>
        <w:outlineLvl w:val="2"/>
      </w:pPr>
      <w:r>
        <w:rPr>
          <w:rFonts w:ascii="黑体" w:hAnsi="黑体" w:eastAsia="黑体"/>
          <w:sz w:val="32"/>
        </w:rPr>
        <w:t>五、一般公共预算财政拨款支出决算情况说明</w:t>
      </w:r>
    </w:p>
    <w:p w14:paraId="6455F630">
      <w:pPr>
        <w:spacing w:line="640" w:lineRule="exact"/>
        <w:ind w:firstLine="640"/>
        <w:jc w:val="both"/>
        <w:outlineLvl w:val="3"/>
      </w:pPr>
      <w:r>
        <w:rPr>
          <w:rFonts w:ascii="楷体_GB2312" w:hAnsi="楷体_GB2312" w:eastAsia="楷体_GB2312"/>
          <w:b/>
          <w:sz w:val="32"/>
        </w:rPr>
        <w:t>（一）一般公共预算财政拨款支出决算总体情况</w:t>
      </w:r>
    </w:p>
    <w:p w14:paraId="501844C5">
      <w:pPr>
        <w:spacing w:line="580" w:lineRule="exact"/>
        <w:ind w:firstLine="640"/>
        <w:jc w:val="both"/>
      </w:pPr>
      <w:r>
        <w:rPr>
          <w:rFonts w:ascii="仿宋_GB2312" w:hAnsi="仿宋_GB2312" w:eastAsia="仿宋_GB2312"/>
          <w:b/>
          <w:sz w:val="32"/>
        </w:rPr>
        <w:t>2024年度一般公共预算财政拨款支出250.22万元，</w:t>
      </w:r>
      <w:r>
        <w:rPr>
          <w:rFonts w:ascii="仿宋_GB2312" w:hAnsi="仿宋_GB2312" w:eastAsia="仿宋_GB2312"/>
          <w:b w:val="0"/>
          <w:sz w:val="32"/>
        </w:rPr>
        <w:t>占本年支出合计的99.93%。</w:t>
      </w:r>
      <w:r>
        <w:rPr>
          <w:rFonts w:ascii="仿宋_GB2312" w:hAnsi="仿宋_GB2312" w:eastAsia="仿宋_GB2312"/>
          <w:b/>
          <w:sz w:val="32"/>
        </w:rPr>
        <w:t>与上年相比，</w:t>
      </w:r>
      <w:r>
        <w:rPr>
          <w:rFonts w:ascii="仿宋_GB2312" w:hAnsi="仿宋_GB2312" w:eastAsia="仿宋_GB2312"/>
          <w:b w:val="0"/>
          <w:sz w:val="32"/>
        </w:rPr>
        <w:t>减少33.05万元，下降11.67%，主要原因是：本年在职人员减少，相关人员经费较上年减少；本年新增退休人员较上年减少，职业年金缴费较上年减少。</w:t>
      </w:r>
      <w:r>
        <w:rPr>
          <w:rFonts w:ascii="仿宋_GB2312" w:hAnsi="仿宋_GB2312" w:eastAsia="仿宋_GB2312"/>
          <w:b/>
          <w:sz w:val="32"/>
        </w:rPr>
        <w:t>与年初预算相比,</w:t>
      </w:r>
      <w:r>
        <w:rPr>
          <w:rFonts w:ascii="仿宋_GB2312" w:hAnsi="仿宋_GB2312" w:eastAsia="仿宋_GB2312"/>
          <w:b w:val="0"/>
          <w:sz w:val="32"/>
        </w:rPr>
        <w:t>年初预算数221.88万元，决算数250.22万元，预决算差异率12.77%，主要原因是：年中追加人员经费及人员工资、社保调增部分资金，导致预决算存在差异。</w:t>
      </w:r>
    </w:p>
    <w:p w14:paraId="7C922851">
      <w:pPr>
        <w:spacing w:line="640" w:lineRule="exact"/>
        <w:ind w:firstLine="640"/>
        <w:jc w:val="both"/>
        <w:outlineLvl w:val="3"/>
      </w:pPr>
      <w:r>
        <w:rPr>
          <w:rFonts w:ascii="楷体_GB2312" w:hAnsi="楷体_GB2312" w:eastAsia="楷体_GB2312"/>
          <w:b/>
          <w:sz w:val="32"/>
        </w:rPr>
        <w:t>（二）一般公共预算财政拨款支出决算结构情况</w:t>
      </w:r>
    </w:p>
    <w:p w14:paraId="63DA2D25">
      <w:pPr>
        <w:spacing w:line="580" w:lineRule="exact"/>
        <w:ind w:firstLine="640"/>
        <w:jc w:val="both"/>
      </w:pPr>
      <w:r>
        <w:rPr>
          <w:rFonts w:ascii="仿宋_GB2312" w:hAnsi="仿宋_GB2312" w:eastAsia="仿宋_GB2312"/>
          <w:b w:val="0"/>
          <w:sz w:val="32"/>
        </w:rPr>
        <w:t>1.社会保障和就业支出(类)226.89万元,占90.68%。</w:t>
      </w:r>
    </w:p>
    <w:p w14:paraId="5C84EAF8">
      <w:pPr>
        <w:spacing w:line="580" w:lineRule="exact"/>
        <w:ind w:firstLine="640"/>
        <w:jc w:val="both"/>
      </w:pPr>
      <w:r>
        <w:rPr>
          <w:rFonts w:ascii="仿宋_GB2312" w:hAnsi="仿宋_GB2312" w:eastAsia="仿宋_GB2312"/>
          <w:b w:val="0"/>
          <w:sz w:val="32"/>
        </w:rPr>
        <w:t>2.卫生健康支出(类)10.15万元,占4.06%。</w:t>
      </w:r>
    </w:p>
    <w:p w14:paraId="025E1377">
      <w:pPr>
        <w:spacing w:line="580" w:lineRule="exact"/>
        <w:ind w:firstLine="640"/>
        <w:jc w:val="both"/>
      </w:pPr>
      <w:r>
        <w:rPr>
          <w:rFonts w:ascii="仿宋_GB2312" w:hAnsi="仿宋_GB2312" w:eastAsia="仿宋_GB2312"/>
          <w:b w:val="0"/>
          <w:sz w:val="32"/>
        </w:rPr>
        <w:t>3.住房保障支出(类)13.18万元,占5.27%。</w:t>
      </w:r>
    </w:p>
    <w:p w14:paraId="107A8E0E">
      <w:pPr>
        <w:spacing w:line="640" w:lineRule="exact"/>
        <w:ind w:firstLine="640"/>
        <w:jc w:val="both"/>
        <w:outlineLvl w:val="3"/>
      </w:pPr>
      <w:r>
        <w:rPr>
          <w:rFonts w:ascii="楷体_GB2312" w:hAnsi="楷体_GB2312" w:eastAsia="楷体_GB2312"/>
          <w:b/>
          <w:sz w:val="32"/>
        </w:rPr>
        <w:t>（三）一般公共预算财政拨款支出决算具体情况</w:t>
      </w:r>
    </w:p>
    <w:p w14:paraId="1976AAFF">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15.54万元，比上年决算增加6.12万元，增长64.97%,主要原因是：本年增加退休人员，发放退休人员基础绩效奖，退休费支出增加。</w:t>
      </w:r>
    </w:p>
    <w:p w14:paraId="0638D142">
      <w:pPr>
        <w:spacing w:line="580" w:lineRule="exact"/>
        <w:ind w:firstLine="640"/>
        <w:jc w:val="both"/>
      </w:pPr>
      <w:r>
        <w:rPr>
          <w:rFonts w:ascii="仿宋_GB2312" w:hAnsi="仿宋_GB2312" w:eastAsia="仿宋_GB2312"/>
          <w:b w:val="0"/>
          <w:sz w:val="32"/>
        </w:rPr>
        <w:t>2.社会保障和就业支出(类)行政事业单位养老支出(款)离退休人员管理机构(项):支出决算数为173.51万元，比上年决算减少28.06万元，下降13.92%,主要原因是：本年在职人员减少，人员经费减少。</w:t>
      </w:r>
    </w:p>
    <w:p w14:paraId="15C03BC4">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16.75万元，比上年决算增加0.57万元，增长3.52%,主要原因是：本年在职人员工资基数调增，养老缴费基数上涨，相应支出增加。</w:t>
      </w:r>
    </w:p>
    <w:p w14:paraId="7A16721F">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21.09万元，比上年决算减少14.40万元，下降40.57%,主要原因是：本年新增退休人员较上年减少，职业年金缴费较上年减少。</w:t>
      </w:r>
    </w:p>
    <w:p w14:paraId="1E265C58">
      <w:pPr>
        <w:spacing w:line="580" w:lineRule="exact"/>
        <w:ind w:firstLine="640"/>
        <w:jc w:val="both"/>
      </w:pPr>
      <w:r>
        <w:rPr>
          <w:rFonts w:ascii="仿宋_GB2312" w:hAnsi="仿宋_GB2312" w:eastAsia="仿宋_GB2312"/>
          <w:b w:val="0"/>
          <w:sz w:val="32"/>
        </w:rPr>
        <w:t>5.卫生健康支出(类)行政事业单位医疗(款)行政单位医疗(项):支出决算数为8.36万元，比上年决算增加5.77万元，增长222.78%,主要原因是：本年在职人员工资基数调增，医疗缴费基数上涨，相应支出增加。</w:t>
      </w:r>
    </w:p>
    <w:p w14:paraId="3FB46482">
      <w:pPr>
        <w:spacing w:line="580" w:lineRule="exact"/>
        <w:ind w:firstLine="640"/>
        <w:jc w:val="both"/>
      </w:pPr>
      <w:r>
        <w:rPr>
          <w:rFonts w:ascii="仿宋_GB2312" w:hAnsi="仿宋_GB2312" w:eastAsia="仿宋_GB2312"/>
          <w:b w:val="0"/>
          <w:sz w:val="32"/>
        </w:rPr>
        <w:t>6.卫生健康支出(类)行政事业单位医疗(款)事业单位医疗(项):支出决算数为0.99万元，比上年决算减少0.08万元，下降7.48%,主要原因是：因退休人员医疗保险制度改革，退休人员基本医疗不再由单位缴纳，导致经费较上年减少。</w:t>
      </w:r>
    </w:p>
    <w:p w14:paraId="3C23C432">
      <w:pPr>
        <w:spacing w:line="580" w:lineRule="exact"/>
        <w:ind w:firstLine="640"/>
        <w:jc w:val="both"/>
      </w:pPr>
      <w:r>
        <w:rPr>
          <w:rFonts w:ascii="仿宋_GB2312" w:hAnsi="仿宋_GB2312" w:eastAsia="仿宋_GB2312"/>
          <w:b w:val="0"/>
          <w:sz w:val="32"/>
        </w:rPr>
        <w:t>7.卫生健康支出(类)行政事业单位医疗(款)公务员医疗补助(项):支出决算数为0.57万元，比上年决算减少0.14万元，下降19.72%,主要原因是：因退休人员医疗保险制度改革，退休人员基本医疗不再由单位缴纳，导致经费较上年减少。</w:t>
      </w:r>
    </w:p>
    <w:p w14:paraId="09DF37C6">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8.卫生健康支出(类)行政事业单位医疗(款)其他行政事业单位医疗支出(项):支出决算数为0.22万元，比上年决算增加0.01万元，增长4.76%,主要原因是：本年在职人员工资基数调增，医疗缴费基数上涨，相应支出增加。</w:t>
      </w:r>
    </w:p>
    <w:p w14:paraId="2C5A493E">
      <w:pPr>
        <w:spacing w:line="580" w:lineRule="exact"/>
        <w:ind w:firstLine="640"/>
        <w:jc w:val="both"/>
      </w:pPr>
      <w:r>
        <w:rPr>
          <w:rFonts w:ascii="仿宋_GB2312" w:hAnsi="仿宋_GB2312" w:eastAsia="仿宋_GB2312"/>
          <w:b w:val="0"/>
          <w:sz w:val="32"/>
        </w:rPr>
        <w:t>9.住房保障支出(类)住房改革支出(款)住房公积金(项):支出决算数为13.18万元，比上年决算减少2.85万元，下降17.78%,主要原因是：本年在职人员减少，住房公积金缴费较上年减少。</w:t>
      </w:r>
    </w:p>
    <w:p w14:paraId="75717C97">
      <w:pPr>
        <w:spacing w:line="640" w:lineRule="exact"/>
        <w:ind w:firstLine="640"/>
        <w:jc w:val="both"/>
        <w:outlineLvl w:val="2"/>
      </w:pPr>
      <w:r>
        <w:rPr>
          <w:rFonts w:ascii="黑体" w:hAnsi="黑体" w:eastAsia="黑体"/>
          <w:sz w:val="32"/>
        </w:rPr>
        <w:t>六、一般公共预算财政拨款基本支出决算情况说明</w:t>
      </w:r>
    </w:p>
    <w:p w14:paraId="1D761C99">
      <w:pPr>
        <w:spacing w:line="580" w:lineRule="exact"/>
        <w:ind w:firstLine="640"/>
        <w:jc w:val="both"/>
      </w:pPr>
      <w:r>
        <w:rPr>
          <w:rFonts w:ascii="仿宋_GB2312" w:hAnsi="仿宋_GB2312" w:eastAsia="仿宋_GB2312"/>
          <w:b w:val="0"/>
          <w:sz w:val="32"/>
        </w:rPr>
        <w:t>2024年度一般公共预算财政拨款基本支出220.60万元，其中：</w:t>
      </w:r>
      <w:r>
        <w:rPr>
          <w:rFonts w:ascii="仿宋_GB2312" w:hAnsi="仿宋_GB2312" w:eastAsia="仿宋_GB2312"/>
          <w:b/>
          <w:sz w:val="32"/>
        </w:rPr>
        <w:t>人员经费202.23万元，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253065E8">
      <w:pPr>
        <w:spacing w:line="580" w:lineRule="exact"/>
        <w:ind w:firstLine="640"/>
        <w:jc w:val="both"/>
      </w:pPr>
      <w:r>
        <w:rPr>
          <w:rFonts w:ascii="仿宋_GB2312" w:hAnsi="仿宋_GB2312" w:eastAsia="仿宋_GB2312"/>
          <w:b/>
          <w:sz w:val="32"/>
        </w:rPr>
        <w:t>公用经费18.38万元，</w:t>
      </w:r>
      <w:r>
        <w:rPr>
          <w:rFonts w:ascii="仿宋_GB2312" w:hAnsi="仿宋_GB2312" w:eastAsia="仿宋_GB2312"/>
          <w:b w:val="0"/>
          <w:sz w:val="32"/>
        </w:rPr>
        <w:t>包括：办公费、邮电费、取暖费、维修（护）费、劳务费、工会经费、福利费、公务用车运行维护费、其他商品和服务支出。</w:t>
      </w:r>
    </w:p>
    <w:p w14:paraId="54C7EF9F">
      <w:pPr>
        <w:spacing w:line="640" w:lineRule="exact"/>
        <w:ind w:firstLine="640"/>
        <w:jc w:val="both"/>
        <w:outlineLvl w:val="2"/>
      </w:pPr>
      <w:r>
        <w:rPr>
          <w:rFonts w:ascii="黑体" w:hAnsi="黑体" w:eastAsia="黑体"/>
          <w:sz w:val="32"/>
        </w:rPr>
        <w:t>七、政府性基金预算财政拨款收入支出决算情况说明</w:t>
      </w:r>
    </w:p>
    <w:p w14:paraId="12B3131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5CF3625">
      <w:pPr>
        <w:spacing w:line="640" w:lineRule="exact"/>
        <w:ind w:firstLine="640"/>
        <w:jc w:val="both"/>
        <w:outlineLvl w:val="2"/>
      </w:pPr>
      <w:r>
        <w:rPr>
          <w:rFonts w:ascii="黑体" w:hAnsi="黑体" w:eastAsia="黑体"/>
          <w:sz w:val="32"/>
        </w:rPr>
        <w:t>八、国有资本经营预算财政拨款收入支出决算情况说明</w:t>
      </w:r>
    </w:p>
    <w:p w14:paraId="69ADEB2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913C30C">
      <w:pPr>
        <w:spacing w:line="640" w:lineRule="exact"/>
        <w:ind w:firstLine="640"/>
        <w:jc w:val="both"/>
        <w:outlineLvl w:val="2"/>
      </w:pPr>
      <w:r>
        <w:rPr>
          <w:rFonts w:ascii="黑体" w:hAnsi="黑体" w:eastAsia="黑体"/>
          <w:sz w:val="32"/>
        </w:rPr>
        <w:t>九、财政拨款“三公”经费支出决算情况说明</w:t>
      </w:r>
    </w:p>
    <w:p w14:paraId="30086894">
      <w:pPr>
        <w:spacing w:line="580" w:lineRule="exact"/>
        <w:ind w:firstLine="640"/>
        <w:jc w:val="both"/>
      </w:pPr>
      <w:r>
        <w:rPr>
          <w:rFonts w:ascii="仿宋_GB2312" w:hAnsi="仿宋_GB2312" w:eastAsia="仿宋_GB2312"/>
          <w:b/>
          <w:sz w:val="32"/>
        </w:rPr>
        <w:t>2024年度财政拨款“三公”经费支出3.40万元，</w:t>
      </w:r>
      <w:r>
        <w:rPr>
          <w:rFonts w:ascii="仿宋_GB2312" w:hAnsi="仿宋_GB2312" w:eastAsia="仿宋_GB2312"/>
          <w:b w:val="0"/>
          <w:sz w:val="32"/>
        </w:rPr>
        <w:t>比上年增加0.01万元，增长0.29%，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3.40万元，占100.00%，比上年增加0.01万元，增长0.29%，主要原因是：本单位公务用车日渐老化，维修维护成本增加，导致公务用车运行维护费较上年增加。公务接待费支出0.00万元，占0.00%，比上年增加0.00万元，增长0.00%，主要原因是：2023年与2024年均未安排公务接待费支出。</w:t>
      </w:r>
    </w:p>
    <w:p w14:paraId="79DE9FD8">
      <w:pPr>
        <w:spacing w:line="580" w:lineRule="exact"/>
        <w:ind w:firstLine="640"/>
        <w:jc w:val="both"/>
      </w:pPr>
      <w:r>
        <w:rPr>
          <w:rFonts w:ascii="仿宋_GB2312" w:hAnsi="仿宋_GB2312" w:eastAsia="仿宋_GB2312"/>
          <w:b/>
          <w:sz w:val="32"/>
        </w:rPr>
        <w:t>具体情况如下：</w:t>
      </w:r>
    </w:p>
    <w:p w14:paraId="60D0AFB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46248ED">
      <w:pPr>
        <w:spacing w:line="580" w:lineRule="exact"/>
        <w:ind w:firstLine="640"/>
        <w:jc w:val="both"/>
      </w:pPr>
      <w:r>
        <w:rPr>
          <w:rFonts w:ascii="仿宋_GB2312" w:hAnsi="仿宋_GB2312" w:eastAsia="仿宋_GB2312"/>
          <w:b w:val="0"/>
          <w:sz w:val="32"/>
        </w:rPr>
        <w:t>公务用车购置及运行维护费3.40万元，其中：公务用车购置费0.00万元，公务用车运行维护费3.40万元。公务用车运行维护费开支内容包括车辆加油费、维修费、保险费、审车费、过路费等。公务用车购置数0辆，公务用车保有量3辆。国有资产占用情况中固定资产车辆3辆，与公务用车保有量差异原因是：本单位固定资产车辆与公务用车保有量一致无差异。</w:t>
      </w:r>
    </w:p>
    <w:p w14:paraId="2D8E01F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CA3DFF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3.40万元，决算数3.40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3.40万元，决算数3.40万元，预决算差异率0.00%，主要原因是：严格按照预算执行，预决算无差异。公务接待费全年预算数0.00万元，决算数0.00万元，预决算差异率0.00%，主要原因是：本单位无公务接待费。</w:t>
      </w:r>
    </w:p>
    <w:p w14:paraId="3B9B73F1">
      <w:pPr>
        <w:spacing w:line="640" w:lineRule="exact"/>
        <w:ind w:firstLine="640"/>
        <w:jc w:val="both"/>
        <w:outlineLvl w:val="2"/>
      </w:pPr>
      <w:r>
        <w:rPr>
          <w:rFonts w:ascii="黑体" w:hAnsi="黑体" w:eastAsia="黑体"/>
          <w:sz w:val="32"/>
        </w:rPr>
        <w:t>十、其他重要事项的情况说明</w:t>
      </w:r>
    </w:p>
    <w:p w14:paraId="25C17BEE">
      <w:pPr>
        <w:spacing w:line="640" w:lineRule="exact"/>
        <w:ind w:firstLine="640"/>
        <w:jc w:val="both"/>
        <w:outlineLvl w:val="3"/>
      </w:pPr>
      <w:r>
        <w:rPr>
          <w:rFonts w:ascii="楷体_GB2312" w:hAnsi="楷体_GB2312" w:eastAsia="楷体_GB2312"/>
          <w:b/>
          <w:sz w:val="32"/>
        </w:rPr>
        <w:t>（一）机关运行经费及公用经费支出情况</w:t>
      </w:r>
    </w:p>
    <w:p w14:paraId="4D55E597">
      <w:pPr>
        <w:spacing w:line="580" w:lineRule="exact"/>
        <w:ind w:firstLine="640"/>
        <w:jc w:val="both"/>
      </w:pPr>
      <w:r>
        <w:rPr>
          <w:rFonts w:ascii="仿宋_GB2312" w:hAnsi="仿宋_GB2312" w:eastAsia="仿宋_GB2312"/>
          <w:b w:val="0"/>
          <w:sz w:val="32"/>
        </w:rPr>
        <w:t>2024年度昌吉回族自治州干部休养所（行政单位和参照公务员法管理事业单位）机关运行经费支出18.38万元，比上年减少0.93万元，下降4.82%，主要原因是：严控经费支出，厉行节约，减少经费支出。</w:t>
      </w:r>
    </w:p>
    <w:p w14:paraId="6D59C02C">
      <w:pPr>
        <w:spacing w:line="640" w:lineRule="exact"/>
        <w:ind w:firstLine="640"/>
        <w:jc w:val="both"/>
        <w:outlineLvl w:val="3"/>
      </w:pPr>
      <w:r>
        <w:rPr>
          <w:rFonts w:ascii="楷体_GB2312" w:hAnsi="楷体_GB2312" w:eastAsia="楷体_GB2312"/>
          <w:b/>
          <w:sz w:val="32"/>
        </w:rPr>
        <w:t>（二）政府采购情况</w:t>
      </w:r>
    </w:p>
    <w:p w14:paraId="1478E809">
      <w:pPr>
        <w:spacing w:line="580" w:lineRule="exact"/>
        <w:ind w:firstLine="640"/>
        <w:jc w:val="both"/>
      </w:pPr>
      <w:r>
        <w:rPr>
          <w:rFonts w:ascii="仿宋_GB2312" w:hAnsi="仿宋_GB2312" w:eastAsia="仿宋_GB2312"/>
          <w:b w:val="0"/>
          <w:sz w:val="32"/>
        </w:rPr>
        <w:t>2024年度政府采购支出总额12.92万元，其中：政府采购货物支出6.28万元、政府采购工程支出2.00万元、政府采购服务支出4.65万元。</w:t>
      </w:r>
    </w:p>
    <w:p w14:paraId="3E9CE582">
      <w:pPr>
        <w:spacing w:line="580" w:lineRule="exact"/>
        <w:ind w:firstLine="640"/>
        <w:jc w:val="both"/>
      </w:pPr>
      <w:r>
        <w:rPr>
          <w:rFonts w:ascii="仿宋_GB2312" w:hAnsi="仿宋_GB2312" w:eastAsia="仿宋_GB2312"/>
          <w:b w:val="0"/>
          <w:sz w:val="32"/>
        </w:rPr>
        <w:t>授予中小企业合同金额12.92万元，占政府采购支出总额的100.00%，其中：授予小微企业合同金额12.92万元，占政府采购支出总额的100.00%。</w:t>
      </w:r>
    </w:p>
    <w:p w14:paraId="7B68E750">
      <w:pPr>
        <w:spacing w:line="640" w:lineRule="exact"/>
        <w:ind w:firstLine="640"/>
        <w:jc w:val="both"/>
        <w:outlineLvl w:val="3"/>
      </w:pPr>
      <w:r>
        <w:rPr>
          <w:rFonts w:ascii="楷体_GB2312" w:hAnsi="楷体_GB2312" w:eastAsia="楷体_GB2312"/>
          <w:b/>
          <w:sz w:val="32"/>
        </w:rPr>
        <w:t>（三）国有资产占用情况说明</w:t>
      </w:r>
    </w:p>
    <w:p w14:paraId="6602D4DE">
      <w:pPr>
        <w:spacing w:line="580" w:lineRule="exact"/>
        <w:ind w:firstLine="640"/>
        <w:jc w:val="both"/>
        <w:rPr>
          <w:spacing w:val="-6"/>
          <w:sz w:val="32"/>
        </w:rPr>
      </w:pPr>
      <w:r>
        <w:rPr>
          <w:rFonts w:ascii="仿宋_GB2312" w:hAnsi="仿宋_GB2312" w:eastAsia="仿宋_GB2312"/>
          <w:b w:val="0"/>
          <w:spacing w:val="-6"/>
          <w:sz w:val="32"/>
        </w:rPr>
        <w:t>截至2024年1</w:t>
      </w:r>
      <w:bookmarkStart w:id="0" w:name="_GoBack"/>
      <w:r>
        <w:rPr>
          <w:rFonts w:ascii="仿宋_GB2312" w:hAnsi="仿宋_GB2312" w:eastAsia="仿宋_GB2312"/>
          <w:b w:val="0"/>
          <w:spacing w:val="-6"/>
          <w:sz w:val="32"/>
        </w:rPr>
        <w:t>2月31日</w:t>
      </w:r>
      <w:bookmarkEnd w:id="0"/>
      <w:r>
        <w:rPr>
          <w:rFonts w:ascii="仿宋_GB2312" w:hAnsi="仿宋_GB2312" w:eastAsia="仿宋_GB2312"/>
          <w:b w:val="0"/>
          <w:spacing w:val="-6"/>
          <w:sz w:val="32"/>
        </w:rPr>
        <w:t>，房屋3,343.83平方米，价值192.54万元。车辆3辆，价值56.41万元，其中：副部（省）级及以上领导用车0辆、主要负责人用车0辆、机要通信用车0辆、应急保障用车0辆、执法执勤用车0辆、特种专业技术用车0辆、离退休干部服务用车3辆、其他用车0辆，其他用车主要是：</w:t>
      </w:r>
      <w:r>
        <w:rPr>
          <w:rFonts w:hint="eastAsia" w:ascii="仿宋_GB2312" w:hAnsi="仿宋_GB2312" w:eastAsia="仿宋_GB2312"/>
          <w:b w:val="0"/>
          <w:spacing w:val="-6"/>
          <w:sz w:val="32"/>
          <w:lang w:eastAsia="zh-CN"/>
        </w:rPr>
        <w:t>本单位</w:t>
      </w:r>
      <w:r>
        <w:rPr>
          <w:rFonts w:ascii="仿宋_GB2312" w:hAnsi="仿宋_GB2312" w:eastAsia="仿宋_GB2312"/>
          <w:b w:val="0"/>
          <w:spacing w:val="-6"/>
          <w:sz w:val="32"/>
        </w:rPr>
        <w:t>无其他用车。单价100万元（含）以上设备（不含车辆）0台（套）。</w:t>
      </w:r>
    </w:p>
    <w:p w14:paraId="5A0DCAD9">
      <w:pPr>
        <w:spacing w:line="640" w:lineRule="exact"/>
        <w:ind w:firstLine="640"/>
        <w:jc w:val="both"/>
        <w:outlineLvl w:val="2"/>
      </w:pPr>
      <w:r>
        <w:rPr>
          <w:rFonts w:ascii="黑体" w:hAnsi="黑体" w:eastAsia="黑体"/>
          <w:sz w:val="32"/>
        </w:rPr>
        <w:t>十一、预算绩效的情况说明</w:t>
      </w:r>
    </w:p>
    <w:p w14:paraId="37ED459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250.40万元，实际执行总额250.40万元；预算绩效评价项目1个，全年预算数23.79万元，全年执行数23.79万元。预算绩效管理取得的成效：一是确保资金的高效使用，切实发挥财政资金的使用效果。二是严格按照工作职责和相关文件依据，确保专款专用。三是严格控制资金的流出方向，确保资金的合规性。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加强新行政单位会计制度和新预算法学习培训、规范账务处理，加强新《中华人民共和国预算法》《行政单位会计制度》《</w:t>
      </w:r>
      <w:r>
        <w:rPr>
          <w:rFonts w:hint="eastAsia" w:ascii="仿宋_GB2312" w:hAnsi="仿宋_GB2312" w:eastAsia="仿宋_GB2312"/>
          <w:b w:val="0"/>
          <w:sz w:val="32"/>
          <w:lang w:eastAsia="zh-CN"/>
        </w:rPr>
        <w:t>中华人民共和国会计法</w:t>
      </w:r>
      <w:r>
        <w:rPr>
          <w:rFonts w:ascii="仿宋_GB2312" w:hAnsi="仿宋_GB2312" w:eastAsia="仿宋_GB2312"/>
          <w:b w:val="0"/>
          <w:sz w:val="32"/>
        </w:rPr>
        <w:t>》《行政单位财务规则》等学习培训,规范部门预算收支核算。二是加强学习。进一步明确如何参照考核体系，科学合理设定绩效目标，充分发挥预算绩效管理工作效用。具体附整体支出绩效自评表，项目支出绩效自评表和评价报告。</w:t>
      </w:r>
    </w:p>
    <w:p w14:paraId="3C51324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387"/>
        <w:gridCol w:w="772"/>
        <w:gridCol w:w="983"/>
        <w:gridCol w:w="983"/>
      </w:tblGrid>
      <w:tr w14:paraId="16860ED0">
        <w:tblPrEx>
          <w:tblCellMar>
            <w:top w:w="0" w:type="dxa"/>
            <w:left w:w="108" w:type="dxa"/>
            <w:bottom w:w="0" w:type="dxa"/>
            <w:right w:w="108" w:type="dxa"/>
          </w:tblCellMar>
        </w:tblPrEx>
        <w:tc>
          <w:tcPr>
            <w:tcW w:w="9040" w:type="dxa"/>
            <w:gridSpan w:val="9"/>
            <w:vAlign w:val="center"/>
          </w:tcPr>
          <w:p w14:paraId="31A26582">
            <w:pPr>
              <w:jc w:val="center"/>
            </w:pPr>
            <w:r>
              <w:rPr>
                <w:rFonts w:ascii="宋体" w:hAnsi="宋体" w:eastAsia="宋体"/>
                <w:sz w:val="24"/>
              </w:rPr>
              <w:t>单位整体支出绩效自评表</w:t>
            </w:r>
          </w:p>
        </w:tc>
      </w:tr>
      <w:tr w14:paraId="2AD0BE63">
        <w:tblPrEx>
          <w:tblCellMar>
            <w:top w:w="0" w:type="dxa"/>
            <w:left w:w="108" w:type="dxa"/>
            <w:bottom w:w="0" w:type="dxa"/>
            <w:right w:w="108" w:type="dxa"/>
          </w:tblCellMar>
        </w:tblPrEx>
        <w:tc>
          <w:tcPr>
            <w:tcW w:w="9040" w:type="dxa"/>
            <w:gridSpan w:val="9"/>
            <w:vAlign w:val="center"/>
          </w:tcPr>
          <w:p w14:paraId="6D2CD86C">
            <w:pPr>
              <w:jc w:val="center"/>
            </w:pPr>
            <w:r>
              <w:rPr>
                <w:rFonts w:ascii="宋体" w:hAnsi="宋体" w:eastAsia="宋体"/>
                <w:sz w:val="24"/>
              </w:rPr>
              <w:t>（2024年度）</w:t>
            </w:r>
          </w:p>
        </w:tc>
      </w:tr>
      <w:tr w14:paraId="67A4D9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DADEF">
            <w:pPr>
              <w:jc w:val="center"/>
            </w:pPr>
            <w:r>
              <w:rPr>
                <w:rFonts w:ascii="宋体" w:hAnsi="宋体" w:eastAsia="宋体"/>
                <w:sz w:val="16"/>
              </w:rPr>
              <w:t>单位名称</w:t>
            </w:r>
          </w:p>
        </w:tc>
        <w:tc>
          <w:tcPr>
            <w:tcW w:w="8057"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4AE79AB">
            <w:pPr>
              <w:jc w:val="center"/>
            </w:pPr>
            <w:r>
              <w:rPr>
                <w:rFonts w:ascii="宋体" w:hAnsi="宋体" w:eastAsia="宋体"/>
                <w:sz w:val="16"/>
              </w:rPr>
              <w:t>昌吉回族自治州干部休养所</w:t>
            </w:r>
          </w:p>
        </w:tc>
      </w:tr>
      <w:tr w14:paraId="5D6BD29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7AE6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0192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81C8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9A8F9">
            <w:pPr>
              <w:jc w:val="center"/>
            </w:pPr>
            <w:r>
              <w:rPr>
                <w:rFonts w:ascii="宋体" w:hAnsi="宋体" w:eastAsia="宋体"/>
                <w:sz w:val="16"/>
              </w:rPr>
              <w:t>全年预算数</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38209C40">
            <w:pPr>
              <w:jc w:val="center"/>
            </w:pPr>
            <w:r>
              <w:rPr>
                <w:rFonts w:ascii="宋体" w:hAnsi="宋体" w:eastAsia="宋体"/>
                <w:sz w:val="16"/>
              </w:rPr>
              <w:t>全年执行数</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6DBF4CF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4FCE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D11BB">
            <w:pPr>
              <w:jc w:val="center"/>
            </w:pPr>
            <w:r>
              <w:rPr>
                <w:rFonts w:ascii="宋体" w:hAnsi="宋体" w:eastAsia="宋体"/>
                <w:sz w:val="16"/>
              </w:rPr>
              <w:t>得分</w:t>
            </w:r>
          </w:p>
        </w:tc>
      </w:tr>
      <w:tr w14:paraId="13412A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F0AF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FEDB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B815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186D7">
            <w:pPr>
              <w:jc w:val="center"/>
            </w:pPr>
            <w:r>
              <w:rPr>
                <w:rFonts w:ascii="宋体" w:hAnsi="宋体" w:eastAsia="宋体"/>
                <w:sz w:val="16"/>
              </w:rPr>
              <w:t>0.00</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391F4EE0">
            <w:pPr>
              <w:jc w:val="center"/>
            </w:pPr>
            <w:r>
              <w:rPr>
                <w:rFonts w:ascii="宋体" w:hAnsi="宋体" w:eastAsia="宋体"/>
                <w:sz w:val="16"/>
              </w:rPr>
              <w:t>0.00</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5BCF94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915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E2D00">
            <w:pPr>
              <w:jc w:val="center"/>
            </w:pPr>
            <w:r>
              <w:rPr>
                <w:rFonts w:ascii="宋体" w:hAnsi="宋体" w:eastAsia="宋体"/>
                <w:sz w:val="16"/>
              </w:rPr>
              <w:t>-</w:t>
            </w:r>
          </w:p>
        </w:tc>
      </w:tr>
      <w:tr w14:paraId="12037D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3009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5770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B9ED3">
            <w:pPr>
              <w:jc w:val="center"/>
            </w:pPr>
            <w:r>
              <w:rPr>
                <w:rFonts w:ascii="宋体" w:hAnsi="宋体" w:eastAsia="宋体"/>
                <w:sz w:val="16"/>
              </w:rPr>
              <w:t>221.88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77B5F">
            <w:pPr>
              <w:jc w:val="center"/>
            </w:pPr>
            <w:r>
              <w:rPr>
                <w:rFonts w:ascii="宋体" w:hAnsi="宋体" w:eastAsia="宋体"/>
                <w:sz w:val="16"/>
              </w:rPr>
              <w:t>250.22</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25B66BE9">
            <w:pPr>
              <w:jc w:val="center"/>
            </w:pPr>
            <w:r>
              <w:rPr>
                <w:rFonts w:ascii="宋体" w:hAnsi="宋体" w:eastAsia="宋体"/>
                <w:sz w:val="16"/>
              </w:rPr>
              <w:t>250.22</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569A7F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A7F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B4B6B">
            <w:pPr>
              <w:jc w:val="center"/>
            </w:pPr>
            <w:r>
              <w:rPr>
                <w:rFonts w:ascii="宋体" w:hAnsi="宋体" w:eastAsia="宋体"/>
                <w:sz w:val="16"/>
              </w:rPr>
              <w:t>-</w:t>
            </w:r>
          </w:p>
        </w:tc>
      </w:tr>
      <w:tr w14:paraId="64314F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E6E4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B8B4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87B87">
            <w:pPr>
              <w:jc w:val="center"/>
            </w:pPr>
            <w:r>
              <w:rPr>
                <w:rFonts w:ascii="宋体" w:hAnsi="宋体" w:eastAsia="宋体"/>
                <w:sz w:val="16"/>
              </w:rPr>
              <w:t>0.25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1F2CE">
            <w:pPr>
              <w:jc w:val="center"/>
            </w:pPr>
            <w:r>
              <w:rPr>
                <w:rFonts w:ascii="宋体" w:hAnsi="宋体" w:eastAsia="宋体"/>
                <w:sz w:val="16"/>
              </w:rPr>
              <w:t>0.18</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754BA500">
            <w:pPr>
              <w:jc w:val="center"/>
            </w:pPr>
            <w:r>
              <w:rPr>
                <w:rFonts w:ascii="宋体" w:hAnsi="宋体" w:eastAsia="宋体"/>
                <w:sz w:val="16"/>
              </w:rPr>
              <w:t>0.18</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5082C5C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DDC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71011">
            <w:pPr>
              <w:jc w:val="center"/>
            </w:pPr>
            <w:r>
              <w:rPr>
                <w:rFonts w:ascii="宋体" w:hAnsi="宋体" w:eastAsia="宋体"/>
                <w:sz w:val="16"/>
              </w:rPr>
              <w:t>-</w:t>
            </w:r>
          </w:p>
        </w:tc>
      </w:tr>
      <w:tr w14:paraId="0C7A0D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D6C1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4286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F523B">
            <w:pPr>
              <w:jc w:val="center"/>
            </w:pPr>
            <w:r>
              <w:rPr>
                <w:rFonts w:ascii="宋体" w:hAnsi="宋体" w:eastAsia="宋体"/>
                <w:sz w:val="16"/>
              </w:rPr>
              <w:t>222.13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A39C7">
            <w:pPr>
              <w:jc w:val="center"/>
            </w:pPr>
            <w:r>
              <w:rPr>
                <w:rFonts w:ascii="宋体" w:hAnsi="宋体" w:eastAsia="宋体"/>
                <w:sz w:val="16"/>
              </w:rPr>
              <w:t>250.40</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6992D82B">
            <w:pPr>
              <w:jc w:val="center"/>
            </w:pPr>
            <w:r>
              <w:rPr>
                <w:rFonts w:ascii="宋体" w:hAnsi="宋体" w:eastAsia="宋体"/>
                <w:sz w:val="16"/>
              </w:rPr>
              <w:t>250.40</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145BF5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5E03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80C28">
            <w:pPr>
              <w:jc w:val="center"/>
            </w:pPr>
            <w:r>
              <w:rPr>
                <w:rFonts w:ascii="宋体" w:hAnsi="宋体" w:eastAsia="宋体"/>
                <w:sz w:val="16"/>
              </w:rPr>
              <w:t>10</w:t>
            </w:r>
          </w:p>
        </w:tc>
      </w:tr>
      <w:tr w14:paraId="4F31E6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2A936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13D042">
            <w:pPr>
              <w:jc w:val="center"/>
            </w:pPr>
            <w:r>
              <w:rPr>
                <w:rFonts w:ascii="宋体" w:hAnsi="宋体" w:eastAsia="宋体"/>
                <w:sz w:val="16"/>
              </w:rPr>
              <w:t>预期目标</w:t>
            </w:r>
          </w:p>
        </w:tc>
        <w:tc>
          <w:tcPr>
            <w:tcW w:w="510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967164">
            <w:pPr>
              <w:jc w:val="center"/>
            </w:pPr>
            <w:r>
              <w:rPr>
                <w:rFonts w:ascii="宋体" w:hAnsi="宋体" w:eastAsia="宋体"/>
                <w:sz w:val="16"/>
              </w:rPr>
              <w:t>实际完成情况</w:t>
            </w:r>
          </w:p>
        </w:tc>
      </w:tr>
      <w:tr w14:paraId="6AE8BA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40229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7F9555">
            <w:pPr>
              <w:jc w:val="both"/>
            </w:pPr>
            <w:r>
              <w:rPr>
                <w:rFonts w:ascii="宋体" w:hAnsi="宋体" w:eastAsia="宋体"/>
                <w:sz w:val="16"/>
              </w:rPr>
              <w:t>按照国家有关政策规定，以党的政治建设为统领，认真贯彻落实老干部政治待遇和生活待遇，在家政服务、医疗保健紧急救助、精神慰藉等方面提供便利，更好地满足个性化、多样化服务需求，不断提高服务质量，积极为老干部办实事，办好事，为老干部</w:t>
            </w:r>
            <w:r>
              <w:rPr>
                <w:rFonts w:hint="eastAsia" w:ascii="宋体" w:hAnsi="宋体"/>
                <w:sz w:val="16"/>
                <w:lang w:eastAsia="zh-CN"/>
              </w:rPr>
              <w:t>纾困解难</w:t>
            </w:r>
            <w:r>
              <w:rPr>
                <w:rFonts w:ascii="宋体" w:hAnsi="宋体" w:eastAsia="宋体"/>
                <w:sz w:val="16"/>
              </w:rPr>
              <w:t>；以正能量活动为载体，组织开展丰富多彩、积极向上的文体活动，倡导科学、健康、文明的生活方式，充分展示老同志爱国为民的信念力量、健康向上的生活态度和老当益壮的精神风貌，进一步实现老干部“老有所养、老有所医、老有所教、老有所学、老有所为、老有所乐”目标。</w:t>
            </w:r>
          </w:p>
        </w:tc>
        <w:tc>
          <w:tcPr>
            <w:tcW w:w="510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420B6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全年预算数为250.40万元，全年执行数为250.40万元，总预算执行率为100%。2024年</w:t>
            </w:r>
            <w:r>
              <w:rPr>
                <w:rFonts w:hint="eastAsia" w:ascii="宋体" w:hAnsi="宋体"/>
                <w:sz w:val="16"/>
                <w:lang w:eastAsia="zh-CN"/>
              </w:rPr>
              <w:t>本单位</w:t>
            </w:r>
            <w:r>
              <w:rPr>
                <w:rFonts w:ascii="宋体" w:hAnsi="宋体" w:eastAsia="宋体"/>
                <w:sz w:val="16"/>
              </w:rPr>
              <w:t>完成以下工作内容：1.2024年与州中医医院签订协议，为住所离休干部提供床边心电图、彩超、血糖、血压等常规检查，建立“一人一策”健康档案，每月1-2次上门服务、安全用药指导等。与昌吉市鑫蓝领家政综合服务部签订《服务协议》，为离休干部全年提供4次家庭保洁服务，解决老干部的实际困难。每月提供1次上门理发服务，特殊情况随时增加服务次数，让老干部足不出户享受到贴心服务；2.建立“一人一策”走访台账，每位干部每月至少走访2次，详细了解登记老干部身体状况、思想动态、家庭情况。利用“养老小管家”开展“互联网+养老”新模式。每周召开“一人一策”服务工作例会，每名干部职工汇报联系老干部近期各方面情况及相关诉求，党支部及时研判回应解决；3.重要节点，精心策划各类适合老干部开展的文体娱乐活动，春节开展“金龙耀岁 恭贺新春”棋牌赛；七一开展“庆七一 颂党恩”党旗映天山主题党日活动。通过精准精细化的服务，实现了老干部家庭医生入户覆盖率、走访慰问覆盖率均达到100%，同时老干部服务项目及时有效完成，完成率也达到了100%。通过精细化服务，让老干部门切实享受到党和政府的关怀，让老干部门老有所依、老有所乐。</w:t>
            </w:r>
          </w:p>
        </w:tc>
      </w:tr>
      <w:tr w14:paraId="1EC7E52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A9DB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87EE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A779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18BD9">
            <w:pPr>
              <w:jc w:val="center"/>
            </w:pPr>
            <w:r>
              <w:rPr>
                <w:rFonts w:ascii="宋体" w:hAnsi="宋体" w:eastAsia="宋体"/>
                <w:sz w:val="16"/>
              </w:rPr>
              <w:t>预期指标值</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46B8785C">
            <w:pPr>
              <w:jc w:val="center"/>
            </w:pPr>
            <w:r>
              <w:rPr>
                <w:rFonts w:ascii="宋体" w:hAnsi="宋体" w:eastAsia="宋体"/>
                <w:sz w:val="16"/>
              </w:rPr>
              <w:t>指标值设定依据</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38A1940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E82C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A16D8">
            <w:pPr>
              <w:jc w:val="center"/>
            </w:pPr>
            <w:r>
              <w:rPr>
                <w:rFonts w:ascii="宋体" w:hAnsi="宋体" w:eastAsia="宋体"/>
                <w:sz w:val="16"/>
              </w:rPr>
              <w:t>得分</w:t>
            </w:r>
          </w:p>
        </w:tc>
      </w:tr>
      <w:tr w14:paraId="29CEB4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CAFD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49975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24056">
            <w:pPr>
              <w:jc w:val="center"/>
            </w:pPr>
            <w:r>
              <w:rPr>
                <w:rFonts w:ascii="宋体" w:hAnsi="宋体" w:eastAsia="宋体"/>
                <w:sz w:val="16"/>
              </w:rPr>
              <w:t>走访、慰问人数（人）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127ED">
            <w:pPr>
              <w:jc w:val="center"/>
            </w:pPr>
            <w:r>
              <w:rPr>
                <w:rFonts w:ascii="宋体" w:hAnsi="宋体" w:eastAsia="宋体"/>
                <w:sz w:val="16"/>
              </w:rPr>
              <w:t>&gt;=30人</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2D2D94E2">
            <w:pPr>
              <w:jc w:val="center"/>
            </w:pPr>
            <w:r>
              <w:rPr>
                <w:rFonts w:ascii="宋体" w:hAnsi="宋体" w:eastAsia="宋体"/>
                <w:sz w:val="16"/>
              </w:rPr>
              <w:t>《关于加强新时代离退休干部党的建设工作的意见》中办发﹝2022﹞31号</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2423184B">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6C57F">
            <w:pPr>
              <w:jc w:val="center"/>
            </w:pPr>
            <w:r>
              <w:rPr>
                <w:rFonts w:ascii="宋体" w:hAnsi="宋体" w:eastAsia="宋体"/>
                <w:sz w:val="16"/>
              </w:rPr>
              <w:t>30人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A591C">
            <w:pPr>
              <w:jc w:val="center"/>
            </w:pPr>
            <w:r>
              <w:rPr>
                <w:rFonts w:ascii="宋体" w:hAnsi="宋体" w:eastAsia="宋体"/>
                <w:sz w:val="16"/>
              </w:rPr>
              <w:t>12</w:t>
            </w:r>
          </w:p>
        </w:tc>
      </w:tr>
      <w:tr w14:paraId="02900F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5FC78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CFF0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BDF5F">
            <w:pPr>
              <w:jc w:val="center"/>
            </w:pPr>
            <w:r>
              <w:rPr>
                <w:rFonts w:ascii="宋体" w:hAnsi="宋体" w:eastAsia="宋体"/>
                <w:sz w:val="16"/>
              </w:rPr>
              <w:t>走访、看望（人次）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CF8F9">
            <w:pPr>
              <w:jc w:val="center"/>
            </w:pPr>
            <w:r>
              <w:rPr>
                <w:rFonts w:ascii="宋体" w:hAnsi="宋体" w:eastAsia="宋体"/>
                <w:sz w:val="16"/>
              </w:rPr>
              <w:t>&gt;=150人次</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12AC8C6C">
            <w:pPr>
              <w:jc w:val="center"/>
            </w:pPr>
            <w:r>
              <w:rPr>
                <w:rFonts w:ascii="宋体" w:hAnsi="宋体" w:eastAsia="宋体"/>
                <w:sz w:val="16"/>
              </w:rPr>
              <w:t>《关于加强新时代离退休干部党的建设工作的意见》中办发﹝2022﹞31号</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3858AC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E052F">
            <w:pPr>
              <w:jc w:val="center"/>
            </w:pPr>
            <w:r>
              <w:rPr>
                <w:rFonts w:ascii="宋体" w:hAnsi="宋体" w:eastAsia="宋体"/>
                <w:sz w:val="16"/>
              </w:rPr>
              <w:t>150人次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3091C">
            <w:pPr>
              <w:jc w:val="center"/>
            </w:pPr>
            <w:r>
              <w:rPr>
                <w:rFonts w:ascii="宋体" w:hAnsi="宋体" w:eastAsia="宋体"/>
                <w:sz w:val="16"/>
              </w:rPr>
              <w:t>10</w:t>
            </w:r>
          </w:p>
        </w:tc>
      </w:tr>
      <w:tr w14:paraId="5EB441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A62E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8FBA1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E40F5">
            <w:pPr>
              <w:jc w:val="center"/>
            </w:pPr>
            <w:r>
              <w:rPr>
                <w:rFonts w:ascii="宋体" w:hAnsi="宋体" w:eastAsia="宋体"/>
                <w:sz w:val="16"/>
              </w:rPr>
              <w:t>老干部活动开展次数（次）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D4E3D">
            <w:pPr>
              <w:jc w:val="center"/>
            </w:pPr>
            <w:r>
              <w:rPr>
                <w:rFonts w:ascii="宋体" w:hAnsi="宋体" w:eastAsia="宋体"/>
                <w:sz w:val="16"/>
              </w:rPr>
              <w:t>&gt;=4次</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3491789E">
            <w:pPr>
              <w:jc w:val="center"/>
            </w:pPr>
            <w:r>
              <w:rPr>
                <w:rFonts w:ascii="宋体" w:hAnsi="宋体" w:eastAsia="宋体"/>
                <w:sz w:val="16"/>
              </w:rPr>
              <w:t>《关于加强新时代离退休干部党的建设工作的意见》中办发﹝2022﹞31号</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0B3D8163">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A75E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7BD99">
            <w:pPr>
              <w:jc w:val="center"/>
            </w:pPr>
            <w:r>
              <w:rPr>
                <w:rFonts w:ascii="宋体" w:hAnsi="宋体" w:eastAsia="宋体"/>
                <w:sz w:val="16"/>
              </w:rPr>
              <w:t>12</w:t>
            </w:r>
          </w:p>
        </w:tc>
      </w:tr>
      <w:tr w14:paraId="7D7EEC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1C69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D152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40A2C">
            <w:pPr>
              <w:jc w:val="center"/>
            </w:pPr>
            <w:r>
              <w:rPr>
                <w:rFonts w:ascii="宋体" w:hAnsi="宋体" w:eastAsia="宋体"/>
                <w:sz w:val="16"/>
              </w:rPr>
              <w:t>家庭医生入户次数（次/户）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03B54">
            <w:pPr>
              <w:jc w:val="center"/>
            </w:pPr>
            <w:r>
              <w:rPr>
                <w:rFonts w:ascii="宋体" w:hAnsi="宋体" w:eastAsia="宋体"/>
                <w:sz w:val="16"/>
              </w:rPr>
              <w:t>&gt;=10次/户</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6EB42109">
            <w:pPr>
              <w:jc w:val="center"/>
            </w:pPr>
            <w:r>
              <w:rPr>
                <w:rFonts w:ascii="宋体" w:hAnsi="宋体" w:eastAsia="宋体"/>
                <w:sz w:val="16"/>
              </w:rPr>
              <w:t>《关于进一步加强和改进离退休干部工作的实施意见》新党办发﹝2017﹞47号</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3A461BE8">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64A59">
            <w:pPr>
              <w:jc w:val="center"/>
            </w:pPr>
            <w:r>
              <w:rPr>
                <w:rFonts w:ascii="宋体" w:hAnsi="宋体" w:eastAsia="宋体"/>
                <w:sz w:val="16"/>
              </w:rPr>
              <w:t>10次/户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93052">
            <w:pPr>
              <w:jc w:val="center"/>
            </w:pPr>
            <w:r>
              <w:rPr>
                <w:rFonts w:ascii="宋体" w:hAnsi="宋体" w:eastAsia="宋体"/>
                <w:sz w:val="16"/>
              </w:rPr>
              <w:t>12</w:t>
            </w:r>
          </w:p>
        </w:tc>
      </w:tr>
      <w:tr w14:paraId="46AFCE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A76A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5D21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A8913">
            <w:pPr>
              <w:jc w:val="center"/>
            </w:pPr>
            <w:r>
              <w:rPr>
                <w:rFonts w:ascii="宋体" w:hAnsi="宋体" w:eastAsia="宋体"/>
                <w:sz w:val="16"/>
              </w:rPr>
              <w:t>老干部家庭保洁次数（次/户）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69737">
            <w:pPr>
              <w:jc w:val="center"/>
            </w:pPr>
            <w:r>
              <w:rPr>
                <w:rFonts w:ascii="宋体" w:hAnsi="宋体" w:eastAsia="宋体"/>
                <w:sz w:val="16"/>
              </w:rPr>
              <w:t>&gt;=4次/户</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47B3D184">
            <w:pPr>
              <w:jc w:val="center"/>
            </w:pPr>
            <w:r>
              <w:rPr>
                <w:rFonts w:ascii="宋体" w:hAnsi="宋体" w:eastAsia="宋体"/>
                <w:sz w:val="16"/>
              </w:rPr>
              <w:t>《关于进一步加强和改进离退休干部工作的实施意见》新党办发﹝2017﹞47号</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60BEA31A">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9C40C">
            <w:pPr>
              <w:jc w:val="center"/>
            </w:pPr>
            <w:r>
              <w:rPr>
                <w:rFonts w:ascii="宋体" w:hAnsi="宋体" w:eastAsia="宋体"/>
                <w:sz w:val="16"/>
              </w:rPr>
              <w:t>4次/户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F75D7">
            <w:pPr>
              <w:jc w:val="center"/>
            </w:pPr>
            <w:r>
              <w:rPr>
                <w:rFonts w:ascii="宋体" w:hAnsi="宋体" w:eastAsia="宋体"/>
                <w:sz w:val="16"/>
              </w:rPr>
              <w:t>12</w:t>
            </w:r>
          </w:p>
        </w:tc>
      </w:tr>
      <w:tr w14:paraId="66D766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242C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06CC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96A4C">
            <w:pPr>
              <w:jc w:val="center"/>
            </w:pPr>
            <w:r>
              <w:rPr>
                <w:rFonts w:ascii="宋体" w:hAnsi="宋体" w:eastAsia="宋体"/>
                <w:sz w:val="16"/>
              </w:rPr>
              <w:t>为老干部解决急难愁盼实际问题（件）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51E3A">
            <w:pPr>
              <w:jc w:val="center"/>
            </w:pPr>
            <w:r>
              <w:rPr>
                <w:rFonts w:ascii="宋体" w:hAnsi="宋体" w:eastAsia="宋体"/>
                <w:sz w:val="16"/>
              </w:rPr>
              <w:t>&gt;=7</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552A977C">
            <w:pPr>
              <w:jc w:val="center"/>
            </w:pPr>
            <w:r>
              <w:rPr>
                <w:rFonts w:ascii="宋体" w:hAnsi="宋体" w:eastAsia="宋体"/>
                <w:sz w:val="16"/>
              </w:rPr>
              <w:t>《关于进一步加强和改进离退休干部工作的实施意见》新党办发﹝2017﹞47号</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50274A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A8FD8">
            <w:pPr>
              <w:jc w:val="center"/>
            </w:pPr>
            <w:r>
              <w:rPr>
                <w:rFonts w:ascii="宋体" w:hAnsi="宋体" w:eastAsia="宋体"/>
                <w:sz w:val="16"/>
              </w:rPr>
              <w:t>7件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6F122">
            <w:pPr>
              <w:jc w:val="center"/>
            </w:pPr>
            <w:r>
              <w:rPr>
                <w:rFonts w:ascii="宋体" w:hAnsi="宋体" w:eastAsia="宋体"/>
                <w:sz w:val="16"/>
              </w:rPr>
              <w:t>10</w:t>
            </w:r>
          </w:p>
        </w:tc>
      </w:tr>
      <w:tr w14:paraId="1578D5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9DED2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60DDF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3A6D0">
            <w:pPr>
              <w:jc w:val="center"/>
            </w:pPr>
            <w:r>
              <w:rPr>
                <w:rFonts w:ascii="宋体" w:hAnsi="宋体" w:eastAsia="宋体"/>
                <w:sz w:val="16"/>
              </w:rPr>
              <w:t>老干部上门理发次数（次/人）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997B6">
            <w:pPr>
              <w:jc w:val="center"/>
            </w:pPr>
            <w:r>
              <w:rPr>
                <w:rFonts w:ascii="宋体" w:hAnsi="宋体" w:eastAsia="宋体"/>
                <w:sz w:val="16"/>
              </w:rPr>
              <w:t>&gt;=12次/人</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3D77E0DA">
            <w:pPr>
              <w:jc w:val="center"/>
            </w:pPr>
            <w:r>
              <w:rPr>
                <w:rFonts w:ascii="宋体" w:hAnsi="宋体" w:eastAsia="宋体"/>
                <w:sz w:val="16"/>
              </w:rPr>
              <w:t>《关于进一步加强和改进离退休干部工作的实施意见》新党办发﹝2017﹞47号</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0D3821C9">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0081F">
            <w:pPr>
              <w:jc w:val="center"/>
            </w:pPr>
            <w:r>
              <w:rPr>
                <w:rFonts w:ascii="宋体" w:hAnsi="宋体" w:eastAsia="宋体"/>
                <w:sz w:val="16"/>
              </w:rPr>
              <w:t>12次/人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F4546">
            <w:pPr>
              <w:jc w:val="center"/>
            </w:pPr>
            <w:r>
              <w:rPr>
                <w:rFonts w:ascii="宋体" w:hAnsi="宋体" w:eastAsia="宋体"/>
                <w:sz w:val="16"/>
              </w:rPr>
              <w:t>12</w:t>
            </w:r>
          </w:p>
        </w:tc>
      </w:tr>
      <w:tr w14:paraId="75C044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8A60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3AEE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44809">
            <w:pPr>
              <w:jc w:val="center"/>
            </w:pPr>
            <w:r>
              <w:rPr>
                <w:rFonts w:ascii="宋体" w:hAnsi="宋体" w:eastAsia="宋体"/>
                <w:sz w:val="16"/>
              </w:rPr>
              <w:t>老干部报刊杂志征订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16B67">
            <w:pPr>
              <w:jc w:val="center"/>
            </w:pPr>
            <w:r>
              <w:rPr>
                <w:rFonts w:ascii="宋体" w:hAnsi="宋体" w:eastAsia="宋体"/>
                <w:sz w:val="16"/>
              </w:rPr>
              <w:t>&gt;=7人</w:t>
            </w:r>
          </w:p>
        </w:tc>
        <w:tc>
          <w:tcPr>
            <w:tcW w:w="1387" w:type="dxa"/>
            <w:tcBorders>
              <w:top w:val="single" w:color="auto" w:sz="10" w:space="0"/>
              <w:left w:val="single" w:color="auto" w:sz="10" w:space="0"/>
              <w:bottom w:val="single" w:color="auto" w:sz="10" w:space="0"/>
              <w:right w:val="single" w:color="auto" w:sz="10" w:space="0"/>
              <w:insideV w:val="single" w:sz="10" w:space="0"/>
            </w:tcBorders>
            <w:vAlign w:val="center"/>
          </w:tcPr>
          <w:p w14:paraId="5E753FBF">
            <w:pPr>
              <w:jc w:val="center"/>
            </w:pPr>
            <w:r>
              <w:rPr>
                <w:rFonts w:ascii="宋体" w:hAnsi="宋体" w:eastAsia="宋体"/>
                <w:sz w:val="16"/>
              </w:rPr>
              <w:t>《关于加强新时代离退休干部党的建设工作的意见》中办发﹝2022﹞31号</w:t>
            </w:r>
          </w:p>
        </w:tc>
        <w:tc>
          <w:tcPr>
            <w:tcW w:w="772" w:type="dxa"/>
            <w:tcBorders>
              <w:top w:val="single" w:color="auto" w:sz="10" w:space="0"/>
              <w:left w:val="single" w:color="auto" w:sz="10" w:space="0"/>
              <w:bottom w:val="single" w:color="auto" w:sz="10" w:space="0"/>
              <w:right w:val="single" w:color="auto" w:sz="10" w:space="0"/>
              <w:insideV w:val="single" w:sz="10" w:space="0"/>
            </w:tcBorders>
            <w:vAlign w:val="center"/>
          </w:tcPr>
          <w:p w14:paraId="2AD6C5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47001">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AC946">
            <w:pPr>
              <w:jc w:val="center"/>
            </w:pPr>
            <w:r>
              <w:rPr>
                <w:rFonts w:ascii="宋体" w:hAnsi="宋体" w:eastAsia="宋体"/>
                <w:sz w:val="16"/>
              </w:rPr>
              <w:t>10</w:t>
            </w:r>
          </w:p>
        </w:tc>
      </w:tr>
    </w:tbl>
    <w:p w14:paraId="738506F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494E661F">
        <w:tblPrEx>
          <w:tblCellMar>
            <w:top w:w="0" w:type="dxa"/>
            <w:left w:w="108" w:type="dxa"/>
            <w:bottom w:w="0" w:type="dxa"/>
            <w:right w:w="108" w:type="dxa"/>
          </w:tblCellMar>
        </w:tblPrEx>
        <w:tc>
          <w:tcPr>
            <w:tcW w:w="8848" w:type="dxa"/>
            <w:gridSpan w:val="14"/>
            <w:vAlign w:val="center"/>
          </w:tcPr>
          <w:p w14:paraId="4129AFC4">
            <w:pPr>
              <w:jc w:val="center"/>
            </w:pPr>
            <w:r>
              <w:rPr>
                <w:rFonts w:ascii="宋体" w:hAnsi="宋体" w:eastAsia="宋体"/>
                <w:sz w:val="24"/>
              </w:rPr>
              <w:t>项目支出绩效自评表</w:t>
            </w:r>
          </w:p>
        </w:tc>
      </w:tr>
      <w:tr w14:paraId="348ECA9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21B689">
            <w:pPr>
              <w:jc w:val="center"/>
            </w:pPr>
            <w:r>
              <w:rPr>
                <w:rFonts w:ascii="宋体" w:hAnsi="宋体" w:eastAsia="宋体"/>
                <w:sz w:val="24"/>
              </w:rPr>
              <w:t>(2024年度)</w:t>
            </w:r>
          </w:p>
        </w:tc>
      </w:tr>
      <w:tr w14:paraId="32FEB0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E815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D2FFF9">
            <w:pPr>
              <w:jc w:val="center"/>
            </w:pPr>
            <w:r>
              <w:rPr>
                <w:rFonts w:ascii="宋体" w:hAnsi="宋体" w:eastAsia="宋体"/>
                <w:sz w:val="16"/>
              </w:rPr>
              <w:t>老干部经费</w:t>
            </w:r>
          </w:p>
        </w:tc>
      </w:tr>
      <w:tr w14:paraId="455147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1039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0C5217">
            <w:pPr>
              <w:jc w:val="center"/>
            </w:pPr>
            <w:r>
              <w:rPr>
                <w:rFonts w:ascii="宋体" w:hAnsi="宋体" w:eastAsia="宋体"/>
                <w:sz w:val="16"/>
              </w:rPr>
              <w:t>中共昌吉州委员会老干部局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07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90C9CF">
            <w:pPr>
              <w:jc w:val="center"/>
            </w:pPr>
            <w:r>
              <w:rPr>
                <w:rFonts w:ascii="宋体" w:hAnsi="宋体" w:eastAsia="宋体"/>
                <w:sz w:val="16"/>
              </w:rPr>
              <w:t>昌吉回族自治州干部休养所</w:t>
            </w:r>
          </w:p>
        </w:tc>
      </w:tr>
      <w:tr w14:paraId="4FDA6B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D86E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735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E00F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1D3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EE67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AB51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1F27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2839">
            <w:pPr>
              <w:jc w:val="center"/>
            </w:pPr>
            <w:r>
              <w:rPr>
                <w:rFonts w:ascii="宋体" w:hAnsi="宋体" w:eastAsia="宋体"/>
                <w:sz w:val="16"/>
              </w:rPr>
              <w:t>得分</w:t>
            </w:r>
          </w:p>
        </w:tc>
      </w:tr>
      <w:tr w14:paraId="16CEA6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9BA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8FA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DEE76">
            <w:pPr>
              <w:jc w:val="center"/>
            </w:pPr>
            <w:r>
              <w:rPr>
                <w:rFonts w:ascii="宋体" w:hAnsi="宋体" w:eastAsia="宋体"/>
                <w:sz w:val="16"/>
              </w:rPr>
              <w:t>27.00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62D86">
            <w:pPr>
              <w:jc w:val="center"/>
            </w:pPr>
            <w:r>
              <w:rPr>
                <w:rFonts w:ascii="宋体" w:hAnsi="宋体" w:eastAsia="宋体"/>
                <w:sz w:val="16"/>
              </w:rPr>
              <w:t>23.79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8E7CD">
            <w:pPr>
              <w:jc w:val="center"/>
            </w:pPr>
            <w:r>
              <w:rPr>
                <w:rFonts w:ascii="宋体" w:hAnsi="宋体" w:eastAsia="宋体"/>
                <w:sz w:val="16"/>
              </w:rPr>
              <w:t>23.79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69DC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6E54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696B">
            <w:pPr>
              <w:jc w:val="center"/>
            </w:pPr>
            <w:r>
              <w:rPr>
                <w:rFonts w:ascii="宋体" w:hAnsi="宋体" w:eastAsia="宋体"/>
                <w:sz w:val="16"/>
              </w:rPr>
              <w:t>10.00</w:t>
            </w:r>
          </w:p>
        </w:tc>
      </w:tr>
      <w:tr w14:paraId="73D554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DA7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06C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65D5A">
            <w:pPr>
              <w:jc w:val="center"/>
            </w:pPr>
            <w:r>
              <w:rPr>
                <w:rFonts w:ascii="宋体" w:hAnsi="宋体" w:eastAsia="宋体"/>
                <w:sz w:val="16"/>
              </w:rPr>
              <w:t>27.00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AE31F">
            <w:pPr>
              <w:jc w:val="center"/>
            </w:pPr>
            <w:r>
              <w:rPr>
                <w:rFonts w:ascii="宋体" w:hAnsi="宋体" w:eastAsia="宋体"/>
                <w:sz w:val="16"/>
              </w:rPr>
              <w:t>23.61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1F144">
            <w:pPr>
              <w:jc w:val="center"/>
            </w:pPr>
            <w:r>
              <w:rPr>
                <w:rFonts w:ascii="宋体" w:hAnsi="宋体" w:eastAsia="宋体"/>
                <w:sz w:val="16"/>
              </w:rPr>
              <w:t>23.61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9EE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3E9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B1307">
            <w:pPr>
              <w:jc w:val="center"/>
            </w:pPr>
            <w:r>
              <w:rPr>
                <w:rFonts w:ascii="宋体" w:hAnsi="宋体" w:eastAsia="宋体"/>
                <w:sz w:val="16"/>
              </w:rPr>
              <w:t>—</w:t>
            </w:r>
          </w:p>
        </w:tc>
      </w:tr>
      <w:tr w14:paraId="3ADD4C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B43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0982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686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350FF">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CFDBA">
            <w:pPr>
              <w:jc w:val="center"/>
            </w:pPr>
            <w:r>
              <w:rPr>
                <w:rFonts w:ascii="宋体" w:hAnsi="宋体" w:eastAsia="宋体"/>
                <w:sz w:val="16"/>
              </w:rPr>
              <w:t>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BEE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5CF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6C76E">
            <w:pPr>
              <w:jc w:val="center"/>
            </w:pPr>
            <w:r>
              <w:rPr>
                <w:rFonts w:ascii="宋体" w:hAnsi="宋体" w:eastAsia="宋体"/>
                <w:sz w:val="16"/>
              </w:rPr>
              <w:t>—</w:t>
            </w:r>
          </w:p>
        </w:tc>
      </w:tr>
      <w:tr w14:paraId="0F5040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CA3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AFBEF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02B365">
            <w:pPr>
              <w:jc w:val="center"/>
            </w:pPr>
            <w:r>
              <w:rPr>
                <w:rFonts w:ascii="宋体" w:hAnsi="宋体" w:eastAsia="宋体"/>
                <w:sz w:val="16"/>
              </w:rPr>
              <w:t>实际完成情况</w:t>
            </w:r>
          </w:p>
        </w:tc>
      </w:tr>
      <w:tr w14:paraId="305358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C0DB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720EB">
            <w:pPr>
              <w:jc w:val="both"/>
            </w:pPr>
            <w:r>
              <w:rPr>
                <w:rFonts w:ascii="宋体" w:hAnsi="宋体" w:eastAsia="宋体"/>
                <w:sz w:val="16"/>
              </w:rPr>
              <w:t>目标1：落实党和国家对老干部的学习、生活、医疗保健、文化娱乐、丧葬优抚、走访慰问、生活待遇等一系列政策规定，为老干部提供各项优质服务。目标2：保障老干部的身心健康、生活质量和良好的精神风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6CE6F4">
            <w:pPr>
              <w:jc w:val="both"/>
            </w:pPr>
            <w:r>
              <w:rPr>
                <w:rFonts w:hint="eastAsia" w:ascii="宋体" w:hAnsi="宋体"/>
                <w:sz w:val="16"/>
                <w:lang w:eastAsia="zh-CN"/>
              </w:rPr>
              <w:t>截至</w:t>
            </w:r>
            <w:r>
              <w:rPr>
                <w:rFonts w:ascii="宋体" w:hAnsi="宋体" w:eastAsia="宋体"/>
                <w:sz w:val="16"/>
              </w:rPr>
              <w:t>2024年12月31日，完成了走访慰问老干部30人，走访看望离退休干部职工150人次，组织老干部开展活动4次，离休干部家庭医生上门每户每年10次，为离休干部开展上门理发每户每年12次，为老干部开展家庭保洁每户每年4次，开展绿化维修改造活动场所3次，家庭医生覆盖率和走访慰问对象覆盖率均达到了100%，项目完成及时率达到了100%，全年使用经费23.79万元。</w:t>
            </w:r>
          </w:p>
        </w:tc>
      </w:tr>
      <w:tr w14:paraId="507F93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9F5A3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3BF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D4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E7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8C39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C6E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E7BB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24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FAA5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BCE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C71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3E2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CC9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425D">
            <w:pPr>
              <w:jc w:val="center"/>
            </w:pPr>
            <w:r>
              <w:rPr>
                <w:rFonts w:ascii="宋体" w:hAnsi="宋体" w:eastAsia="宋体"/>
                <w:sz w:val="16"/>
              </w:rPr>
              <w:t>偏差原因分析及改进措施</w:t>
            </w:r>
          </w:p>
        </w:tc>
      </w:tr>
      <w:tr w14:paraId="50E319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A9BE7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518D3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ACA2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17CD">
            <w:pPr>
              <w:jc w:val="center"/>
            </w:pPr>
            <w:r>
              <w:rPr>
                <w:rFonts w:ascii="宋体" w:hAnsi="宋体" w:eastAsia="宋体"/>
                <w:sz w:val="16"/>
              </w:rPr>
              <w:t>走访慰问人数（人）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A4E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F99C9">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AE11E">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26D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C27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7BD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8D240">
            <w:pPr>
              <w:jc w:val="center"/>
            </w:pPr>
            <w:r>
              <w:rPr>
                <w:rFonts w:ascii="宋体" w:hAnsi="宋体" w:eastAsia="宋体"/>
                <w:sz w:val="16"/>
              </w:rPr>
              <w:t>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53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3A4F4">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8A51">
            <w:pPr>
              <w:jc w:val="center"/>
            </w:pPr>
          </w:p>
        </w:tc>
      </w:tr>
      <w:tr w14:paraId="73D283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970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178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788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0BE02">
            <w:pPr>
              <w:jc w:val="center"/>
            </w:pPr>
            <w:r>
              <w:rPr>
                <w:rFonts w:ascii="宋体" w:hAnsi="宋体" w:eastAsia="宋体"/>
                <w:sz w:val="16"/>
              </w:rPr>
              <w:t>走访、看望（人次）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60D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3A908">
            <w:pPr>
              <w:jc w:val="center"/>
            </w:pPr>
            <w:r>
              <w:rPr>
                <w:rFonts w:ascii="宋体" w:hAnsi="宋体" w:eastAsia="宋体"/>
                <w:sz w:val="16"/>
              </w:rPr>
              <w:t>&gt;=150人次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C82F">
            <w:pPr>
              <w:jc w:val="center"/>
            </w:pPr>
            <w:r>
              <w:rPr>
                <w:rFonts w:ascii="宋体" w:hAnsi="宋体" w:eastAsia="宋体"/>
                <w:sz w:val="16"/>
              </w:rPr>
              <w:t>=150人次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BB9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626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F0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27606">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CE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FFF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A1DAC">
            <w:pPr>
              <w:jc w:val="center"/>
            </w:pPr>
          </w:p>
        </w:tc>
      </w:tr>
      <w:tr w14:paraId="39D2B0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3EA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6CB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FF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3378F">
            <w:pPr>
              <w:jc w:val="center"/>
            </w:pPr>
            <w:r>
              <w:rPr>
                <w:rFonts w:ascii="宋体" w:hAnsi="宋体" w:eastAsia="宋体"/>
                <w:sz w:val="16"/>
              </w:rPr>
              <w:t>老干部活动开展次数（次）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D493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9D3E8">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1BB80">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F9C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0F6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2A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32AC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DEE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75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1B11">
            <w:pPr>
              <w:jc w:val="center"/>
            </w:pPr>
          </w:p>
        </w:tc>
      </w:tr>
      <w:tr w14:paraId="148EE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B9E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BC3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1E1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63D4">
            <w:pPr>
              <w:jc w:val="center"/>
            </w:pPr>
            <w:r>
              <w:rPr>
                <w:rFonts w:ascii="宋体" w:hAnsi="宋体" w:eastAsia="宋体"/>
                <w:sz w:val="16"/>
              </w:rPr>
              <w:t>家庭医生入户次数（次/户）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309B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1CAD2">
            <w:pPr>
              <w:jc w:val="center"/>
            </w:pPr>
            <w:r>
              <w:rPr>
                <w:rFonts w:ascii="宋体" w:hAnsi="宋体" w:eastAsia="宋体"/>
                <w:sz w:val="16"/>
              </w:rPr>
              <w:t>&gt;=10次/户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83CF">
            <w:pPr>
              <w:jc w:val="center"/>
            </w:pPr>
            <w:r>
              <w:rPr>
                <w:rFonts w:ascii="宋体" w:hAnsi="宋体" w:eastAsia="宋体"/>
                <w:sz w:val="16"/>
              </w:rPr>
              <w:t>=10次/户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BB4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466F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243C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A294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24F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848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8D14">
            <w:pPr>
              <w:jc w:val="center"/>
            </w:pPr>
          </w:p>
        </w:tc>
      </w:tr>
      <w:tr w14:paraId="2F82E2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2AA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295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22A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FB984">
            <w:pPr>
              <w:jc w:val="center"/>
            </w:pPr>
            <w:r>
              <w:rPr>
                <w:rFonts w:ascii="宋体" w:hAnsi="宋体" w:eastAsia="宋体"/>
                <w:sz w:val="16"/>
              </w:rPr>
              <w:t>老干部家庭保洁次数（次/户）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6B97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C02C0">
            <w:pPr>
              <w:jc w:val="center"/>
            </w:pPr>
            <w:r>
              <w:rPr>
                <w:rFonts w:ascii="宋体" w:hAnsi="宋体" w:eastAsia="宋体"/>
                <w:sz w:val="16"/>
              </w:rPr>
              <w:t>&gt;=4次/户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9E4D">
            <w:pPr>
              <w:jc w:val="center"/>
            </w:pPr>
            <w:r>
              <w:rPr>
                <w:rFonts w:ascii="宋体" w:hAnsi="宋体" w:eastAsia="宋体"/>
                <w:sz w:val="16"/>
              </w:rPr>
              <w:t>=4次/户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5B9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8E31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42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451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6FF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7112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F772F">
            <w:pPr>
              <w:jc w:val="center"/>
            </w:pPr>
          </w:p>
        </w:tc>
      </w:tr>
      <w:tr w14:paraId="31BC07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DDB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5F3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31B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6609B">
            <w:pPr>
              <w:jc w:val="center"/>
            </w:pPr>
            <w:r>
              <w:rPr>
                <w:rFonts w:ascii="宋体" w:hAnsi="宋体" w:eastAsia="宋体"/>
                <w:sz w:val="16"/>
              </w:rPr>
              <w:t>老干部上门理发次数（次/户）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733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05EC7">
            <w:pPr>
              <w:jc w:val="center"/>
            </w:pPr>
            <w:r>
              <w:rPr>
                <w:rFonts w:ascii="宋体" w:hAnsi="宋体" w:eastAsia="宋体"/>
                <w:sz w:val="16"/>
              </w:rPr>
              <w:t>&gt;=12次/户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9DEF">
            <w:pPr>
              <w:jc w:val="center"/>
            </w:pPr>
            <w:r>
              <w:rPr>
                <w:rFonts w:ascii="宋体" w:hAnsi="宋体" w:eastAsia="宋体"/>
                <w:sz w:val="16"/>
              </w:rPr>
              <w:t>=12次/户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33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240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52E4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60C0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5A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936E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45785">
            <w:pPr>
              <w:jc w:val="center"/>
            </w:pPr>
          </w:p>
        </w:tc>
      </w:tr>
      <w:tr w14:paraId="480EFC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8D1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56B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F35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EB4EC">
            <w:pPr>
              <w:jc w:val="center"/>
            </w:pPr>
            <w:r>
              <w:rPr>
                <w:rFonts w:ascii="宋体" w:hAnsi="宋体" w:eastAsia="宋体"/>
                <w:sz w:val="16"/>
              </w:rPr>
              <w:t>绿化维修改造活动场所次数（次）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1B7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691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D257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E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98F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02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4A31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95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FEE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CA357">
            <w:pPr>
              <w:jc w:val="center"/>
            </w:pPr>
          </w:p>
        </w:tc>
      </w:tr>
      <w:tr w14:paraId="22F05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6D9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B9EC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3D0B8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0868">
            <w:pPr>
              <w:jc w:val="center"/>
            </w:pPr>
            <w:r>
              <w:rPr>
                <w:rFonts w:ascii="宋体" w:hAnsi="宋体" w:eastAsia="宋体"/>
                <w:sz w:val="16"/>
              </w:rPr>
              <w:t>家庭医生覆盖率（%）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01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CC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CB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C05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EE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921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61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BF7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DA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8F02">
            <w:pPr>
              <w:jc w:val="center"/>
            </w:pPr>
          </w:p>
        </w:tc>
      </w:tr>
      <w:tr w14:paraId="6C4107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B60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EA4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74D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858F">
            <w:pPr>
              <w:jc w:val="center"/>
            </w:pPr>
            <w:r>
              <w:rPr>
                <w:rFonts w:ascii="宋体" w:hAnsi="宋体" w:eastAsia="宋体"/>
                <w:sz w:val="16"/>
              </w:rPr>
              <w:t>走访慰问对象覆盖率（%）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87D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E4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D09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27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463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4FB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AB2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A93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55B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0802">
            <w:pPr>
              <w:jc w:val="center"/>
            </w:pPr>
          </w:p>
        </w:tc>
      </w:tr>
      <w:tr w14:paraId="59B9A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96C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D68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F236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5F4A9">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8FD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D6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1B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7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A8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3A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8F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F5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D0B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41C57">
            <w:pPr>
              <w:jc w:val="center"/>
            </w:pPr>
          </w:p>
        </w:tc>
      </w:tr>
      <w:tr w14:paraId="61346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6644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EAC18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827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27A8">
            <w:pPr>
              <w:jc w:val="center"/>
            </w:pPr>
            <w:r>
              <w:rPr>
                <w:rFonts w:ascii="宋体" w:hAnsi="宋体" w:eastAsia="宋体"/>
                <w:sz w:val="16"/>
              </w:rPr>
              <w:t>开展各项活动成本（万元）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825A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926ED">
            <w:pPr>
              <w:jc w:val="center"/>
            </w:pPr>
            <w:r>
              <w:rPr>
                <w:rFonts w:ascii="宋体" w:hAnsi="宋体" w:eastAsia="宋体"/>
                <w:sz w:val="16"/>
              </w:rPr>
              <w:t>&lt;=4.84万元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588C">
            <w:pPr>
              <w:jc w:val="center"/>
            </w:pPr>
            <w:r>
              <w:rPr>
                <w:rFonts w:ascii="宋体" w:hAnsi="宋体" w:eastAsia="宋体"/>
                <w:sz w:val="16"/>
              </w:rPr>
              <w:t>=4.84万元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D30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6829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A16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448D4">
            <w:pPr>
              <w:jc w:val="center"/>
            </w:pPr>
            <w:r>
              <w:rPr>
                <w:rFonts w:ascii="宋体" w:hAnsi="宋体" w:eastAsia="宋体"/>
                <w:sz w:val="16"/>
              </w:rPr>
              <w:t>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06C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F99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DCD44">
            <w:pPr>
              <w:jc w:val="center"/>
            </w:pPr>
            <w:r>
              <w:rPr>
                <w:rFonts w:ascii="宋体" w:hAnsi="宋体" w:eastAsia="宋体"/>
                <w:sz w:val="16"/>
              </w:rPr>
              <w:t>随着老干部年龄逐渐增大，各类基础性疾病增多，导致部分老干部无法正常参加组织的各类活动，参加人员减少导致经费使用减少。</w:t>
            </w:r>
          </w:p>
        </w:tc>
      </w:tr>
      <w:tr w14:paraId="21251F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483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9AE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D6D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18A1">
            <w:pPr>
              <w:jc w:val="center"/>
            </w:pPr>
            <w:r>
              <w:rPr>
                <w:rFonts w:ascii="宋体" w:hAnsi="宋体" w:eastAsia="宋体"/>
                <w:sz w:val="16"/>
              </w:rPr>
              <w:t>走访、慰问成本（万元）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8B99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FCF2">
            <w:pPr>
              <w:jc w:val="center"/>
            </w:pPr>
            <w:r>
              <w:rPr>
                <w:rFonts w:ascii="宋体" w:hAnsi="宋体" w:eastAsia="宋体"/>
                <w:sz w:val="16"/>
              </w:rPr>
              <w:t>&lt;=7.54万元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FC69">
            <w:pPr>
              <w:jc w:val="center"/>
            </w:pPr>
            <w:r>
              <w:rPr>
                <w:rFonts w:ascii="宋体" w:hAnsi="宋体" w:eastAsia="宋体"/>
                <w:sz w:val="16"/>
              </w:rPr>
              <w: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2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7AF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D9A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E36B4">
            <w:pPr>
              <w:jc w:val="center"/>
            </w:pPr>
            <w:r>
              <w:rPr>
                <w:rFonts w:ascii="宋体" w:hAnsi="宋体" w:eastAsia="宋体"/>
                <w:sz w:val="16"/>
              </w:rPr>
              <w:t>11.24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45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3B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4C4AC">
            <w:pPr>
              <w:jc w:val="center"/>
            </w:pPr>
          </w:p>
        </w:tc>
      </w:tr>
      <w:tr w14:paraId="2A77C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4D6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747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E7D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577D7">
            <w:pPr>
              <w:jc w:val="center"/>
            </w:pPr>
            <w:r>
              <w:rPr>
                <w:rFonts w:ascii="宋体" w:hAnsi="宋体" w:eastAsia="宋体"/>
                <w:sz w:val="16"/>
              </w:rPr>
              <w:t>家庭医生入户成本（万元）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D717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226FC">
            <w:pPr>
              <w:jc w:val="center"/>
            </w:pPr>
            <w:r>
              <w:rPr>
                <w:rFonts w:ascii="宋体" w:hAnsi="宋体" w:eastAsia="宋体"/>
                <w:sz w:val="16"/>
              </w:rPr>
              <w:t>&lt;=3.06万元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441FE">
            <w:pPr>
              <w:jc w:val="center"/>
            </w:pPr>
            <w:r>
              <w:rPr>
                <w:rFonts w:ascii="宋体" w:hAnsi="宋体" w:eastAsia="宋体"/>
                <w:sz w:val="16"/>
              </w:rPr>
              <w:t>=3.06万元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4B2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354E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27E7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C246F">
            <w:pPr>
              <w:jc w:val="center"/>
            </w:pPr>
            <w:r>
              <w:rPr>
                <w:rFonts w:ascii="宋体" w:hAnsi="宋体" w:eastAsia="宋体"/>
                <w:sz w:val="16"/>
              </w:rPr>
              <w:t>3.06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775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559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4159">
            <w:pPr>
              <w:jc w:val="center"/>
            </w:pPr>
          </w:p>
        </w:tc>
      </w:tr>
      <w:tr w14:paraId="6CD7BC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89B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E7D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748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A8FE">
            <w:pPr>
              <w:jc w:val="center"/>
            </w:pPr>
            <w:r>
              <w:rPr>
                <w:rFonts w:ascii="宋体" w:hAnsi="宋体" w:eastAsia="宋体"/>
                <w:sz w:val="16"/>
              </w:rPr>
              <w:t>老干部家庭入户保洁成本（万元）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3F0B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BDE7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3772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300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F20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479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032C">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8D8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374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5C04B">
            <w:pPr>
              <w:jc w:val="center"/>
            </w:pPr>
          </w:p>
        </w:tc>
      </w:tr>
      <w:tr w14:paraId="2A5C59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003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729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EDC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7ADA2">
            <w:pPr>
              <w:jc w:val="center"/>
            </w:pPr>
            <w:r>
              <w:rPr>
                <w:rFonts w:ascii="宋体" w:hAnsi="宋体" w:eastAsia="宋体"/>
                <w:sz w:val="16"/>
              </w:rPr>
              <w:t>养老小管家维护成本（万元）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5FF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7C25">
            <w:pPr>
              <w:jc w:val="center"/>
            </w:pPr>
            <w:r>
              <w:rPr>
                <w:rFonts w:ascii="宋体" w:hAnsi="宋体" w:eastAsia="宋体"/>
                <w:sz w:val="16"/>
              </w:rPr>
              <w:t>&lt;=1.40万元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08E80">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2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AF80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EF6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1C42">
            <w:pPr>
              <w:jc w:val="center"/>
            </w:pPr>
            <w:r>
              <w:rPr>
                <w:rFonts w:ascii="宋体" w:hAnsi="宋体" w:eastAsia="宋体"/>
                <w:sz w:val="16"/>
              </w:rPr>
              <w:t>1.60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201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5A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77F3A">
            <w:pPr>
              <w:jc w:val="center"/>
            </w:pPr>
          </w:p>
        </w:tc>
      </w:tr>
      <w:tr w14:paraId="0EA5C0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AF1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5CB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F37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8350F">
            <w:pPr>
              <w:jc w:val="center"/>
            </w:pPr>
            <w:r>
              <w:rPr>
                <w:rFonts w:ascii="宋体" w:hAnsi="宋体" w:eastAsia="宋体"/>
                <w:sz w:val="16"/>
              </w:rPr>
              <w:t>绿化维修改造成本（万元）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031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0F0D7">
            <w:pPr>
              <w:jc w:val="center"/>
            </w:pPr>
            <w:r>
              <w:rPr>
                <w:rFonts w:ascii="宋体" w:hAnsi="宋体" w:eastAsia="宋体"/>
                <w:sz w:val="16"/>
              </w:rPr>
              <w:t>&lt;=4.95万元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99DC">
            <w:pPr>
              <w:jc w:val="center"/>
            </w:pPr>
            <w:r>
              <w:rPr>
                <w:rFonts w:ascii="宋体" w:hAnsi="宋体" w:eastAsia="宋体"/>
                <w:sz w:val="16"/>
              </w:rPr>
              <w:t>=4.95万元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2E5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3595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3B2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3D14">
            <w:pPr>
              <w:jc w:val="center"/>
            </w:pPr>
            <w:r>
              <w:rPr>
                <w:rFonts w:ascii="宋体" w:hAnsi="宋体" w:eastAsia="宋体"/>
                <w:sz w:val="16"/>
              </w:rPr>
              <w:t>2.28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238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17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7F833">
            <w:pPr>
              <w:jc w:val="center"/>
            </w:pPr>
          </w:p>
        </w:tc>
      </w:tr>
      <w:tr w14:paraId="5A6C7E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80F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497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F8AE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7A5B3">
            <w:pPr>
              <w:jc w:val="center"/>
            </w:pPr>
            <w:r>
              <w:rPr>
                <w:rFonts w:ascii="宋体" w:hAnsi="宋体" w:eastAsia="宋体"/>
                <w:sz w:val="16"/>
              </w:rPr>
              <w:t>保障老干部的身心健康、生活质量和良好的精神风貌。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3196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57F92">
            <w:pPr>
              <w:jc w:val="center"/>
            </w:pPr>
            <w:r>
              <w:rPr>
                <w:rFonts w:ascii="宋体" w:hAnsi="宋体" w:eastAsia="宋体"/>
                <w:sz w:val="16"/>
              </w:rPr>
              <w:t>得到保障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D152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3C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02F1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19E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6F370">
            <w:pPr>
              <w:jc w:val="center"/>
            </w:pPr>
            <w:r>
              <w:rPr>
                <w:rFonts w:ascii="宋体" w:hAnsi="宋体" w:eastAsia="宋体"/>
                <w:sz w:val="16"/>
              </w:rPr>
              <w:t>得到保障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2E9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63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91FBD">
            <w:pPr>
              <w:jc w:val="center"/>
            </w:pPr>
          </w:p>
        </w:tc>
      </w:tr>
      <w:tr w14:paraId="6391AB7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E3D0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55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E51E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703A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5B1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5701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5EF6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F5A0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FF1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98A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775D89"/>
        </w:tc>
      </w:tr>
    </w:tbl>
    <w:p w14:paraId="31790680">
      <w:r>
        <w:br w:type="page"/>
      </w:r>
    </w:p>
    <w:p w14:paraId="44D869A6">
      <w:pPr>
        <w:spacing w:line="640" w:lineRule="exact"/>
        <w:ind w:firstLine="640"/>
        <w:jc w:val="both"/>
        <w:outlineLvl w:val="2"/>
      </w:pPr>
      <w:r>
        <w:rPr>
          <w:rFonts w:ascii="黑体" w:hAnsi="黑体" w:eastAsia="黑体"/>
          <w:sz w:val="32"/>
        </w:rPr>
        <w:t>十二、其他需说明的事项</w:t>
      </w:r>
    </w:p>
    <w:p w14:paraId="425CF674">
      <w:pPr>
        <w:spacing w:line="580" w:lineRule="exact"/>
        <w:ind w:firstLine="640"/>
        <w:jc w:val="both"/>
      </w:pPr>
      <w:r>
        <w:rPr>
          <w:rFonts w:ascii="仿宋_GB2312" w:hAnsi="仿宋_GB2312" w:eastAsia="仿宋_GB2312"/>
          <w:b w:val="0"/>
          <w:sz w:val="32"/>
        </w:rPr>
        <w:t>本单位无其他需说明的事项。</w:t>
      </w:r>
    </w:p>
    <w:p w14:paraId="406BFE00">
      <w:r>
        <w:br w:type="page"/>
      </w:r>
    </w:p>
    <w:p w14:paraId="430440B5">
      <w:pPr>
        <w:spacing w:line="240" w:lineRule="auto"/>
        <w:jc w:val="center"/>
        <w:outlineLvl w:val="1"/>
      </w:pPr>
      <w:r>
        <w:rPr>
          <w:rFonts w:ascii="黑体" w:hAnsi="黑体" w:eastAsia="黑体"/>
          <w:sz w:val="32"/>
        </w:rPr>
        <w:t>第三部分 专业名词解释</w:t>
      </w:r>
    </w:p>
    <w:p w14:paraId="4C2AD92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1BBAA3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894E48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69FF38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A3687C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B55BC4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1F568F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43FDD3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1AD5B7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DA74DC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953FB1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11B0ED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A3C37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EE4050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1DBA6A">
      <w:r>
        <w:br w:type="page"/>
      </w:r>
    </w:p>
    <w:p w14:paraId="53D729BA">
      <w:pPr>
        <w:spacing w:line="240" w:lineRule="auto"/>
        <w:jc w:val="center"/>
        <w:outlineLvl w:val="1"/>
      </w:pPr>
      <w:r>
        <w:rPr>
          <w:rFonts w:ascii="黑体" w:hAnsi="黑体" w:eastAsia="黑体"/>
          <w:sz w:val="32"/>
        </w:rPr>
        <w:t>第四部分 部门决算报表（见附表）</w:t>
      </w:r>
    </w:p>
    <w:p w14:paraId="6888B08F">
      <w:pPr>
        <w:spacing w:line="240" w:lineRule="auto"/>
        <w:ind w:firstLine="640"/>
        <w:jc w:val="both"/>
      </w:pPr>
      <w:r>
        <w:rPr>
          <w:rFonts w:ascii="仿宋_GB2312" w:hAnsi="仿宋_GB2312" w:eastAsia="仿宋_GB2312"/>
          <w:b w:val="0"/>
          <w:sz w:val="32"/>
        </w:rPr>
        <w:t>一、《收入支出决算总表》</w:t>
      </w:r>
    </w:p>
    <w:p w14:paraId="2832C77A">
      <w:pPr>
        <w:spacing w:line="240" w:lineRule="auto"/>
        <w:ind w:firstLine="640"/>
        <w:jc w:val="both"/>
      </w:pPr>
      <w:r>
        <w:rPr>
          <w:rFonts w:ascii="仿宋_GB2312" w:hAnsi="仿宋_GB2312" w:eastAsia="仿宋_GB2312"/>
          <w:b w:val="0"/>
          <w:sz w:val="32"/>
        </w:rPr>
        <w:t>二、《收入决算表》</w:t>
      </w:r>
    </w:p>
    <w:p w14:paraId="66E00F07">
      <w:pPr>
        <w:spacing w:line="240" w:lineRule="auto"/>
        <w:ind w:firstLine="640"/>
        <w:jc w:val="both"/>
      </w:pPr>
      <w:r>
        <w:rPr>
          <w:rFonts w:ascii="仿宋_GB2312" w:hAnsi="仿宋_GB2312" w:eastAsia="仿宋_GB2312"/>
          <w:b w:val="0"/>
          <w:sz w:val="32"/>
        </w:rPr>
        <w:t>三、《支出决算表》</w:t>
      </w:r>
    </w:p>
    <w:p w14:paraId="786556B7">
      <w:pPr>
        <w:spacing w:line="240" w:lineRule="auto"/>
        <w:ind w:firstLine="640"/>
        <w:jc w:val="both"/>
      </w:pPr>
      <w:r>
        <w:rPr>
          <w:rFonts w:ascii="仿宋_GB2312" w:hAnsi="仿宋_GB2312" w:eastAsia="仿宋_GB2312"/>
          <w:b w:val="0"/>
          <w:sz w:val="32"/>
        </w:rPr>
        <w:t>四、《财政拨款收入支出决算总表》</w:t>
      </w:r>
    </w:p>
    <w:p w14:paraId="4A9DA6F8">
      <w:pPr>
        <w:spacing w:line="240" w:lineRule="auto"/>
        <w:ind w:firstLine="640"/>
        <w:jc w:val="both"/>
      </w:pPr>
      <w:r>
        <w:rPr>
          <w:rFonts w:ascii="仿宋_GB2312" w:hAnsi="仿宋_GB2312" w:eastAsia="仿宋_GB2312"/>
          <w:b w:val="0"/>
          <w:sz w:val="32"/>
        </w:rPr>
        <w:t>五、《一般公共预算财政拨款支出决算表》</w:t>
      </w:r>
    </w:p>
    <w:p w14:paraId="3C42533B">
      <w:pPr>
        <w:spacing w:line="240" w:lineRule="auto"/>
        <w:ind w:firstLine="640"/>
        <w:jc w:val="both"/>
      </w:pPr>
      <w:r>
        <w:rPr>
          <w:rFonts w:ascii="仿宋_GB2312" w:hAnsi="仿宋_GB2312" w:eastAsia="仿宋_GB2312"/>
          <w:b w:val="0"/>
          <w:sz w:val="32"/>
        </w:rPr>
        <w:t>六、《一般公共预算财政拨款基本支出决算表》</w:t>
      </w:r>
    </w:p>
    <w:p w14:paraId="08E8F7F7">
      <w:pPr>
        <w:spacing w:line="240" w:lineRule="auto"/>
        <w:ind w:firstLine="640"/>
        <w:jc w:val="both"/>
      </w:pPr>
      <w:r>
        <w:rPr>
          <w:rFonts w:ascii="仿宋_GB2312" w:hAnsi="仿宋_GB2312" w:eastAsia="仿宋_GB2312"/>
          <w:b w:val="0"/>
          <w:sz w:val="32"/>
        </w:rPr>
        <w:t>七、《政府性基金预算财政拨款收入支出决算表》</w:t>
      </w:r>
    </w:p>
    <w:p w14:paraId="1D359EFD">
      <w:pPr>
        <w:spacing w:line="240" w:lineRule="auto"/>
        <w:ind w:firstLine="640"/>
        <w:jc w:val="both"/>
      </w:pPr>
      <w:r>
        <w:rPr>
          <w:rFonts w:ascii="仿宋_GB2312" w:hAnsi="仿宋_GB2312" w:eastAsia="仿宋_GB2312"/>
          <w:b w:val="0"/>
          <w:sz w:val="32"/>
        </w:rPr>
        <w:t>八、《国有资本经营预算财政拨款收入支出决算表》</w:t>
      </w:r>
    </w:p>
    <w:p w14:paraId="50DD3104">
      <w:pPr>
        <w:spacing w:line="240" w:lineRule="auto"/>
        <w:ind w:firstLine="640"/>
        <w:jc w:val="both"/>
      </w:pPr>
      <w:r>
        <w:rPr>
          <w:rFonts w:ascii="仿宋_GB2312" w:hAnsi="仿宋_GB2312" w:eastAsia="仿宋_GB2312"/>
          <w:b w:val="0"/>
          <w:sz w:val="32"/>
        </w:rPr>
        <w:t>九、《财政拨款“三公”经费支出决算表》</w:t>
      </w:r>
    </w:p>
    <w:p w14:paraId="4FE032B3">
      <w:pPr>
        <w:spacing w:line="240" w:lineRule="auto"/>
        <w:ind w:firstLine="640"/>
        <w:jc w:val="both"/>
      </w:pPr>
    </w:p>
    <w:p w14:paraId="785C159F">
      <w:pPr>
        <w:spacing w:line="240" w:lineRule="auto"/>
        <w:ind w:firstLine="640"/>
        <w:jc w:val="both"/>
      </w:pPr>
    </w:p>
    <w:p w14:paraId="3A49C05A">
      <w:pPr>
        <w:spacing w:line="240" w:lineRule="auto"/>
        <w:ind w:firstLine="640"/>
        <w:jc w:val="both"/>
      </w:pPr>
    </w:p>
    <w:p w14:paraId="4F74DD83">
      <w:pPr>
        <w:spacing w:line="240" w:lineRule="auto"/>
        <w:ind w:firstLine="640"/>
        <w:jc w:val="both"/>
      </w:pPr>
    </w:p>
    <w:p w14:paraId="3447A48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5ED682-D43E-4B2C-BC95-B3FE6AC58D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EF09C28-1ADA-4B33-807A-6532626E6446}"/>
  </w:font>
  <w:font w:name="仿宋_GB2312">
    <w:panose1 w:val="02010609030101010101"/>
    <w:charset w:val="86"/>
    <w:family w:val="modern"/>
    <w:pitch w:val="default"/>
    <w:sig w:usb0="00000001" w:usb1="080E0000" w:usb2="00000000" w:usb3="00000000" w:csb0="00040000" w:csb1="00000000"/>
    <w:embedRegular r:id="rId3" w:fontKey="{6ACF615D-6E7E-4CA1-9808-5F7648DB2F31}"/>
  </w:font>
  <w:font w:name="楷体_GB2312">
    <w:panose1 w:val="02010609030101010101"/>
    <w:charset w:val="86"/>
    <w:family w:val="auto"/>
    <w:pitch w:val="default"/>
    <w:sig w:usb0="00000001" w:usb1="080E0000" w:usb2="00000000" w:usb3="00000000" w:csb0="00040000" w:csb1="00000000"/>
    <w:embedRegular r:id="rId4" w:fontKey="{85C320AC-23A0-438C-A8E3-55BE4A50D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AF51840"/>
    <w:rsid w:val="4B4C0111"/>
    <w:rsid w:val="4BB23021"/>
    <w:rsid w:val="4F3F074E"/>
    <w:rsid w:val="50DB5F45"/>
    <w:rsid w:val="52F92565"/>
    <w:rsid w:val="543D17CB"/>
    <w:rsid w:val="55DA564E"/>
    <w:rsid w:val="56E07045"/>
    <w:rsid w:val="583059FA"/>
    <w:rsid w:val="587E6212"/>
    <w:rsid w:val="5AFC6609"/>
    <w:rsid w:val="5CF42B30"/>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4761</Words>
  <Characters>5414</Characters>
  <Lines>0</Lines>
  <Paragraphs>0</Paragraphs>
  <TotalTime>5</TotalTime>
  <ScaleCrop>false</ScaleCrop>
  <LinksUpToDate>false</LinksUpToDate>
  <CharactersWithSpaces>5422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