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4A3D42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昌吉回族自治州儿童福利院2024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309A63A">
      <w:r>
        <w:br w:type="page"/>
      </w:r>
    </w:p>
    <w:p w14:paraId="7DA58C1D">
      <w:pPr>
        <w:spacing w:line="640" w:lineRule="exact"/>
        <w:jc w:val="center"/>
        <w:outlineLvl w:val="1"/>
      </w:pPr>
      <w:r>
        <w:rPr>
          <w:rFonts w:ascii="黑体" w:hAnsi="黑体" w:eastAsia="黑体"/>
          <w:sz w:val="32"/>
        </w:rPr>
        <w:t>第一部分 单位概况</w:t>
      </w:r>
    </w:p>
    <w:p w14:paraId="24171302">
      <w:pPr>
        <w:spacing w:line="640" w:lineRule="exact"/>
        <w:ind w:firstLine="640"/>
        <w:jc w:val="both"/>
        <w:outlineLvl w:val="2"/>
      </w:pPr>
      <w:r>
        <w:rPr>
          <w:rFonts w:ascii="黑体" w:hAnsi="黑体" w:eastAsia="黑体"/>
          <w:sz w:val="32"/>
        </w:rPr>
        <w:t>一、主要职能</w:t>
      </w:r>
    </w:p>
    <w:p w14:paraId="4516B656">
      <w:pPr>
        <w:spacing w:line="580" w:lineRule="exact"/>
        <w:ind w:firstLine="640"/>
        <w:jc w:val="both"/>
      </w:pPr>
      <w:r>
        <w:rPr>
          <w:rFonts w:ascii="仿宋_GB2312" w:hAnsi="仿宋_GB2312" w:eastAsia="仿宋_GB2312"/>
          <w:sz w:val="32"/>
        </w:rPr>
        <w:t>昌吉回族自治州儿童福利院主要职能是收留抚养由民政部门担任监护人的未满18周岁儿童，提供日常生活照料、基本医疗、基本康复等服务，依法保障儿童受教育权利。</w:t>
      </w:r>
    </w:p>
    <w:p w14:paraId="5CD33B5B">
      <w:pPr>
        <w:spacing w:line="640" w:lineRule="exact"/>
        <w:ind w:firstLine="640"/>
        <w:jc w:val="both"/>
        <w:outlineLvl w:val="2"/>
      </w:pPr>
      <w:r>
        <w:rPr>
          <w:rFonts w:ascii="黑体" w:hAnsi="黑体" w:eastAsia="黑体"/>
          <w:sz w:val="32"/>
        </w:rPr>
        <w:t>二、机构设置及人员情况</w:t>
      </w:r>
    </w:p>
    <w:p w14:paraId="74557C3C">
      <w:pPr>
        <w:spacing w:line="580" w:lineRule="exact"/>
        <w:ind w:firstLine="640"/>
        <w:jc w:val="both"/>
      </w:pPr>
      <w:r>
        <w:rPr>
          <w:rFonts w:ascii="仿宋_GB2312" w:hAnsi="仿宋_GB2312" w:eastAsia="仿宋_GB2312"/>
          <w:sz w:val="32"/>
        </w:rPr>
        <w:t>昌吉回族自治州儿童福利院2024年度，实有人数3人，其中：在职人员3人，增加3人；离休人员0人，增加0人；退休人员0人,增加0人。</w:t>
      </w:r>
    </w:p>
    <w:p w14:paraId="5615AD24">
      <w:pPr>
        <w:spacing w:line="580" w:lineRule="exact"/>
        <w:ind w:firstLine="640"/>
        <w:jc w:val="both"/>
      </w:pPr>
      <w:r>
        <w:rPr>
          <w:rFonts w:ascii="仿宋_GB2312" w:hAnsi="仿宋_GB2312" w:eastAsia="仿宋_GB2312"/>
          <w:sz w:val="32"/>
        </w:rPr>
        <w:t>昌吉回族自治州儿童福利院无下属预算单位，下设1个科室，分别是：综合办公室。</w:t>
      </w:r>
    </w:p>
    <w:p w14:paraId="4F89276E">
      <w:r>
        <w:br w:type="page"/>
      </w:r>
    </w:p>
    <w:p w14:paraId="03CE4F88">
      <w:pPr>
        <w:spacing w:line="240" w:lineRule="auto"/>
        <w:jc w:val="center"/>
        <w:outlineLvl w:val="1"/>
      </w:pPr>
      <w:r>
        <w:rPr>
          <w:rFonts w:ascii="黑体" w:hAnsi="黑体" w:eastAsia="黑体"/>
          <w:sz w:val="32"/>
        </w:rPr>
        <w:t>第二部分 部门决算情况说明</w:t>
      </w:r>
    </w:p>
    <w:p w14:paraId="66F42DF9">
      <w:pPr>
        <w:spacing w:line="640" w:lineRule="exact"/>
        <w:ind w:firstLine="640"/>
        <w:jc w:val="both"/>
        <w:outlineLvl w:val="2"/>
      </w:pPr>
      <w:r>
        <w:rPr>
          <w:rFonts w:ascii="黑体" w:hAnsi="黑体" w:eastAsia="黑体"/>
          <w:sz w:val="32"/>
        </w:rPr>
        <w:t>一、收入支出决算总体情况说明</w:t>
      </w:r>
    </w:p>
    <w:p w14:paraId="198138E1">
      <w:pPr>
        <w:spacing w:line="580" w:lineRule="exact"/>
        <w:ind w:firstLine="640"/>
        <w:jc w:val="both"/>
      </w:pPr>
      <w:r>
        <w:rPr>
          <w:rFonts w:ascii="仿宋_GB2312" w:hAnsi="仿宋_GB2312" w:eastAsia="仿宋_GB2312"/>
          <w:b/>
          <w:sz w:val="32"/>
        </w:rPr>
        <w:t>2024年度收入总计15.27万元，</w:t>
      </w:r>
      <w:r>
        <w:rPr>
          <w:rFonts w:ascii="仿宋_GB2312" w:hAnsi="仿宋_GB2312" w:eastAsia="仿宋_GB2312"/>
          <w:b w:val="0"/>
          <w:sz w:val="32"/>
        </w:rPr>
        <w:t>其中：本年收入合计15.27万元，使用非财政拨款结余（含专用结余）0.00万元，年初结转和结余0.00万元。</w:t>
      </w:r>
    </w:p>
    <w:p w14:paraId="0B3765A3">
      <w:pPr>
        <w:spacing w:line="580" w:lineRule="exact"/>
        <w:ind w:firstLine="640"/>
        <w:jc w:val="both"/>
      </w:pPr>
      <w:r>
        <w:rPr>
          <w:rFonts w:ascii="仿宋_GB2312" w:hAnsi="仿宋_GB2312" w:eastAsia="仿宋_GB2312"/>
          <w:b/>
          <w:sz w:val="32"/>
        </w:rPr>
        <w:t>2024年度支出总计15.27万元，</w:t>
      </w:r>
      <w:r>
        <w:rPr>
          <w:rFonts w:ascii="仿宋_GB2312" w:hAnsi="仿宋_GB2312" w:eastAsia="仿宋_GB2312"/>
          <w:b w:val="0"/>
          <w:sz w:val="32"/>
        </w:rPr>
        <w:t>其中：本年支出合计15.27万元，结余分配0.00万元，年末结转和结余0.00万元。</w:t>
      </w:r>
    </w:p>
    <w:p w14:paraId="2B830C63">
      <w:pPr>
        <w:spacing w:line="580" w:lineRule="exact"/>
        <w:ind w:firstLine="640"/>
        <w:jc w:val="both"/>
      </w:pPr>
      <w:r>
        <w:rPr>
          <w:rFonts w:ascii="仿宋_GB2312" w:hAnsi="仿宋_GB2312" w:eastAsia="仿宋_GB2312"/>
          <w:b w:val="0"/>
          <w:sz w:val="32"/>
        </w:rPr>
        <w:t>收入支出总体与上年相比，增加15.27万元，增长100.00%，主要原因是：昌吉回族自治州儿童福利院于2024年9月登记注册，为新成立单位，无上年对比数据。</w:t>
      </w:r>
    </w:p>
    <w:p w14:paraId="4CF3C158">
      <w:pPr>
        <w:spacing w:line="640" w:lineRule="exact"/>
        <w:ind w:firstLine="640"/>
        <w:jc w:val="both"/>
        <w:outlineLvl w:val="2"/>
      </w:pPr>
      <w:r>
        <w:rPr>
          <w:rFonts w:ascii="黑体" w:hAnsi="黑体" w:eastAsia="黑体"/>
          <w:sz w:val="32"/>
        </w:rPr>
        <w:t>二、收入决算情况说明</w:t>
      </w:r>
    </w:p>
    <w:p w14:paraId="4664A8D1">
      <w:pPr>
        <w:spacing w:line="580" w:lineRule="exact"/>
        <w:ind w:firstLine="640"/>
        <w:jc w:val="both"/>
      </w:pPr>
      <w:r>
        <w:rPr>
          <w:rFonts w:ascii="仿宋_GB2312" w:hAnsi="仿宋_GB2312" w:eastAsia="仿宋_GB2312"/>
          <w:b/>
          <w:sz w:val="32"/>
        </w:rPr>
        <w:t>本年收入15.27万元，</w:t>
      </w:r>
      <w:r>
        <w:rPr>
          <w:rFonts w:ascii="仿宋_GB2312" w:hAnsi="仿宋_GB2312" w:eastAsia="仿宋_GB2312"/>
          <w:b w:val="0"/>
          <w:sz w:val="32"/>
        </w:rPr>
        <w:t>其中：财政拨款收入15.27万元，占100.00%；上级补助收入0.00万元，占0.00%；事业收入0.00万元，占0.00%；经营收入0.00万元，占0.00%；附属单位上缴收入0.00万元，占0.00%；其他收入0.00万元，占0.00%。</w:t>
      </w:r>
    </w:p>
    <w:p w14:paraId="2E361AB6">
      <w:pPr>
        <w:spacing w:line="640" w:lineRule="exact"/>
        <w:ind w:firstLine="640"/>
        <w:jc w:val="both"/>
        <w:outlineLvl w:val="2"/>
      </w:pPr>
      <w:r>
        <w:rPr>
          <w:rFonts w:ascii="黑体" w:hAnsi="黑体" w:eastAsia="黑体"/>
          <w:sz w:val="32"/>
        </w:rPr>
        <w:t>三、支出决算情况说明</w:t>
      </w:r>
    </w:p>
    <w:p w14:paraId="5DA9063D">
      <w:pPr>
        <w:spacing w:line="580" w:lineRule="exact"/>
        <w:ind w:firstLine="640"/>
        <w:jc w:val="both"/>
      </w:pPr>
      <w:r>
        <w:rPr>
          <w:rFonts w:ascii="仿宋_GB2312" w:hAnsi="仿宋_GB2312" w:eastAsia="仿宋_GB2312"/>
          <w:b/>
          <w:sz w:val="32"/>
        </w:rPr>
        <w:t>本年支出15.27万元，</w:t>
      </w:r>
      <w:r>
        <w:rPr>
          <w:rFonts w:ascii="仿宋_GB2312" w:hAnsi="仿宋_GB2312" w:eastAsia="仿宋_GB2312"/>
          <w:b w:val="0"/>
          <w:sz w:val="32"/>
        </w:rPr>
        <w:t>其中：基本支出15.27万元，占100.00%；项目支出0.00万元，占0.00%；上缴上级支出0.00万元，占0.00%；经营支出0.00万元，占0.00%；对附属单位补助支出0.00万元，占0.00%。</w:t>
      </w:r>
    </w:p>
    <w:p w14:paraId="2A70AD81">
      <w:pPr>
        <w:spacing w:line="640" w:lineRule="exact"/>
        <w:ind w:firstLine="640"/>
        <w:jc w:val="both"/>
        <w:outlineLvl w:val="2"/>
      </w:pPr>
      <w:r>
        <w:rPr>
          <w:rFonts w:ascii="黑体" w:hAnsi="黑体" w:eastAsia="黑体"/>
          <w:sz w:val="32"/>
        </w:rPr>
        <w:t>四、财政拨款收入支出决算总体情况说明</w:t>
      </w:r>
    </w:p>
    <w:p w14:paraId="59B9A16E">
      <w:pPr>
        <w:spacing w:line="580" w:lineRule="exact"/>
        <w:ind w:firstLine="640"/>
        <w:jc w:val="both"/>
      </w:pPr>
      <w:r>
        <w:rPr>
          <w:rFonts w:ascii="仿宋_GB2312" w:hAnsi="仿宋_GB2312" w:eastAsia="仿宋_GB2312"/>
          <w:b/>
          <w:sz w:val="32"/>
        </w:rPr>
        <w:t>2024年度财政拨款收入总计15.27万元，</w:t>
      </w:r>
      <w:r>
        <w:rPr>
          <w:rFonts w:ascii="仿宋_GB2312" w:hAnsi="仿宋_GB2312" w:eastAsia="仿宋_GB2312"/>
          <w:b w:val="0"/>
          <w:sz w:val="32"/>
        </w:rPr>
        <w:t>其中：年初财政拨款结转和结余0.00万元，本年财政拨款收入15.27万元。</w:t>
      </w:r>
      <w:r>
        <w:rPr>
          <w:rFonts w:ascii="仿宋_GB2312" w:hAnsi="仿宋_GB2312" w:eastAsia="仿宋_GB2312"/>
          <w:b/>
          <w:sz w:val="32"/>
        </w:rPr>
        <w:t>财政拨款支出总计15.27万元，</w:t>
      </w:r>
      <w:r>
        <w:rPr>
          <w:rFonts w:ascii="仿宋_GB2312" w:hAnsi="仿宋_GB2312" w:eastAsia="仿宋_GB2312"/>
          <w:b w:val="0"/>
          <w:sz w:val="32"/>
        </w:rPr>
        <w:t>其中：年末财政拨款结转和结余0.00万元，本年财政拨款支出15.27万元。</w:t>
      </w:r>
    </w:p>
    <w:p w14:paraId="1322252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增加15.27万元，增长100.00%，主要原因是：昌吉回族自治州儿童福利院于2024年9月登记注册，为新成立单位，无上年对比数据。</w:t>
      </w:r>
      <w:r>
        <w:rPr>
          <w:rFonts w:ascii="仿宋_GB2312" w:hAnsi="仿宋_GB2312" w:eastAsia="仿宋_GB2312"/>
          <w:b/>
          <w:sz w:val="32"/>
        </w:rPr>
        <w:t>与年初预算相比，</w:t>
      </w:r>
      <w:r>
        <w:rPr>
          <w:rFonts w:ascii="仿宋_GB2312" w:hAnsi="仿宋_GB2312" w:eastAsia="仿宋_GB2312"/>
          <w:b w:val="0"/>
          <w:sz w:val="32"/>
        </w:rPr>
        <w:t>年初预算数0.00万元，决算数15.27万元，预决算差异率100.00%，主要原因是：昌吉回族自治州儿童福利院于2024年9月登记注册，为新成立单位，年中追加人员经费，导致预决算产生差异。</w:t>
      </w:r>
    </w:p>
    <w:p w14:paraId="1DF6DF85">
      <w:pPr>
        <w:spacing w:line="640" w:lineRule="exact"/>
        <w:ind w:firstLine="640"/>
        <w:jc w:val="both"/>
        <w:outlineLvl w:val="2"/>
      </w:pPr>
      <w:r>
        <w:rPr>
          <w:rFonts w:ascii="黑体" w:hAnsi="黑体" w:eastAsia="黑体"/>
          <w:sz w:val="32"/>
        </w:rPr>
        <w:t>五、一般公共预算财政拨款支出决算情况说明</w:t>
      </w:r>
    </w:p>
    <w:p w14:paraId="32D5EA3F">
      <w:pPr>
        <w:spacing w:line="640" w:lineRule="exact"/>
        <w:ind w:firstLine="640"/>
        <w:jc w:val="both"/>
        <w:outlineLvl w:val="3"/>
      </w:pPr>
      <w:r>
        <w:rPr>
          <w:rFonts w:ascii="楷体_GB2312" w:hAnsi="楷体_GB2312" w:eastAsia="楷体_GB2312"/>
          <w:b/>
          <w:sz w:val="32"/>
        </w:rPr>
        <w:t>（一）一般公共预算财政拨款支出决算总体情况</w:t>
      </w:r>
    </w:p>
    <w:p w14:paraId="09AE5FC2">
      <w:pPr>
        <w:spacing w:line="580" w:lineRule="exact"/>
        <w:ind w:firstLine="640"/>
        <w:jc w:val="both"/>
      </w:pPr>
      <w:r>
        <w:rPr>
          <w:rFonts w:ascii="仿宋_GB2312" w:hAnsi="仿宋_GB2312" w:eastAsia="仿宋_GB2312"/>
          <w:b/>
          <w:sz w:val="32"/>
        </w:rPr>
        <w:t>2024年度一般公共预算财政拨款支出15.27万元，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增加15.27万元，增长100.00%，主要原因是：昌吉回族自治州儿童福利院于2024年9月登记注册，为新成立单位，无上年对比数据。</w:t>
      </w:r>
      <w:r>
        <w:rPr>
          <w:rFonts w:ascii="仿宋_GB2312" w:hAnsi="仿宋_GB2312" w:eastAsia="仿宋_GB2312"/>
          <w:b/>
          <w:sz w:val="32"/>
        </w:rPr>
        <w:t>与年初预算相比,</w:t>
      </w:r>
      <w:r>
        <w:rPr>
          <w:rFonts w:ascii="仿宋_GB2312" w:hAnsi="仿宋_GB2312" w:eastAsia="仿宋_GB2312"/>
          <w:b w:val="0"/>
          <w:sz w:val="32"/>
        </w:rPr>
        <w:t>年初预算数0.00万元，决算数15.27万元，预决算差异率100.00%，主要原因是：昌吉回族自治州儿童福利院于2024年9月登记注册，为新成立单位，年中追加人员经费，导致预决算产生差异。</w:t>
      </w:r>
    </w:p>
    <w:p w14:paraId="02F25535">
      <w:pPr>
        <w:spacing w:line="640" w:lineRule="exact"/>
        <w:ind w:firstLine="640"/>
        <w:jc w:val="both"/>
        <w:outlineLvl w:val="3"/>
      </w:pPr>
      <w:r>
        <w:rPr>
          <w:rFonts w:ascii="楷体_GB2312" w:hAnsi="楷体_GB2312" w:eastAsia="楷体_GB2312"/>
          <w:b/>
          <w:sz w:val="32"/>
        </w:rPr>
        <w:t>（二）一般公共预算财政拨款支出决算结构情况</w:t>
      </w:r>
    </w:p>
    <w:p w14:paraId="33A0B216">
      <w:pPr>
        <w:spacing w:line="580" w:lineRule="exact"/>
        <w:ind w:firstLine="640"/>
        <w:jc w:val="both"/>
      </w:pPr>
      <w:r>
        <w:rPr>
          <w:rFonts w:ascii="仿宋_GB2312" w:hAnsi="仿宋_GB2312" w:eastAsia="仿宋_GB2312"/>
          <w:b w:val="0"/>
          <w:sz w:val="32"/>
        </w:rPr>
        <w:t>1.社会保障和就业支出(类)13.49万元,占88.34%。</w:t>
      </w:r>
    </w:p>
    <w:p w14:paraId="06F51BC8">
      <w:pPr>
        <w:spacing w:line="580" w:lineRule="exact"/>
        <w:ind w:firstLine="640"/>
        <w:jc w:val="both"/>
      </w:pPr>
      <w:r>
        <w:rPr>
          <w:rFonts w:ascii="仿宋_GB2312" w:hAnsi="仿宋_GB2312" w:eastAsia="仿宋_GB2312"/>
          <w:b w:val="0"/>
          <w:sz w:val="32"/>
        </w:rPr>
        <w:t>2.卫生健康支出(类)0.64万元,占4.19%。</w:t>
      </w:r>
    </w:p>
    <w:p w14:paraId="1AF6AEDF">
      <w:pPr>
        <w:spacing w:line="580" w:lineRule="exact"/>
        <w:ind w:firstLine="640"/>
        <w:jc w:val="both"/>
      </w:pPr>
      <w:r>
        <w:rPr>
          <w:rFonts w:ascii="仿宋_GB2312" w:hAnsi="仿宋_GB2312" w:eastAsia="仿宋_GB2312"/>
          <w:b w:val="0"/>
          <w:sz w:val="32"/>
        </w:rPr>
        <w:t>3.住房保障支出(类)1.14万元,占7.47%。</w:t>
      </w:r>
    </w:p>
    <w:p w14:paraId="083725BF">
      <w:pPr>
        <w:spacing w:line="640" w:lineRule="exact"/>
        <w:ind w:firstLine="640"/>
        <w:jc w:val="both"/>
        <w:outlineLvl w:val="3"/>
      </w:pPr>
      <w:r>
        <w:rPr>
          <w:rFonts w:ascii="楷体_GB2312" w:hAnsi="楷体_GB2312" w:eastAsia="楷体_GB2312"/>
          <w:b/>
          <w:sz w:val="32"/>
        </w:rPr>
        <w:t>（三）一般公共预算财政拨款支出决算具体情况</w:t>
      </w:r>
    </w:p>
    <w:p w14:paraId="2EB0C960">
      <w:pPr>
        <w:spacing w:line="580" w:lineRule="exact"/>
        <w:ind w:firstLine="640"/>
        <w:jc w:val="both"/>
      </w:pPr>
      <w:r>
        <w:rPr>
          <w:rFonts w:ascii="仿宋_GB2312" w:hAnsi="仿宋_GB2312" w:eastAsia="仿宋_GB2312"/>
          <w:b w:val="0"/>
          <w:sz w:val="32"/>
        </w:rPr>
        <w:t>1.社会保障和就业支出(类)行政事业单位养老支出(款)机关事业单位基本养老保险缴费支出(项):支出决算数为1.12万元，比上年决算增加1.12万元，增长100.00%,主要原因是：昌吉回族自治州儿童福利院于2024年9月登记注册，为新成立单位，无上年对比数据。</w:t>
      </w:r>
    </w:p>
    <w:p w14:paraId="052BC08B">
      <w:pPr>
        <w:spacing w:line="580" w:lineRule="exact"/>
        <w:ind w:firstLine="640"/>
        <w:jc w:val="both"/>
      </w:pPr>
      <w:r>
        <w:rPr>
          <w:rFonts w:ascii="仿宋_GB2312" w:hAnsi="仿宋_GB2312" w:eastAsia="仿宋_GB2312"/>
          <w:b w:val="0"/>
          <w:sz w:val="32"/>
        </w:rPr>
        <w:t>2.社会保障和就业支出(类)行政事业单位养老支出(款)机关事业单位职业年金缴费支出(项):支出决算数为0.56万元，比上年决算增加0.56万元，增长100.00%,主要原因是：昌吉回族自治州儿童福利院于2024年9月登记注册，为新成立单位，无上年对比数据。</w:t>
      </w:r>
    </w:p>
    <w:p w14:paraId="7BA21DA0">
      <w:pPr>
        <w:spacing w:line="580" w:lineRule="exact"/>
        <w:ind w:firstLine="640"/>
        <w:jc w:val="both"/>
      </w:pPr>
      <w:r>
        <w:rPr>
          <w:rFonts w:ascii="仿宋_GB2312" w:hAnsi="仿宋_GB2312" w:eastAsia="仿宋_GB2312"/>
          <w:b w:val="0"/>
          <w:sz w:val="32"/>
        </w:rPr>
        <w:t>3.社会保障和就业支出(类)社会福利(款)社会福利事业单位(项):支出决算数为11.82万元，比上年决算增加11.82万元，增长100.00%,主要原因是：昌吉回族自治州儿童福利院于2024年9月登记注册，为新成立单位，无上年对比数据。</w:t>
      </w:r>
    </w:p>
    <w:p w14:paraId="09E7BF33">
      <w:pPr>
        <w:spacing w:line="580" w:lineRule="exact"/>
        <w:ind w:firstLine="640"/>
        <w:jc w:val="both"/>
      </w:pPr>
      <w:r>
        <w:rPr>
          <w:rFonts w:ascii="仿宋_GB2312" w:hAnsi="仿宋_GB2312" w:eastAsia="仿宋_GB2312"/>
          <w:b w:val="0"/>
          <w:sz w:val="32"/>
        </w:rPr>
        <w:t>4.卫生健康支出(类)行政事业单位医疗(款)事业单位医疗(项):支出决算数为0.56万元，比上年决算增加0.56万元，增长100.00%,主要原因是：昌吉回族自治州儿童福利院于2024年9月登记注册，为新成立单位，无上年对比数据。</w:t>
      </w:r>
    </w:p>
    <w:p w14:paraId="11E5E9CE">
      <w:pPr>
        <w:spacing w:line="580" w:lineRule="exact"/>
        <w:ind w:firstLine="640"/>
        <w:jc w:val="both"/>
      </w:pPr>
      <w:r>
        <w:rPr>
          <w:rFonts w:ascii="仿宋_GB2312" w:hAnsi="仿宋_GB2312" w:eastAsia="仿宋_GB2312"/>
          <w:b w:val="0"/>
          <w:sz w:val="32"/>
        </w:rPr>
        <w:t>5.卫生健康支出(类)行政事业单位医疗(款)公务员医疗补助(项):支出决算数为0.03万元，比上年决算增加0.03万元，增长100.00%,主要原因是：昌吉回族自治州儿童福利院于2024年9月登记注册，为新成立单位，无上年对比数据。</w:t>
      </w:r>
    </w:p>
    <w:p w14:paraId="4AA57C26">
      <w:pPr>
        <w:spacing w:line="580" w:lineRule="exact"/>
        <w:ind w:firstLine="640"/>
        <w:jc w:val="both"/>
      </w:pPr>
      <w:r>
        <w:rPr>
          <w:rFonts w:ascii="仿宋_GB2312" w:hAnsi="仿宋_GB2312" w:eastAsia="仿宋_GB2312"/>
          <w:b w:val="0"/>
          <w:sz w:val="32"/>
        </w:rPr>
        <w:t>6.卫生健康支出(类)行政事业单位医疗(款)其他行政事业单位医疗支出(项):支出决算数为0.05万元，比上年决算增加0.05万元，增长100.00%,主要原因是：昌吉回族自治州儿童福利院于2024年9月登记注册，为新成立单位，无上年对比数据。</w:t>
      </w:r>
    </w:p>
    <w:p w14:paraId="7474DCE6">
      <w:pPr>
        <w:spacing w:line="580" w:lineRule="exact"/>
        <w:ind w:firstLine="640"/>
        <w:jc w:val="both"/>
      </w:pPr>
      <w:r>
        <w:rPr>
          <w:rFonts w:ascii="仿宋_GB2312" w:hAnsi="仿宋_GB2312" w:eastAsia="仿宋_GB2312"/>
          <w:b w:val="0"/>
          <w:sz w:val="32"/>
        </w:rPr>
        <w:t>7.住房保障支出(类)住房改革支出(款)住房公积金(项):支出决算数为1.14万元，比上年决算增加1.14万元，增长100.00%,主要原因是：昌吉回族自治州儿童福利院于2024年9月登记注册，为新成立单位，无上年对比数据。</w:t>
      </w:r>
    </w:p>
    <w:p w14:paraId="4E2D486F">
      <w:pPr>
        <w:spacing w:line="640" w:lineRule="exact"/>
        <w:ind w:firstLine="640"/>
        <w:jc w:val="both"/>
        <w:outlineLvl w:val="2"/>
      </w:pPr>
      <w:r>
        <w:rPr>
          <w:rFonts w:ascii="黑体" w:hAnsi="黑体" w:eastAsia="黑体"/>
          <w:sz w:val="32"/>
        </w:rPr>
        <w:t>六、一般公共预算财政拨款基本支出决算情况说明</w:t>
      </w:r>
    </w:p>
    <w:p w14:paraId="12D7CA6A">
      <w:pPr>
        <w:spacing w:line="580" w:lineRule="exact"/>
        <w:ind w:firstLine="640"/>
        <w:jc w:val="both"/>
      </w:pPr>
      <w:r>
        <w:rPr>
          <w:rFonts w:ascii="仿宋_GB2312" w:hAnsi="仿宋_GB2312" w:eastAsia="仿宋_GB2312"/>
          <w:b w:val="0"/>
          <w:sz w:val="32"/>
        </w:rPr>
        <w:t>2024年度一般公共预算财政拨款基本支出15.27万元，其中：</w:t>
      </w:r>
      <w:r>
        <w:rPr>
          <w:rFonts w:ascii="仿宋_GB2312" w:hAnsi="仿宋_GB2312" w:eastAsia="仿宋_GB2312"/>
          <w:b/>
          <w:sz w:val="32"/>
        </w:rPr>
        <w:t>人员经费15.27万元，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包括：基本工资、津贴补贴、奖金、绩效工资、机关事业单位基本养老保险缴费、职业年金缴费、职工基本医疗保险缴费、公务员医疗补助缴费、其他社会保障缴费、住房公积金、生活补助。</w:t>
      </w:r>
    </w:p>
    <w:p w14:paraId="2412A799">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302341C8">
      <w:pPr>
        <w:spacing w:line="640" w:lineRule="exact"/>
        <w:ind w:firstLine="640"/>
        <w:jc w:val="both"/>
        <w:outlineLvl w:val="2"/>
      </w:pPr>
      <w:r>
        <w:rPr>
          <w:rFonts w:ascii="黑体" w:hAnsi="黑体" w:eastAsia="黑体"/>
          <w:sz w:val="32"/>
        </w:rPr>
        <w:t>七、政府性基金预算财政拨款收入支出决算情况说明</w:t>
      </w:r>
    </w:p>
    <w:p w14:paraId="18BB9DB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2A45E60">
      <w:pPr>
        <w:spacing w:line="640" w:lineRule="exact"/>
        <w:ind w:firstLine="640"/>
        <w:jc w:val="both"/>
        <w:outlineLvl w:val="2"/>
      </w:pPr>
      <w:r>
        <w:rPr>
          <w:rFonts w:ascii="黑体" w:hAnsi="黑体" w:eastAsia="黑体"/>
          <w:sz w:val="32"/>
        </w:rPr>
        <w:t>八、国有资本经营预算财政拨款收入支出决算情况说明</w:t>
      </w:r>
    </w:p>
    <w:p w14:paraId="7E02899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6789359">
      <w:pPr>
        <w:spacing w:line="640" w:lineRule="exact"/>
        <w:ind w:firstLine="640"/>
        <w:jc w:val="both"/>
        <w:outlineLvl w:val="2"/>
      </w:pPr>
      <w:r>
        <w:rPr>
          <w:rFonts w:ascii="黑体" w:hAnsi="黑体" w:eastAsia="黑体"/>
          <w:sz w:val="32"/>
        </w:rPr>
        <w:t>九、财政拨款“三公”经费支出决算情况说明</w:t>
      </w:r>
    </w:p>
    <w:p w14:paraId="008D3C59">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2024年未安排财政拨款“三公”经费支出。其中：因公出国（境）费支出0.00万元，占0.00%，比上年增加0.00万元，增长0.00%，主要原因是：2024年未安排因公出国（境）费支出。公务用车购置及运行维护费支出0.00万元，占0.00%，比上年增加0.00万元，增长0.00%，主要原因是：2024年未安排公务用车购置及运行维护费支出。公务接待费支出0.00万元，占0.00%，比上年增加0.00万元，增长0.00%，主要原因是：2024年未安排公务接待费支出。</w:t>
      </w:r>
    </w:p>
    <w:p w14:paraId="1691BD87">
      <w:pPr>
        <w:spacing w:line="580" w:lineRule="exact"/>
        <w:ind w:firstLine="640"/>
        <w:jc w:val="both"/>
      </w:pPr>
      <w:r>
        <w:rPr>
          <w:rFonts w:ascii="仿宋_GB2312" w:hAnsi="仿宋_GB2312" w:eastAsia="仿宋_GB2312"/>
          <w:b/>
          <w:sz w:val="32"/>
        </w:rPr>
        <w:t>具体情况如下：</w:t>
      </w:r>
    </w:p>
    <w:p w14:paraId="3288AAE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72DE6B4">
      <w:pPr>
        <w:spacing w:line="580" w:lineRule="exact"/>
        <w:ind w:firstLine="640"/>
        <w:jc w:val="both"/>
        <w:rPr>
          <w:spacing w:val="-6"/>
          <w:sz w:val="32"/>
        </w:rPr>
      </w:pPr>
      <w:r>
        <w:rPr>
          <w:rFonts w:ascii="仿宋_GB2312" w:hAnsi="仿宋_GB2312" w:eastAsia="仿宋_GB2312"/>
          <w:b w:val="0"/>
          <w:spacing w:val="-6"/>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4E3E172A">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14D750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6FA6A278">
      <w:pPr>
        <w:spacing w:line="640" w:lineRule="exact"/>
        <w:ind w:firstLine="640"/>
        <w:jc w:val="both"/>
        <w:outlineLvl w:val="2"/>
      </w:pPr>
      <w:r>
        <w:rPr>
          <w:rFonts w:ascii="黑体" w:hAnsi="黑体" w:eastAsia="黑体"/>
          <w:sz w:val="32"/>
        </w:rPr>
        <w:t>十、其他重要事项的情况说明</w:t>
      </w:r>
    </w:p>
    <w:p w14:paraId="58861FBE">
      <w:pPr>
        <w:spacing w:line="640" w:lineRule="exact"/>
        <w:ind w:firstLine="640"/>
        <w:jc w:val="both"/>
        <w:outlineLvl w:val="3"/>
      </w:pPr>
      <w:r>
        <w:rPr>
          <w:rFonts w:ascii="楷体_GB2312" w:hAnsi="楷体_GB2312" w:eastAsia="楷体_GB2312"/>
          <w:b/>
          <w:sz w:val="32"/>
        </w:rPr>
        <w:t>（一）机关运行经费及公用经费支出情况</w:t>
      </w:r>
    </w:p>
    <w:p w14:paraId="4255B931">
      <w:pPr>
        <w:spacing w:line="580" w:lineRule="exact"/>
        <w:ind w:firstLine="640"/>
        <w:jc w:val="both"/>
      </w:pPr>
      <w:r>
        <w:rPr>
          <w:rFonts w:ascii="仿宋_GB2312" w:hAnsi="仿宋_GB2312" w:eastAsia="仿宋_GB2312"/>
          <w:b w:val="0"/>
          <w:sz w:val="32"/>
        </w:rPr>
        <w:t>2024年度昌吉回族自治州儿童福利院（事业单位）公用经费支出0.00万元，比上年增加0.00万元，增长0.00%，主要原因是：2024年未安排公用经费支出。</w:t>
      </w:r>
    </w:p>
    <w:p w14:paraId="3EAB02A9">
      <w:pPr>
        <w:spacing w:line="640" w:lineRule="exact"/>
        <w:ind w:firstLine="640"/>
        <w:jc w:val="both"/>
        <w:outlineLvl w:val="3"/>
      </w:pPr>
      <w:r>
        <w:rPr>
          <w:rFonts w:ascii="楷体_GB2312" w:hAnsi="楷体_GB2312" w:eastAsia="楷体_GB2312"/>
          <w:b/>
          <w:sz w:val="32"/>
        </w:rPr>
        <w:t>（二）政府采购情况</w:t>
      </w:r>
    </w:p>
    <w:p w14:paraId="450AAD19">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1B8850E1">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2DAD97D5">
      <w:pPr>
        <w:spacing w:line="640" w:lineRule="exact"/>
        <w:ind w:firstLine="640"/>
        <w:jc w:val="both"/>
        <w:outlineLvl w:val="3"/>
      </w:pPr>
      <w:r>
        <w:rPr>
          <w:rFonts w:ascii="楷体_GB2312" w:hAnsi="楷体_GB2312" w:eastAsia="楷体_GB2312"/>
          <w:b/>
          <w:sz w:val="32"/>
        </w:rPr>
        <w:t>（三）国有资产占用情况说明</w:t>
      </w:r>
    </w:p>
    <w:p w14:paraId="004228D4">
      <w:pPr>
        <w:spacing w:line="580" w:lineRule="exact"/>
        <w:ind w:firstLine="640"/>
        <w:jc w:val="both"/>
      </w:pPr>
      <w:r>
        <w:rPr>
          <w:rFonts w:ascii="仿宋_GB2312" w:hAnsi="仿宋_GB2312" w:eastAsia="仿宋_GB2312"/>
          <w:b w:val="0"/>
          <w:sz w:val="32"/>
        </w:rPr>
        <w:t>截至2024年1</w:t>
      </w:r>
      <w:bookmarkStart w:id="0" w:name="_GoBack"/>
      <w:r>
        <w:rPr>
          <w:rFonts w:ascii="仿宋_GB2312" w:hAnsi="仿宋_GB2312" w:eastAsia="仿宋_GB2312"/>
          <w:b w:val="0"/>
          <w:sz w:val="32"/>
        </w:rPr>
        <w:t>2月31日</w:t>
      </w:r>
      <w:bookmarkEnd w:id="0"/>
      <w:r>
        <w:rPr>
          <w:rFonts w:ascii="仿宋_GB2312" w:hAnsi="仿宋_GB2312" w:eastAsia="仿宋_GB2312"/>
          <w:b w:val="0"/>
          <w:sz w:val="32"/>
        </w:rPr>
        <w:t>，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年无其他用车。单价100万元（含）以上设备（不含车辆）0台（套）。</w:t>
      </w:r>
    </w:p>
    <w:p w14:paraId="11F40095">
      <w:pPr>
        <w:spacing w:line="640" w:lineRule="exact"/>
        <w:ind w:firstLine="640"/>
        <w:jc w:val="both"/>
        <w:outlineLvl w:val="2"/>
      </w:pPr>
      <w:r>
        <w:rPr>
          <w:rFonts w:ascii="黑体" w:hAnsi="黑体" w:eastAsia="黑体"/>
          <w:sz w:val="32"/>
        </w:rPr>
        <w:t>十一、预算绩效的情况说明</w:t>
      </w:r>
    </w:p>
    <w:p w14:paraId="6BCA2326">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本年度本单位无绩效自评项目。发现的问题及原因：本年度本单位无绩效自评项目。下一步改进措施：本年度本单位无绩效自评项目。</w:t>
      </w:r>
    </w:p>
    <w:p w14:paraId="0DC60C47">
      <w:r>
        <w:br w:type="page"/>
      </w:r>
    </w:p>
    <w:p w14:paraId="47934CCE">
      <w:pPr>
        <w:spacing w:line="640" w:lineRule="exact"/>
        <w:ind w:firstLine="640"/>
        <w:jc w:val="both"/>
        <w:outlineLvl w:val="2"/>
      </w:pPr>
      <w:r>
        <w:rPr>
          <w:rFonts w:ascii="黑体" w:hAnsi="黑体" w:eastAsia="黑体"/>
          <w:sz w:val="32"/>
        </w:rPr>
        <w:t>十二、其他需说明的事项</w:t>
      </w:r>
    </w:p>
    <w:p w14:paraId="349CABB4">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3F7D4AF5">
      <w:pPr>
        <w:spacing w:line="580" w:lineRule="exact"/>
        <w:ind w:firstLine="640"/>
        <w:jc w:val="both"/>
      </w:pPr>
      <w:r>
        <w:rPr>
          <w:rFonts w:ascii="仿宋_GB2312" w:hAnsi="仿宋_GB2312" w:eastAsia="仿宋_GB2312"/>
          <w:b w:val="0"/>
          <w:sz w:val="32"/>
        </w:rPr>
        <w:t>本单位本年度为新增单位，无整体绩效自评表。</w:t>
      </w:r>
    </w:p>
    <w:p w14:paraId="07464F21">
      <w:r>
        <w:br w:type="page"/>
      </w:r>
    </w:p>
    <w:p w14:paraId="72ECE22F">
      <w:pPr>
        <w:spacing w:line="240" w:lineRule="auto"/>
        <w:jc w:val="center"/>
        <w:outlineLvl w:val="1"/>
      </w:pPr>
      <w:r>
        <w:rPr>
          <w:rFonts w:ascii="黑体" w:hAnsi="黑体" w:eastAsia="黑体"/>
          <w:sz w:val="32"/>
        </w:rPr>
        <w:t>第三部分 专业名词解释</w:t>
      </w:r>
    </w:p>
    <w:p w14:paraId="799A521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5E4045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D7AAC5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198468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964D630">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7CD083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8A02F6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D612C8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DCD6AD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4F1D1D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7E52852">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69F7A6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7067B4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4DE42D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2B3D6FD">
      <w:r>
        <w:br w:type="page"/>
      </w:r>
    </w:p>
    <w:p w14:paraId="74119C98">
      <w:pPr>
        <w:spacing w:line="240" w:lineRule="auto"/>
        <w:jc w:val="center"/>
        <w:outlineLvl w:val="1"/>
      </w:pPr>
      <w:r>
        <w:rPr>
          <w:rFonts w:ascii="黑体" w:hAnsi="黑体" w:eastAsia="黑体"/>
          <w:sz w:val="32"/>
        </w:rPr>
        <w:t>第四部分 部门决算报表（见附表）</w:t>
      </w:r>
    </w:p>
    <w:p w14:paraId="5B19699A">
      <w:pPr>
        <w:spacing w:line="240" w:lineRule="auto"/>
        <w:ind w:firstLine="640"/>
        <w:jc w:val="both"/>
      </w:pPr>
      <w:r>
        <w:rPr>
          <w:rFonts w:ascii="仿宋_GB2312" w:hAnsi="仿宋_GB2312" w:eastAsia="仿宋_GB2312"/>
          <w:b w:val="0"/>
          <w:sz w:val="32"/>
        </w:rPr>
        <w:t>一、《收入支出决算总表》</w:t>
      </w:r>
    </w:p>
    <w:p w14:paraId="387CE742">
      <w:pPr>
        <w:spacing w:line="240" w:lineRule="auto"/>
        <w:ind w:firstLine="640"/>
        <w:jc w:val="both"/>
      </w:pPr>
      <w:r>
        <w:rPr>
          <w:rFonts w:ascii="仿宋_GB2312" w:hAnsi="仿宋_GB2312" w:eastAsia="仿宋_GB2312"/>
          <w:b w:val="0"/>
          <w:sz w:val="32"/>
        </w:rPr>
        <w:t>二、《收入决算表》</w:t>
      </w:r>
    </w:p>
    <w:p w14:paraId="1F0B6991">
      <w:pPr>
        <w:spacing w:line="240" w:lineRule="auto"/>
        <w:ind w:firstLine="640"/>
        <w:jc w:val="both"/>
      </w:pPr>
      <w:r>
        <w:rPr>
          <w:rFonts w:ascii="仿宋_GB2312" w:hAnsi="仿宋_GB2312" w:eastAsia="仿宋_GB2312"/>
          <w:b w:val="0"/>
          <w:sz w:val="32"/>
        </w:rPr>
        <w:t>三、《支出决算表》</w:t>
      </w:r>
    </w:p>
    <w:p w14:paraId="43DE9ECC">
      <w:pPr>
        <w:spacing w:line="240" w:lineRule="auto"/>
        <w:ind w:firstLine="640"/>
        <w:jc w:val="both"/>
      </w:pPr>
      <w:r>
        <w:rPr>
          <w:rFonts w:ascii="仿宋_GB2312" w:hAnsi="仿宋_GB2312" w:eastAsia="仿宋_GB2312"/>
          <w:b w:val="0"/>
          <w:sz w:val="32"/>
        </w:rPr>
        <w:t>四、《财政拨款收入支出决算总表》</w:t>
      </w:r>
    </w:p>
    <w:p w14:paraId="48E55529">
      <w:pPr>
        <w:spacing w:line="240" w:lineRule="auto"/>
        <w:ind w:firstLine="640"/>
        <w:jc w:val="both"/>
      </w:pPr>
      <w:r>
        <w:rPr>
          <w:rFonts w:ascii="仿宋_GB2312" w:hAnsi="仿宋_GB2312" w:eastAsia="仿宋_GB2312"/>
          <w:b w:val="0"/>
          <w:sz w:val="32"/>
        </w:rPr>
        <w:t>五、《一般公共预算财政拨款支出决算表》</w:t>
      </w:r>
    </w:p>
    <w:p w14:paraId="2B339A90">
      <w:pPr>
        <w:spacing w:line="240" w:lineRule="auto"/>
        <w:ind w:firstLine="640"/>
        <w:jc w:val="both"/>
      </w:pPr>
      <w:r>
        <w:rPr>
          <w:rFonts w:ascii="仿宋_GB2312" w:hAnsi="仿宋_GB2312" w:eastAsia="仿宋_GB2312"/>
          <w:b w:val="0"/>
          <w:sz w:val="32"/>
        </w:rPr>
        <w:t>六、《一般公共预算财政拨款基本支出决算表》</w:t>
      </w:r>
    </w:p>
    <w:p w14:paraId="75B6967B">
      <w:pPr>
        <w:spacing w:line="240" w:lineRule="auto"/>
        <w:ind w:firstLine="640"/>
        <w:jc w:val="both"/>
      </w:pPr>
      <w:r>
        <w:rPr>
          <w:rFonts w:ascii="仿宋_GB2312" w:hAnsi="仿宋_GB2312" w:eastAsia="仿宋_GB2312"/>
          <w:b w:val="0"/>
          <w:sz w:val="32"/>
        </w:rPr>
        <w:t>七、《政府性基金预算财政拨款收入支出决算表》</w:t>
      </w:r>
    </w:p>
    <w:p w14:paraId="356EE538">
      <w:pPr>
        <w:spacing w:line="240" w:lineRule="auto"/>
        <w:ind w:firstLine="640"/>
        <w:jc w:val="both"/>
      </w:pPr>
      <w:r>
        <w:rPr>
          <w:rFonts w:ascii="仿宋_GB2312" w:hAnsi="仿宋_GB2312" w:eastAsia="仿宋_GB2312"/>
          <w:b w:val="0"/>
          <w:sz w:val="32"/>
        </w:rPr>
        <w:t>八、《国有资本经营预算财政拨款收入支出决算表》</w:t>
      </w:r>
    </w:p>
    <w:p w14:paraId="39CDCF2C">
      <w:pPr>
        <w:spacing w:line="240" w:lineRule="auto"/>
        <w:ind w:firstLine="640"/>
        <w:jc w:val="both"/>
      </w:pPr>
      <w:r>
        <w:rPr>
          <w:rFonts w:ascii="仿宋_GB2312" w:hAnsi="仿宋_GB2312" w:eastAsia="仿宋_GB2312"/>
          <w:b w:val="0"/>
          <w:sz w:val="32"/>
        </w:rPr>
        <w:t>九、《财政拨款“三公”经费支出决算表》</w:t>
      </w:r>
    </w:p>
    <w:p w14:paraId="1D3F1DF3">
      <w:pPr>
        <w:spacing w:line="240" w:lineRule="auto"/>
        <w:ind w:firstLine="640"/>
        <w:jc w:val="both"/>
      </w:pPr>
    </w:p>
    <w:p w14:paraId="7EE8B70D">
      <w:pPr>
        <w:spacing w:line="240" w:lineRule="auto"/>
        <w:ind w:firstLine="640"/>
        <w:jc w:val="both"/>
      </w:pPr>
    </w:p>
    <w:p w14:paraId="3BE8E713">
      <w:pPr>
        <w:spacing w:line="240" w:lineRule="auto"/>
        <w:ind w:firstLine="640"/>
        <w:jc w:val="both"/>
      </w:pPr>
    </w:p>
    <w:p w14:paraId="18676A60">
      <w:pPr>
        <w:spacing w:line="240" w:lineRule="auto"/>
        <w:ind w:firstLine="640"/>
        <w:jc w:val="both"/>
      </w:pPr>
    </w:p>
    <w:p w14:paraId="6AD2911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B22B95-F0C1-4009-9F33-3C6C39CCBE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FE1BE57C-41E4-47EA-AA95-C27161857417}"/>
  </w:font>
  <w:font w:name="仿宋_GB2312">
    <w:panose1 w:val="02010609030101010101"/>
    <w:charset w:val="86"/>
    <w:family w:val="modern"/>
    <w:pitch w:val="default"/>
    <w:sig w:usb0="00000001" w:usb1="080E0000" w:usb2="00000000" w:usb3="00000000" w:csb0="00040000" w:csb1="00000000"/>
    <w:embedRegular r:id="rId3" w:fontKey="{291F8E60-8AB5-4188-9073-38E32D5B3AA5}"/>
  </w:font>
  <w:font w:name="楷体_GB2312">
    <w:panose1 w:val="02010609030101010101"/>
    <w:charset w:val="86"/>
    <w:family w:val="auto"/>
    <w:pitch w:val="default"/>
    <w:sig w:usb0="00000001" w:usb1="080E0000" w:usb2="00000000" w:usb3="00000000" w:csb0="00040000" w:csb1="00000000"/>
    <w:embedRegular r:id="rId4" w:fontKey="{6844FFE8-4EEB-4386-9D77-502B9BCEAF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335888"/>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30E710A"/>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5022</Words>
  <Characters>5639</Characters>
  <Lines>0</Lines>
  <Paragraphs>0</Paragraphs>
  <TotalTime>10</TotalTime>
  <ScaleCrop>false</ScaleCrop>
  <LinksUpToDate>false</LinksUpToDate>
  <CharactersWithSpaces>5649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2025-10-15T05:48:09Z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