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昌吉回族自治州对口援疆工作领导小组办公室2024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607F9A2">
      <w:r>
        <w:br w:type="page"/>
      </w:r>
    </w:p>
    <w:p w14:paraId="1F5223AC">
      <w:pPr>
        <w:spacing w:line="640" w:lineRule="exact"/>
        <w:jc w:val="center"/>
        <w:outlineLvl w:val="1"/>
      </w:pPr>
      <w:r>
        <w:rPr>
          <w:rFonts w:ascii="黑体" w:hAnsi="黑体" w:eastAsia="黑体"/>
          <w:sz w:val="32"/>
        </w:rPr>
        <w:t>第一部分 单位概况</w:t>
      </w:r>
    </w:p>
    <w:p w14:paraId="61A910B1">
      <w:pPr>
        <w:spacing w:line="640" w:lineRule="exact"/>
        <w:ind w:firstLine="640"/>
        <w:jc w:val="both"/>
        <w:outlineLvl w:val="2"/>
      </w:pPr>
      <w:r>
        <w:rPr>
          <w:rFonts w:ascii="黑体" w:hAnsi="黑体" w:eastAsia="黑体"/>
          <w:sz w:val="32"/>
        </w:rPr>
        <w:t>一、主要职能</w:t>
      </w:r>
    </w:p>
    <w:p w14:paraId="47879999">
      <w:pPr>
        <w:spacing w:line="580" w:lineRule="exact"/>
        <w:ind w:firstLine="640"/>
        <w:jc w:val="both"/>
      </w:pPr>
      <w:r>
        <w:rPr>
          <w:rFonts w:ascii="仿宋_GB2312" w:hAnsi="仿宋_GB2312" w:eastAsia="仿宋_GB2312"/>
          <w:sz w:val="32"/>
        </w:rPr>
        <w:t>根据《关于成立自治州对口援疆工作领导小组办公室的通知》（昌州党机编发〔2012〕34号），成立昌吉回族自治州对口援疆工作领导小组办公室。</w:t>
      </w:r>
    </w:p>
    <w:p w14:paraId="5BFF5438">
      <w:pPr>
        <w:spacing w:line="580" w:lineRule="exact"/>
        <w:ind w:firstLine="640"/>
        <w:jc w:val="both"/>
      </w:pPr>
      <w:r>
        <w:rPr>
          <w:rFonts w:ascii="仿宋_GB2312" w:hAnsi="仿宋_GB2312" w:eastAsia="仿宋_GB2312"/>
          <w:sz w:val="32"/>
        </w:rPr>
        <w:t>（1）主要负责自治州对口援疆领导小组的日常事务。</w:t>
      </w:r>
    </w:p>
    <w:p w14:paraId="45485002">
      <w:pPr>
        <w:spacing w:line="580" w:lineRule="exact"/>
        <w:ind w:firstLine="640"/>
        <w:jc w:val="both"/>
      </w:pPr>
      <w:r>
        <w:rPr>
          <w:rFonts w:ascii="仿宋_GB2312" w:hAnsi="仿宋_GB2312" w:eastAsia="仿宋_GB2312"/>
          <w:sz w:val="32"/>
        </w:rPr>
        <w:t>（2）主要负责援疆事项的组织协调工作。</w:t>
      </w:r>
    </w:p>
    <w:p w14:paraId="1EC2F75B">
      <w:pPr>
        <w:spacing w:line="640" w:lineRule="exact"/>
        <w:ind w:firstLine="640"/>
        <w:jc w:val="both"/>
        <w:outlineLvl w:val="2"/>
      </w:pPr>
      <w:r>
        <w:rPr>
          <w:rFonts w:ascii="黑体" w:hAnsi="黑体" w:eastAsia="黑体"/>
          <w:sz w:val="32"/>
        </w:rPr>
        <w:t>二、机构设置及人员情况</w:t>
      </w:r>
    </w:p>
    <w:p w14:paraId="267F26B6">
      <w:pPr>
        <w:spacing w:line="580" w:lineRule="exact"/>
        <w:ind w:firstLine="640"/>
        <w:jc w:val="both"/>
      </w:pPr>
      <w:r>
        <w:rPr>
          <w:rFonts w:ascii="仿宋_GB2312" w:hAnsi="仿宋_GB2312" w:eastAsia="仿宋_GB2312"/>
          <w:sz w:val="32"/>
        </w:rPr>
        <w:t>昌吉回族自治州对口援疆工作领导小组办公室2024年度，实有人数6人，其中：在职人员6人，减少2人；离休人员0人，增加0人；退休人员0人,增加0人。</w:t>
      </w:r>
    </w:p>
    <w:p w14:paraId="07219344">
      <w:pPr>
        <w:spacing w:line="580" w:lineRule="exact"/>
        <w:ind w:firstLine="640"/>
        <w:jc w:val="both"/>
      </w:pPr>
      <w:r>
        <w:rPr>
          <w:rFonts w:ascii="仿宋_GB2312" w:hAnsi="仿宋_GB2312" w:eastAsia="仿宋_GB2312"/>
          <w:sz w:val="32"/>
        </w:rPr>
        <w:t>昌吉回族自治州对口援疆工作领导小组办公室无下属预算</w:t>
      </w:r>
      <w:r>
        <w:rPr>
          <w:rFonts w:ascii="仿宋_GB2312" w:hAnsi="仿宋_GB2312" w:eastAsia="仿宋_GB2312"/>
          <w:w w:val="97"/>
          <w:sz w:val="32"/>
        </w:rPr>
        <w:t>单位，下设3个科室，分别是：综合业务科、产业援疆科、项目科。</w:t>
      </w:r>
    </w:p>
    <w:p w14:paraId="0A732110">
      <w:r>
        <w:br w:type="page"/>
      </w:r>
    </w:p>
    <w:p w14:paraId="224C4785">
      <w:pPr>
        <w:spacing w:line="240" w:lineRule="auto"/>
        <w:jc w:val="center"/>
        <w:outlineLvl w:val="1"/>
      </w:pPr>
      <w:r>
        <w:rPr>
          <w:rFonts w:ascii="黑体" w:hAnsi="黑体" w:eastAsia="黑体"/>
          <w:sz w:val="32"/>
        </w:rPr>
        <w:t>第二部分 部门决算情况说明</w:t>
      </w:r>
    </w:p>
    <w:p w14:paraId="355E1F29">
      <w:pPr>
        <w:spacing w:line="640" w:lineRule="exact"/>
        <w:ind w:firstLine="640"/>
        <w:jc w:val="both"/>
        <w:outlineLvl w:val="2"/>
      </w:pPr>
      <w:r>
        <w:rPr>
          <w:rFonts w:ascii="黑体" w:hAnsi="黑体" w:eastAsia="黑体"/>
          <w:sz w:val="32"/>
        </w:rPr>
        <w:t>一、收入支出决算总体情况说明</w:t>
      </w:r>
    </w:p>
    <w:p w14:paraId="322061BA">
      <w:pPr>
        <w:spacing w:line="580" w:lineRule="exact"/>
        <w:ind w:firstLine="640"/>
        <w:jc w:val="both"/>
      </w:pPr>
      <w:r>
        <w:rPr>
          <w:rFonts w:ascii="仿宋_GB2312" w:hAnsi="仿宋_GB2312" w:eastAsia="仿宋_GB2312"/>
          <w:b/>
          <w:sz w:val="32"/>
        </w:rPr>
        <w:t>2024年度收入总计451.67万元，</w:t>
      </w:r>
      <w:r>
        <w:rPr>
          <w:rFonts w:ascii="仿宋_GB2312" w:hAnsi="仿宋_GB2312" w:eastAsia="仿宋_GB2312"/>
          <w:b w:val="0"/>
          <w:sz w:val="32"/>
        </w:rPr>
        <w:t>其中：本年收入合计307.71万元，使用非财政拨款结余（含专用结余）0.00万元，年初结转和结余143.96万元。</w:t>
      </w:r>
    </w:p>
    <w:p w14:paraId="5A951DC0">
      <w:pPr>
        <w:spacing w:line="580" w:lineRule="exact"/>
        <w:ind w:firstLine="640"/>
        <w:jc w:val="both"/>
      </w:pPr>
      <w:r>
        <w:rPr>
          <w:rFonts w:ascii="仿宋_GB2312" w:hAnsi="仿宋_GB2312" w:eastAsia="仿宋_GB2312"/>
          <w:b/>
          <w:sz w:val="32"/>
        </w:rPr>
        <w:t>2024年度支出总计451.67万元，</w:t>
      </w:r>
      <w:r>
        <w:rPr>
          <w:rFonts w:ascii="仿宋_GB2312" w:hAnsi="仿宋_GB2312" w:eastAsia="仿宋_GB2312"/>
          <w:b w:val="0"/>
          <w:sz w:val="32"/>
        </w:rPr>
        <w:t>其中：本年支出合计238.10万元，结余分配0.00万元，年末结转和结余213.57万元。</w:t>
      </w:r>
    </w:p>
    <w:p w14:paraId="734E9CAD">
      <w:pPr>
        <w:spacing w:line="580" w:lineRule="exact"/>
        <w:ind w:firstLine="640"/>
        <w:jc w:val="both"/>
      </w:pPr>
      <w:r>
        <w:rPr>
          <w:rFonts w:ascii="仿宋_GB2312" w:hAnsi="仿宋_GB2312" w:eastAsia="仿宋_GB2312"/>
          <w:b w:val="0"/>
          <w:sz w:val="32"/>
        </w:rPr>
        <w:t>收入支出总体与上年相比，增加91.53万元，增长25.42%，主要原因是：本年昌吉州产业援疆研究项目资金较上年增加。</w:t>
      </w:r>
    </w:p>
    <w:p w14:paraId="6B141B34">
      <w:pPr>
        <w:spacing w:line="640" w:lineRule="exact"/>
        <w:ind w:firstLine="640"/>
        <w:jc w:val="both"/>
        <w:outlineLvl w:val="2"/>
      </w:pPr>
      <w:r>
        <w:rPr>
          <w:rFonts w:ascii="黑体" w:hAnsi="黑体" w:eastAsia="黑体"/>
          <w:sz w:val="32"/>
        </w:rPr>
        <w:t>二、收入决算情况说明</w:t>
      </w:r>
    </w:p>
    <w:p w14:paraId="28977C73">
      <w:pPr>
        <w:spacing w:line="580" w:lineRule="exact"/>
        <w:ind w:firstLine="640"/>
        <w:jc w:val="both"/>
      </w:pPr>
      <w:r>
        <w:rPr>
          <w:rFonts w:ascii="仿宋_GB2312" w:hAnsi="仿宋_GB2312" w:eastAsia="仿宋_GB2312"/>
          <w:b/>
          <w:sz w:val="32"/>
        </w:rPr>
        <w:t>本年收入307.71万元，</w:t>
      </w:r>
      <w:r>
        <w:rPr>
          <w:rFonts w:ascii="仿宋_GB2312" w:hAnsi="仿宋_GB2312" w:eastAsia="仿宋_GB2312"/>
          <w:b w:val="0"/>
          <w:sz w:val="32"/>
        </w:rPr>
        <w:t>其中：财政拨款收入207.05万元，占67.29%；上级补助收入0.00万元，占0.00%；事业收入0.00万元，占0.00%；经营收入0.00万元，占0.00%；附属单位上缴收入0.00万元，占0.00%；其他收入100.66万元，占32.71%。</w:t>
      </w:r>
    </w:p>
    <w:p w14:paraId="72550FD1">
      <w:pPr>
        <w:spacing w:line="640" w:lineRule="exact"/>
        <w:ind w:firstLine="640"/>
        <w:jc w:val="both"/>
        <w:outlineLvl w:val="2"/>
      </w:pPr>
      <w:r>
        <w:rPr>
          <w:rFonts w:ascii="黑体" w:hAnsi="黑体" w:eastAsia="黑体"/>
          <w:sz w:val="32"/>
        </w:rPr>
        <w:t>三、支出决算情况说明</w:t>
      </w:r>
    </w:p>
    <w:p w14:paraId="4B3B1B5C">
      <w:pPr>
        <w:spacing w:line="580" w:lineRule="exact"/>
        <w:ind w:firstLine="640"/>
        <w:jc w:val="both"/>
      </w:pPr>
      <w:r>
        <w:rPr>
          <w:rFonts w:ascii="仿宋_GB2312" w:hAnsi="仿宋_GB2312" w:eastAsia="仿宋_GB2312"/>
          <w:b/>
          <w:sz w:val="32"/>
        </w:rPr>
        <w:t>本年支出238.10万元，</w:t>
      </w:r>
      <w:r>
        <w:rPr>
          <w:rFonts w:ascii="仿宋_GB2312" w:hAnsi="仿宋_GB2312" w:eastAsia="仿宋_GB2312"/>
          <w:b w:val="0"/>
          <w:sz w:val="32"/>
        </w:rPr>
        <w:t>其中：基本支出130.54万元，占54.83%；项目支出107.57万元，占45.18%；上缴上级支出0.00万元，占0.00%；经营支出0.00万元，占0.00%；对附属单位补助支出0.00万元，占0.00%。</w:t>
      </w:r>
    </w:p>
    <w:p w14:paraId="116AE28B">
      <w:pPr>
        <w:spacing w:line="640" w:lineRule="exact"/>
        <w:ind w:firstLine="640"/>
        <w:jc w:val="both"/>
        <w:outlineLvl w:val="2"/>
      </w:pPr>
      <w:r>
        <w:rPr>
          <w:rFonts w:ascii="黑体" w:hAnsi="黑体" w:eastAsia="黑体"/>
          <w:sz w:val="32"/>
        </w:rPr>
        <w:t>四、财政拨款收入支出决算总体情况说明</w:t>
      </w:r>
    </w:p>
    <w:p w14:paraId="5270E3C6">
      <w:pPr>
        <w:spacing w:line="580" w:lineRule="exact"/>
        <w:ind w:firstLine="640"/>
        <w:jc w:val="both"/>
      </w:pPr>
      <w:r>
        <w:rPr>
          <w:rFonts w:ascii="仿宋_GB2312" w:hAnsi="仿宋_GB2312" w:eastAsia="仿宋_GB2312"/>
          <w:b/>
          <w:sz w:val="32"/>
        </w:rPr>
        <w:t>2024年度财政拨款收入总计207.05万元，</w:t>
      </w:r>
      <w:r>
        <w:rPr>
          <w:rFonts w:ascii="仿宋_GB2312" w:hAnsi="仿宋_GB2312" w:eastAsia="仿宋_GB2312"/>
          <w:b w:val="0"/>
          <w:sz w:val="32"/>
        </w:rPr>
        <w:t>其中：年初财政拨款结转和结余0.00万元，本年财政拨款收入207.05万元。</w:t>
      </w:r>
      <w:r>
        <w:rPr>
          <w:rFonts w:ascii="仿宋_GB2312" w:hAnsi="仿宋_GB2312" w:eastAsia="仿宋_GB2312"/>
          <w:b/>
          <w:sz w:val="32"/>
        </w:rPr>
        <w:t>财政拨款支出总计207.05万元，</w:t>
      </w:r>
      <w:r>
        <w:rPr>
          <w:rFonts w:ascii="仿宋_GB2312" w:hAnsi="仿宋_GB2312" w:eastAsia="仿宋_GB2312"/>
          <w:b w:val="0"/>
          <w:sz w:val="32"/>
        </w:rPr>
        <w:t>其中：年末财政拨款结转和结余0.00万元，本年财政拨款支出207.05万元。</w:t>
      </w:r>
    </w:p>
    <w:p w14:paraId="17A6167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减少7.26万元，下降3.39%，主要原因是：本年在职人员减少，人员经费减少；援疆工作经费项目资金较上年减少。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年初预算数233.82万元，决算数207.05万元，预决算差异率-11.45%，主</w:t>
      </w:r>
      <w:r>
        <w:rPr>
          <w:rFonts w:ascii="仿宋_GB2312" w:hAnsi="仿宋_GB2312" w:eastAsia="仿宋_GB2312"/>
          <w:b w:val="0"/>
          <w:w w:val="97"/>
          <w:sz w:val="32"/>
        </w:rPr>
        <w:t>要原因是：年中调减援疆工作经费项目资金，导致预决算产生差异。</w:t>
      </w:r>
    </w:p>
    <w:p w14:paraId="2705B4AA">
      <w:pPr>
        <w:spacing w:line="640" w:lineRule="exact"/>
        <w:ind w:firstLine="640"/>
        <w:jc w:val="both"/>
        <w:outlineLvl w:val="2"/>
      </w:pPr>
      <w:r>
        <w:rPr>
          <w:rFonts w:ascii="黑体" w:hAnsi="黑体" w:eastAsia="黑体"/>
          <w:sz w:val="32"/>
        </w:rPr>
        <w:t>五、一般公共预算财政拨款支出决算情况说明</w:t>
      </w:r>
    </w:p>
    <w:p w14:paraId="4EFB3B57">
      <w:pPr>
        <w:spacing w:line="640" w:lineRule="exact"/>
        <w:ind w:firstLine="640"/>
        <w:jc w:val="both"/>
        <w:outlineLvl w:val="3"/>
      </w:pPr>
      <w:r>
        <w:rPr>
          <w:rFonts w:ascii="楷体_GB2312" w:hAnsi="楷体_GB2312" w:eastAsia="楷体_GB2312"/>
          <w:b/>
          <w:sz w:val="32"/>
        </w:rPr>
        <w:t>（一）一般公共预算财政拨款支出决算总体情况</w:t>
      </w:r>
    </w:p>
    <w:p w14:paraId="22D809C1">
      <w:pPr>
        <w:spacing w:line="580" w:lineRule="exact"/>
        <w:ind w:firstLine="640"/>
        <w:jc w:val="both"/>
      </w:pPr>
      <w:r>
        <w:rPr>
          <w:rFonts w:ascii="仿宋_GB2312" w:hAnsi="仿宋_GB2312" w:eastAsia="仿宋_GB2312"/>
          <w:b/>
          <w:sz w:val="32"/>
        </w:rPr>
        <w:t>2024年度一般公共预算财政拨款支出207.05万元，</w:t>
      </w:r>
      <w:r>
        <w:rPr>
          <w:rFonts w:ascii="仿宋_GB2312" w:hAnsi="仿宋_GB2312" w:eastAsia="仿宋_GB2312"/>
          <w:b w:val="0"/>
          <w:sz w:val="32"/>
        </w:rPr>
        <w:t>占本年支出合计的86.96%。</w:t>
      </w:r>
      <w:r>
        <w:rPr>
          <w:rFonts w:ascii="仿宋_GB2312" w:hAnsi="仿宋_GB2312" w:eastAsia="仿宋_GB2312"/>
          <w:b/>
          <w:sz w:val="32"/>
        </w:rPr>
        <w:t>与上年相比，</w:t>
      </w:r>
      <w:r>
        <w:rPr>
          <w:rFonts w:ascii="仿宋_GB2312" w:hAnsi="仿宋_GB2312" w:eastAsia="仿宋_GB2312"/>
          <w:b w:val="0"/>
          <w:sz w:val="32"/>
        </w:rPr>
        <w:t>减少7.26万元，下降3.39%，主要原因是：本年在职人员减少，人员经费减少；援疆工作经费项目资金较上年减少。</w:t>
      </w:r>
      <w:r>
        <w:rPr>
          <w:rFonts w:ascii="仿宋_GB2312" w:hAnsi="仿宋_GB2312" w:eastAsia="仿宋_GB2312"/>
          <w:b/>
          <w:sz w:val="32"/>
        </w:rPr>
        <w:t>与年初预算相比,</w:t>
      </w:r>
      <w:r>
        <w:rPr>
          <w:rFonts w:ascii="仿宋_GB2312" w:hAnsi="仿宋_GB2312" w:eastAsia="仿宋_GB2312"/>
          <w:b w:val="0"/>
          <w:sz w:val="32"/>
        </w:rPr>
        <w:t>年初预算数233.82万元，决算数207.05万元，预决算差异率-11.45%，主要原因是：年中调减援疆工作经费项目资金，导致预决算产生差异。</w:t>
      </w:r>
    </w:p>
    <w:p w14:paraId="78E2305E">
      <w:pPr>
        <w:spacing w:line="640" w:lineRule="exact"/>
        <w:ind w:firstLine="640"/>
        <w:jc w:val="both"/>
        <w:outlineLvl w:val="3"/>
      </w:pPr>
      <w:r>
        <w:rPr>
          <w:rFonts w:ascii="楷体_GB2312" w:hAnsi="楷体_GB2312" w:eastAsia="楷体_GB2312"/>
          <w:b/>
          <w:sz w:val="32"/>
        </w:rPr>
        <w:t>（二）一般公共预算财政拨款支出决算结构情况</w:t>
      </w:r>
    </w:p>
    <w:p w14:paraId="78619C17">
      <w:pPr>
        <w:spacing w:line="580" w:lineRule="exact"/>
        <w:ind w:firstLine="640"/>
        <w:jc w:val="both"/>
      </w:pPr>
      <w:r>
        <w:rPr>
          <w:rFonts w:ascii="仿宋_GB2312" w:hAnsi="仿宋_GB2312" w:eastAsia="仿宋_GB2312"/>
          <w:b w:val="0"/>
          <w:sz w:val="32"/>
        </w:rPr>
        <w:t>1.一般公共服务支出(类)169.14万元,占81.69%。</w:t>
      </w:r>
    </w:p>
    <w:p w14:paraId="0B5A58FC">
      <w:pPr>
        <w:spacing w:line="580" w:lineRule="exact"/>
        <w:ind w:firstLine="640"/>
        <w:jc w:val="both"/>
      </w:pPr>
      <w:r>
        <w:rPr>
          <w:rFonts w:ascii="仿宋_GB2312" w:hAnsi="仿宋_GB2312" w:eastAsia="仿宋_GB2312"/>
          <w:b w:val="0"/>
          <w:sz w:val="32"/>
        </w:rPr>
        <w:t>2.社会保障和就业支出(类)19.98万元,占9.65%。</w:t>
      </w:r>
    </w:p>
    <w:p w14:paraId="146DF29D">
      <w:pPr>
        <w:spacing w:line="580" w:lineRule="exact"/>
        <w:ind w:firstLine="640"/>
        <w:jc w:val="both"/>
      </w:pPr>
      <w:r>
        <w:rPr>
          <w:rFonts w:ascii="仿宋_GB2312" w:hAnsi="仿宋_GB2312" w:eastAsia="仿宋_GB2312"/>
          <w:b w:val="0"/>
          <w:sz w:val="32"/>
        </w:rPr>
        <w:t>3.卫生健康支出(类)7.12万元,占3.44%。</w:t>
      </w:r>
    </w:p>
    <w:p w14:paraId="134A383C">
      <w:pPr>
        <w:spacing w:line="580" w:lineRule="exact"/>
        <w:ind w:firstLine="640"/>
        <w:jc w:val="both"/>
      </w:pPr>
      <w:r>
        <w:rPr>
          <w:rFonts w:ascii="仿宋_GB2312" w:hAnsi="仿宋_GB2312" w:eastAsia="仿宋_GB2312"/>
          <w:b w:val="0"/>
          <w:sz w:val="32"/>
        </w:rPr>
        <w:t>4.住房保障支出(类)10.80万元,占5.22%。</w:t>
      </w:r>
    </w:p>
    <w:p w14:paraId="4AD296C5">
      <w:pPr>
        <w:spacing w:line="640" w:lineRule="exact"/>
        <w:ind w:firstLine="640"/>
        <w:jc w:val="both"/>
        <w:outlineLvl w:val="3"/>
      </w:pPr>
      <w:r>
        <w:rPr>
          <w:rFonts w:ascii="楷体_GB2312" w:hAnsi="楷体_GB2312" w:eastAsia="楷体_GB2312"/>
          <w:b/>
          <w:sz w:val="32"/>
        </w:rPr>
        <w:t>（三）一般公共预算财政拨款支出决算具体情况</w:t>
      </w:r>
    </w:p>
    <w:p w14:paraId="4925AF58">
      <w:pPr>
        <w:spacing w:line="580" w:lineRule="exact"/>
        <w:ind w:firstLine="640"/>
        <w:jc w:val="both"/>
      </w:pPr>
      <w:r>
        <w:rPr>
          <w:rFonts w:ascii="仿宋_GB2312" w:hAnsi="仿宋_GB2312" w:eastAsia="仿宋_GB2312"/>
          <w:b w:val="0"/>
          <w:sz w:val="32"/>
        </w:rPr>
        <w:t>1.一般公共服务支出(类)发展与改革事务(款)事业运行(项):支出决算数为91.90万元，比上年决算减少11.24万元，下降10.90%,主要原因是：本年在职人员减少，导致人员经费较上年减少。</w:t>
      </w:r>
    </w:p>
    <w:p w14:paraId="2C13F4BE">
      <w:pPr>
        <w:spacing w:line="580" w:lineRule="exact"/>
        <w:ind w:firstLine="640"/>
        <w:jc w:val="both"/>
      </w:pPr>
      <w:r>
        <w:rPr>
          <w:rFonts w:ascii="仿宋_GB2312" w:hAnsi="仿宋_GB2312" w:eastAsia="仿宋_GB2312"/>
          <w:b w:val="0"/>
          <w:sz w:val="32"/>
        </w:rPr>
        <w:t>2.一般公共服务支出(类)发展与改革事务(款)其他发展与改革事务支出(项):支出决算数为77.24万元，比上年决算减少</w:t>
      </w:r>
      <w:r>
        <w:rPr>
          <w:rFonts w:ascii="仿宋_GB2312" w:hAnsi="仿宋_GB2312" w:eastAsia="仿宋_GB2312"/>
          <w:b w:val="0"/>
          <w:w w:val="97"/>
          <w:sz w:val="32"/>
        </w:rPr>
        <w:t>4.58万元，下降5.60%,主要原因是：本年援疆工作经费项目减少。</w:t>
      </w:r>
    </w:p>
    <w:p w14:paraId="7681D57B">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13.32万元，比上年决算增加2.95万元，增长28.45%,主要原因是：本年在职人员工资基数调增，养老缴费基数上涨，相应支出增加。</w:t>
      </w:r>
    </w:p>
    <w:p w14:paraId="16D244EF">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6.66万元，比上年决算增加1.47万元，增长28.32%,主要原因是：本年在职人员工资基数调增，职业年金缴费基数上涨，相应支出增加。</w:t>
      </w:r>
    </w:p>
    <w:p w14:paraId="3341206A">
      <w:pPr>
        <w:spacing w:line="580" w:lineRule="exact"/>
        <w:ind w:firstLine="640"/>
        <w:jc w:val="both"/>
      </w:pPr>
      <w:r>
        <w:rPr>
          <w:rFonts w:ascii="仿宋_GB2312" w:hAnsi="仿宋_GB2312" w:eastAsia="仿宋_GB2312"/>
          <w:b w:val="0"/>
          <w:sz w:val="32"/>
        </w:rPr>
        <w:t>5.卫生健康支出(类)行政事业单位医疗(款)事业单位医疗(项):支出决算数为6.66万元，比上年决算增加1.47万元，增长28.32%,主要原因是：本年在职人员工资基数调增，医疗缴费基数上涨，相应支出增加。</w:t>
      </w:r>
    </w:p>
    <w:p w14:paraId="52764A08">
      <w:pPr>
        <w:spacing w:line="580" w:lineRule="exact"/>
        <w:ind w:firstLine="640"/>
        <w:jc w:val="both"/>
      </w:pPr>
      <w:r>
        <w:rPr>
          <w:rFonts w:ascii="仿宋_GB2312" w:hAnsi="仿宋_GB2312" w:eastAsia="仿宋_GB2312"/>
          <w:b w:val="0"/>
          <w:sz w:val="32"/>
        </w:rPr>
        <w:t>6.卫生健康支出(类)行政事业单位医疗(款)公务员医疗补助(项):支出决算数为0.42万元，比上年决算增加0.10万元，增长31.25%,主要原因是：本年在职人员工资基数调增，医疗缴费基数上涨，相应支出增加。</w:t>
      </w:r>
    </w:p>
    <w:p w14:paraId="46092940">
      <w:pPr>
        <w:spacing w:line="580" w:lineRule="exact"/>
        <w:ind w:firstLine="640"/>
        <w:jc w:val="both"/>
      </w:pPr>
      <w:r>
        <w:rPr>
          <w:rFonts w:ascii="仿宋_GB2312" w:hAnsi="仿宋_GB2312" w:eastAsia="仿宋_GB2312"/>
          <w:b w:val="0"/>
          <w:sz w:val="32"/>
        </w:rPr>
        <w:t>7.卫生健康支出(类)行政事业单位医疗(款)其他行政事业单位医疗支出(项):支出决算数为0.05万元，比上年决算增加0.01万元，增长25.00%,主要原因是：本年在职人员工资基数调增，医疗缴费基数上涨，相应支出增加。</w:t>
      </w:r>
    </w:p>
    <w:p w14:paraId="3EC78212">
      <w:pPr>
        <w:spacing w:line="580" w:lineRule="exact"/>
        <w:ind w:firstLine="640"/>
        <w:jc w:val="both"/>
      </w:pPr>
      <w:r>
        <w:rPr>
          <w:rFonts w:ascii="仿宋_GB2312" w:hAnsi="仿宋_GB2312" w:eastAsia="仿宋_GB2312"/>
          <w:b w:val="0"/>
          <w:sz w:val="32"/>
        </w:rPr>
        <w:t>8.住房保障支出(类)住房改革支出(款)住房公积金(项):支出决算数为10.80万元，比上年决算增加2.56万元，增长31.07%,主要原因是：本年在职人员工资基数调增，公积金缴费基数上涨，相应支出增加。</w:t>
      </w:r>
    </w:p>
    <w:p w14:paraId="1E463130">
      <w:pPr>
        <w:spacing w:line="640" w:lineRule="exact"/>
        <w:ind w:firstLine="640"/>
        <w:jc w:val="both"/>
        <w:outlineLvl w:val="2"/>
      </w:pPr>
      <w:r>
        <w:rPr>
          <w:rFonts w:ascii="黑体" w:hAnsi="黑体" w:eastAsia="黑体"/>
          <w:sz w:val="32"/>
        </w:rPr>
        <w:t>六、一般公共预算财政拨款基本支出决算情况说明</w:t>
      </w:r>
    </w:p>
    <w:p w14:paraId="4EC0BDE8">
      <w:pPr>
        <w:spacing w:line="580" w:lineRule="exact"/>
        <w:ind w:firstLine="640"/>
        <w:jc w:val="both"/>
      </w:pPr>
      <w:r>
        <w:rPr>
          <w:rFonts w:ascii="仿宋_GB2312" w:hAnsi="仿宋_GB2312" w:eastAsia="仿宋_GB2312"/>
          <w:b w:val="0"/>
          <w:sz w:val="32"/>
        </w:rPr>
        <w:t>2024年度一般公共预算财政拨款基本支出129.81万元，其中：</w:t>
      </w:r>
      <w:r>
        <w:rPr>
          <w:rFonts w:ascii="仿宋_GB2312" w:hAnsi="仿宋_GB2312" w:eastAsia="仿宋_GB2312"/>
          <w:b/>
          <w:sz w:val="32"/>
        </w:rPr>
        <w:t>人员经费120.85万元，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w:t>
      </w:r>
    </w:p>
    <w:p w14:paraId="69305411">
      <w:pPr>
        <w:spacing w:line="580" w:lineRule="exact"/>
        <w:ind w:firstLine="640"/>
        <w:jc w:val="both"/>
      </w:pPr>
      <w:r>
        <w:rPr>
          <w:rFonts w:ascii="仿宋_GB2312" w:hAnsi="仿宋_GB2312" w:eastAsia="仿宋_GB2312"/>
          <w:b/>
          <w:sz w:val="32"/>
        </w:rPr>
        <w:t>公用经费8.96万元，</w:t>
      </w:r>
      <w:r>
        <w:rPr>
          <w:rFonts w:ascii="仿宋_GB2312" w:hAnsi="仿宋_GB2312" w:eastAsia="仿宋_GB2312"/>
          <w:b w:val="0"/>
          <w:sz w:val="32"/>
        </w:rPr>
        <w:t>包括：办公费、邮电费、工会经费、福利费、公务用车运行维护费。</w:t>
      </w:r>
    </w:p>
    <w:p w14:paraId="621D146A">
      <w:pPr>
        <w:spacing w:line="640" w:lineRule="exact"/>
        <w:ind w:firstLine="640"/>
        <w:jc w:val="both"/>
        <w:outlineLvl w:val="2"/>
      </w:pPr>
      <w:r>
        <w:rPr>
          <w:rFonts w:ascii="黑体" w:hAnsi="黑体" w:eastAsia="黑体"/>
          <w:sz w:val="32"/>
        </w:rPr>
        <w:t>七、政府性基金预算财政拨款收入支出决算情况说明</w:t>
      </w:r>
    </w:p>
    <w:p w14:paraId="24B3AEF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B50D529">
      <w:pPr>
        <w:spacing w:line="640" w:lineRule="exact"/>
        <w:ind w:firstLine="640"/>
        <w:jc w:val="both"/>
        <w:outlineLvl w:val="2"/>
      </w:pPr>
      <w:r>
        <w:rPr>
          <w:rFonts w:ascii="黑体" w:hAnsi="黑体" w:eastAsia="黑体"/>
          <w:sz w:val="32"/>
        </w:rPr>
        <w:t>八、国有资本经营预算财政拨款收入支出决算情况说明</w:t>
      </w:r>
    </w:p>
    <w:p w14:paraId="6032E34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5076F8">
      <w:pPr>
        <w:spacing w:line="640" w:lineRule="exact"/>
        <w:ind w:firstLine="640"/>
        <w:jc w:val="both"/>
        <w:outlineLvl w:val="2"/>
      </w:pPr>
      <w:r>
        <w:rPr>
          <w:rFonts w:ascii="黑体" w:hAnsi="黑体" w:eastAsia="黑体"/>
          <w:sz w:val="32"/>
        </w:rPr>
        <w:t>九、财政拨款“三公”经费支出决算情况说明</w:t>
      </w:r>
    </w:p>
    <w:p w14:paraId="2138498E">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减少0.42万元，下降17.36%，主要原因是：本年未安排公务接待工作，导致公务接待费较上年减少。其中：因公出国（境）费支出0.00万元，占0.00%，比上年增加0.00万元，增长0.00%，主要原因是：2023年与2024年均未安排因公出国（境）费支出。公务用车购置及运行维护费支出2.00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公务用车运行维护费与上年一致无变化。公务接待费支出0.00万元，占0.00%，比上年减少0.42万元，下降100.00%，主要原因是：本年未安排公务接待工作，导致公务接待费较上年减少。</w:t>
      </w:r>
    </w:p>
    <w:p w14:paraId="212F7944">
      <w:pPr>
        <w:spacing w:line="580" w:lineRule="exact"/>
        <w:ind w:firstLine="640"/>
        <w:jc w:val="both"/>
      </w:pPr>
      <w:r>
        <w:rPr>
          <w:rFonts w:ascii="仿宋_GB2312" w:hAnsi="仿宋_GB2312" w:eastAsia="仿宋_GB2312"/>
          <w:b/>
          <w:sz w:val="32"/>
        </w:rPr>
        <w:t>具体情况如下：</w:t>
      </w:r>
    </w:p>
    <w:p w14:paraId="2B5FBD3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A5387A1">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289843C">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8002589">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6A5E0627">
      <w:pPr>
        <w:spacing w:line="640" w:lineRule="exact"/>
        <w:ind w:firstLine="640"/>
        <w:jc w:val="both"/>
        <w:outlineLvl w:val="2"/>
      </w:pPr>
      <w:r>
        <w:rPr>
          <w:rFonts w:ascii="黑体" w:hAnsi="黑体" w:eastAsia="黑体"/>
          <w:sz w:val="32"/>
        </w:rPr>
        <w:t>十、其他重要事项的情况说明</w:t>
      </w:r>
    </w:p>
    <w:p w14:paraId="52589F92">
      <w:pPr>
        <w:spacing w:line="640" w:lineRule="exact"/>
        <w:ind w:firstLine="640"/>
        <w:jc w:val="both"/>
        <w:outlineLvl w:val="3"/>
      </w:pPr>
      <w:r>
        <w:rPr>
          <w:rFonts w:ascii="楷体_GB2312" w:hAnsi="楷体_GB2312" w:eastAsia="楷体_GB2312"/>
          <w:b/>
          <w:sz w:val="32"/>
        </w:rPr>
        <w:t>（一）机关运行经费及公用经费支出情况</w:t>
      </w:r>
    </w:p>
    <w:p w14:paraId="6F1C0895">
      <w:pPr>
        <w:spacing w:line="580" w:lineRule="exact"/>
        <w:ind w:firstLine="640"/>
        <w:jc w:val="both"/>
      </w:pPr>
      <w:r>
        <w:rPr>
          <w:rFonts w:ascii="仿宋_GB2312" w:hAnsi="仿宋_GB2312" w:eastAsia="仿宋_GB2312"/>
          <w:b w:val="0"/>
          <w:sz w:val="32"/>
        </w:rPr>
        <w:t>2024年度昌吉回族自治州对口援疆工作领导小组办公室（事业单位）公用经费支出8.96万元，比上年增加1.81万元，增长25.31%，主要原因是：本年更新、维护补充办公用品，导致公用经费较上年增加。</w:t>
      </w:r>
    </w:p>
    <w:p w14:paraId="3F4FF058">
      <w:pPr>
        <w:spacing w:line="640" w:lineRule="exact"/>
        <w:ind w:firstLine="640"/>
        <w:jc w:val="both"/>
        <w:outlineLvl w:val="3"/>
      </w:pPr>
      <w:r>
        <w:rPr>
          <w:rFonts w:ascii="楷体_GB2312" w:hAnsi="楷体_GB2312" w:eastAsia="楷体_GB2312"/>
          <w:b/>
          <w:sz w:val="32"/>
        </w:rPr>
        <w:t>（二）政府采购情况</w:t>
      </w:r>
    </w:p>
    <w:p w14:paraId="36670FD4">
      <w:pPr>
        <w:spacing w:line="580" w:lineRule="exact"/>
        <w:ind w:firstLine="640"/>
        <w:jc w:val="both"/>
      </w:pPr>
      <w:r>
        <w:rPr>
          <w:rFonts w:ascii="仿宋_GB2312" w:hAnsi="仿宋_GB2312" w:eastAsia="仿宋_GB2312"/>
          <w:b w:val="0"/>
          <w:sz w:val="32"/>
        </w:rPr>
        <w:t>2024年度政府采购支出总额102.59万元，其中：政府采购货物支出2.05万元、政府采购工程支出0.00万元、政府采购服务支出100.54万元。</w:t>
      </w:r>
    </w:p>
    <w:p w14:paraId="39F466BC">
      <w:pPr>
        <w:spacing w:line="580" w:lineRule="exact"/>
        <w:ind w:firstLine="640"/>
        <w:jc w:val="both"/>
      </w:pPr>
      <w:r>
        <w:rPr>
          <w:rFonts w:ascii="仿宋_GB2312" w:hAnsi="仿宋_GB2312" w:eastAsia="仿宋_GB2312"/>
          <w:b w:val="0"/>
          <w:sz w:val="32"/>
        </w:rPr>
        <w:t>授予中小企业合同金额2.93万元，占政府采购支出总额的2.86%，其中：授予小微企业合同金额1.04万元，占政府采购支出总额的1.01%。</w:t>
      </w:r>
    </w:p>
    <w:p w14:paraId="5DED8B00">
      <w:pPr>
        <w:spacing w:line="640" w:lineRule="exact"/>
        <w:ind w:firstLine="640"/>
        <w:jc w:val="both"/>
        <w:outlineLvl w:val="3"/>
      </w:pPr>
      <w:r>
        <w:rPr>
          <w:rFonts w:ascii="楷体_GB2312" w:hAnsi="楷体_GB2312" w:eastAsia="楷体_GB2312"/>
          <w:b/>
          <w:sz w:val="32"/>
        </w:rPr>
        <w:t>（三）国有资产占用情况说明</w:t>
      </w:r>
    </w:p>
    <w:p w14:paraId="3FF251FB">
      <w:pPr>
        <w:spacing w:line="580" w:lineRule="exact"/>
        <w:ind w:firstLine="640"/>
        <w:jc w:val="both"/>
      </w:pPr>
      <w:r>
        <w:rPr>
          <w:rFonts w:ascii="仿宋_GB2312" w:hAnsi="仿宋_GB2312" w:eastAsia="仿宋_GB2312"/>
          <w:b w:val="0"/>
          <w:sz w:val="32"/>
        </w:rPr>
        <w:t>截至2024年12月31日，房屋0.00平方米，价值0.00万元。车辆1辆，价值27.80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63A668DD">
      <w:pPr>
        <w:spacing w:line="640" w:lineRule="exact"/>
        <w:ind w:firstLine="640"/>
        <w:jc w:val="both"/>
        <w:outlineLvl w:val="2"/>
      </w:pPr>
      <w:r>
        <w:rPr>
          <w:rFonts w:ascii="黑体" w:hAnsi="黑体" w:eastAsia="黑体"/>
          <w:sz w:val="32"/>
        </w:rPr>
        <w:t>十一、预算绩效的情况说明</w:t>
      </w:r>
    </w:p>
    <w:p w14:paraId="34D8569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451.67万元，实际执行总额238.10万元；预算绩效评价项目1个，全年预算数87.79万元，全年执行数87.79万元。预算绩效管理取得的成效：一是争取福建山西援疆项目</w:t>
      </w:r>
      <w:r>
        <w:rPr>
          <w:rFonts w:hint="eastAsia" w:ascii="仿宋_GB2312" w:hAnsi="仿宋_GB2312" w:eastAsia="仿宋_GB2312"/>
          <w:b w:val="0"/>
          <w:sz w:val="32"/>
          <w:lang w:eastAsia="zh-CN"/>
        </w:rPr>
        <w:t>共</w:t>
      </w:r>
      <w:r>
        <w:rPr>
          <w:rFonts w:ascii="仿宋_GB2312" w:hAnsi="仿宋_GB2312" w:eastAsia="仿宋_GB2312"/>
          <w:b w:val="0"/>
          <w:sz w:val="32"/>
        </w:rPr>
        <w:t>75个，福建70个，山西15个。对接协调福建、山西两省前方指挥部打破结对关系界限，积极参加自治区产业援疆集中推介活动2次，签约11家企业，签约金额323.67亿元。积极推进产业援疆新模式，在福州、厦门、泉州、太原、吕梁、运城等地建立农产品展示中心和销售门店119个，销售金额达1.6亿元。对全州9所学校实施学校设施提升改造工程，改善了受援地办学条件。充分发挥40名援疆支教教师骨干示范和传帮带作用，提升当地教育教学水平。助推福建省各类学校与昌吉州44所学校建立结对帮扶关系；4所大学院校与昌吉州建立职教联盟。二是投入援疆资金4541万元用于支持昌吉州强化干部人才队伍建设，2024年已在援疆省市举办培训班52个、培训干部1821人次。积极发挥对口援疆在促进各民族交往交流交融中的桥梁纽带作用，不断增强“五个认同”、增进民族团结。助推援疆省市14所三甲医院与昌吉州13所县级以上医院结对共建，有关单位与受援地40个乡镇（街道）、村（社区）建立结对帮扶关系。实施</w:t>
      </w:r>
      <w:r>
        <w:rPr>
          <w:rFonts w:hint="eastAsia" w:ascii="仿宋_GB2312" w:hAnsi="仿宋_GB2312" w:eastAsia="仿宋_GB2312"/>
          <w:b w:val="0"/>
          <w:sz w:val="32"/>
          <w:lang w:eastAsia="zh-CN"/>
        </w:rPr>
        <w:t>文化润疆工作</w:t>
      </w:r>
      <w:r>
        <w:rPr>
          <w:rFonts w:ascii="仿宋_GB2312" w:hAnsi="仿宋_GB2312" w:eastAsia="仿宋_GB2312"/>
          <w:b w:val="0"/>
          <w:sz w:val="32"/>
        </w:rPr>
        <w:t>，支持《援疆干部》电影拍摄和宣传，结合昌吉州成立70周年契机，开展以“中华民族一家亲，同心共筑中国梦”为主题的山西省援疆专场慰问演出。组织开展闽昌两地各类文化交流活动约130场次，依托“美丽乡村建设”项目建设65个乡村文化广场。发现的问题及原因：一是援疆带动就业有待提升。在如何统筹各方力量，形成工作合力，推动产业援疆工作高水平发展，推动援疆省市有比较优势的大企业、大集团来昌投资，带动当地群众就业，实现增收等方面还需进一步提升；二是内控制度不完善，随着资金管理改革的进一步推进，</w:t>
      </w:r>
      <w:r>
        <w:rPr>
          <w:rFonts w:hint="eastAsia" w:ascii="仿宋_GB2312" w:hAnsi="仿宋_GB2312" w:eastAsia="仿宋_GB2312"/>
          <w:b w:val="0"/>
          <w:sz w:val="32"/>
          <w:lang w:eastAsia="zh-CN"/>
        </w:rPr>
        <w:t>本单位</w:t>
      </w:r>
      <w:r>
        <w:rPr>
          <w:rFonts w:ascii="仿宋_GB2312" w:hAnsi="仿宋_GB2312" w:eastAsia="仿宋_GB2312"/>
          <w:b w:val="0"/>
          <w:sz w:val="32"/>
        </w:rPr>
        <w:t>内部机构进行了相应的优化，建立健全了财务管理制度，固定资产管理制度，差旅费报销制度等，但仍需进一步强化财务约束监督体制。下一步改进措施：一是发挥援疆干部人脉资源，为</w:t>
      </w:r>
      <w:r>
        <w:rPr>
          <w:rFonts w:hint="eastAsia" w:ascii="仿宋_GB2312" w:hAnsi="仿宋_GB2312" w:eastAsia="仿宋_GB2312"/>
          <w:b w:val="0"/>
          <w:sz w:val="32"/>
          <w:lang w:eastAsia="zh-CN"/>
        </w:rPr>
        <w:t>招</w:t>
      </w:r>
      <w:r>
        <w:rPr>
          <w:rFonts w:ascii="仿宋_GB2312" w:hAnsi="仿宋_GB2312" w:eastAsia="仿宋_GB2312"/>
          <w:b w:val="0"/>
          <w:sz w:val="32"/>
        </w:rPr>
        <w:t>商引资搭好桥、铺好路，精准出击抓高端、补短板、强协同，在</w:t>
      </w:r>
      <w:r>
        <w:rPr>
          <w:rFonts w:hint="eastAsia" w:ascii="仿宋_GB2312" w:hAnsi="仿宋_GB2312" w:eastAsia="仿宋_GB2312"/>
          <w:b w:val="0"/>
          <w:sz w:val="32"/>
          <w:lang w:eastAsia="zh-CN"/>
        </w:rPr>
        <w:t>招</w:t>
      </w:r>
      <w:r>
        <w:rPr>
          <w:rFonts w:ascii="仿宋_GB2312" w:hAnsi="仿宋_GB2312" w:eastAsia="仿宋_GB2312"/>
          <w:b w:val="0"/>
          <w:sz w:val="32"/>
        </w:rPr>
        <w:t>商引资时注重产业上下游延伸和配套产业的引进，促进全产业链发展，使企业能够引得进、落得下、发展好；二是进一步完善单位内控制度，建立完善的财务管理制度，加强财务监督体制，使绩效管理得到进一步优化。具体附整体支出绩效自评表，项目支出绩效自评表和评价报告。</w:t>
      </w:r>
    </w:p>
    <w:p w14:paraId="3B646FC5">
      <w:r>
        <w:br w:type="page"/>
      </w:r>
    </w:p>
    <w:tbl>
      <w:tblPr>
        <w:tblStyle w:val="9"/>
        <w:tblW w:w="0" w:type="auto"/>
        <w:tblInd w:w="0" w:type="dxa"/>
        <w:tblLayout w:type="fixed"/>
        <w:tblCellMar>
          <w:top w:w="0" w:type="dxa"/>
          <w:left w:w="108" w:type="dxa"/>
          <w:bottom w:w="0" w:type="dxa"/>
          <w:right w:w="108" w:type="dxa"/>
        </w:tblCellMar>
      </w:tblPr>
      <w:tblGrid>
        <w:gridCol w:w="983"/>
        <w:gridCol w:w="983"/>
        <w:gridCol w:w="983"/>
        <w:gridCol w:w="670"/>
        <w:gridCol w:w="1296"/>
        <w:gridCol w:w="809"/>
        <w:gridCol w:w="1157"/>
        <w:gridCol w:w="983"/>
        <w:gridCol w:w="983"/>
      </w:tblGrid>
      <w:tr w14:paraId="2594672F">
        <w:tblPrEx>
          <w:tblCellMar>
            <w:top w:w="0" w:type="dxa"/>
            <w:left w:w="108" w:type="dxa"/>
            <w:bottom w:w="0" w:type="dxa"/>
            <w:right w:w="108" w:type="dxa"/>
          </w:tblCellMar>
        </w:tblPrEx>
        <w:tc>
          <w:tcPr>
            <w:tcW w:w="8847" w:type="dxa"/>
            <w:gridSpan w:val="9"/>
            <w:vAlign w:val="center"/>
          </w:tcPr>
          <w:p w14:paraId="11A46A28">
            <w:pPr>
              <w:jc w:val="center"/>
            </w:pPr>
            <w:r>
              <w:rPr>
                <w:rFonts w:ascii="宋体" w:hAnsi="宋体" w:eastAsia="宋体"/>
                <w:sz w:val="24"/>
              </w:rPr>
              <w:t>单位整体支出绩效自评表</w:t>
            </w:r>
          </w:p>
        </w:tc>
      </w:tr>
      <w:tr w14:paraId="21DAE4AA">
        <w:tblPrEx>
          <w:tblCellMar>
            <w:top w:w="0" w:type="dxa"/>
            <w:left w:w="108" w:type="dxa"/>
            <w:bottom w:w="0" w:type="dxa"/>
            <w:right w:w="108" w:type="dxa"/>
          </w:tblCellMar>
        </w:tblPrEx>
        <w:tc>
          <w:tcPr>
            <w:tcW w:w="8847" w:type="dxa"/>
            <w:gridSpan w:val="9"/>
            <w:vAlign w:val="center"/>
          </w:tcPr>
          <w:p w14:paraId="0E184440">
            <w:pPr>
              <w:jc w:val="center"/>
            </w:pPr>
            <w:r>
              <w:rPr>
                <w:rFonts w:ascii="宋体" w:hAnsi="宋体" w:eastAsia="宋体"/>
                <w:sz w:val="24"/>
              </w:rPr>
              <w:t>（2024年度）</w:t>
            </w:r>
          </w:p>
        </w:tc>
      </w:tr>
      <w:tr w14:paraId="6265CA8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D45B41">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12EBD55">
            <w:pPr>
              <w:jc w:val="center"/>
            </w:pPr>
            <w:r>
              <w:rPr>
                <w:rFonts w:ascii="宋体" w:hAnsi="宋体" w:eastAsia="宋体"/>
                <w:sz w:val="16"/>
              </w:rPr>
              <w:t>昌吉回族自治州对口援疆工作领导小组办公室</w:t>
            </w:r>
          </w:p>
        </w:tc>
      </w:tr>
      <w:tr w14:paraId="6AB9E57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0D128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FC804">
            <w:pPr>
              <w:jc w:val="center"/>
            </w:pPr>
            <w:r>
              <w:rPr>
                <w:rFonts w:ascii="宋体" w:hAnsi="宋体" w:eastAsia="宋体"/>
                <w:sz w:val="16"/>
              </w:rPr>
              <w:t>资金来源</w:t>
            </w:r>
          </w:p>
        </w:tc>
        <w:tc>
          <w:tcPr>
            <w:tcW w:w="670" w:type="dxa"/>
            <w:tcBorders>
              <w:top w:val="single" w:color="auto" w:sz="10" w:space="0"/>
              <w:left w:val="single" w:color="auto" w:sz="10" w:space="0"/>
              <w:bottom w:val="single" w:color="auto" w:sz="10" w:space="0"/>
              <w:right w:val="single" w:color="auto" w:sz="10" w:space="0"/>
              <w:insideV w:val="single" w:sz="10" w:space="0"/>
            </w:tcBorders>
            <w:vAlign w:val="center"/>
          </w:tcPr>
          <w:p w14:paraId="2E8F5D4C">
            <w:pPr>
              <w:jc w:val="center"/>
            </w:pPr>
            <w:r>
              <w:rPr>
                <w:rFonts w:ascii="宋体" w:hAnsi="宋体" w:eastAsia="宋体"/>
                <w:sz w:val="16"/>
              </w:rPr>
              <w:t>年初预算数</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3B469D89">
            <w:pPr>
              <w:jc w:val="center"/>
            </w:pPr>
            <w:r>
              <w:rPr>
                <w:rFonts w:ascii="宋体" w:hAnsi="宋体" w:eastAsia="宋体"/>
                <w:sz w:val="16"/>
              </w:rPr>
              <w:t>全年预算数</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E5864EE">
            <w:pPr>
              <w:jc w:val="center"/>
            </w:pPr>
            <w:r>
              <w:rPr>
                <w:rFonts w:ascii="宋体" w:hAnsi="宋体" w:eastAsia="宋体"/>
                <w:sz w:val="16"/>
              </w:rPr>
              <w:t>全年执行数</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05A90F2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903A19">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514AF0">
            <w:pPr>
              <w:jc w:val="center"/>
            </w:pPr>
            <w:r>
              <w:rPr>
                <w:rFonts w:ascii="宋体" w:hAnsi="宋体" w:eastAsia="宋体"/>
                <w:sz w:val="16"/>
              </w:rPr>
              <w:t>得分</w:t>
            </w:r>
          </w:p>
        </w:tc>
      </w:tr>
      <w:tr w14:paraId="5F4E635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92EE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6E5F7A">
            <w:pPr>
              <w:jc w:val="center"/>
            </w:pPr>
            <w:r>
              <w:rPr>
                <w:rFonts w:ascii="宋体" w:hAnsi="宋体" w:eastAsia="宋体"/>
                <w:sz w:val="16"/>
              </w:rPr>
              <w:t>上级资金</w:t>
            </w:r>
          </w:p>
        </w:tc>
        <w:tc>
          <w:tcPr>
            <w:tcW w:w="670" w:type="dxa"/>
            <w:tcBorders>
              <w:top w:val="single" w:color="auto" w:sz="10" w:space="0"/>
              <w:left w:val="single" w:color="auto" w:sz="10" w:space="0"/>
              <w:bottom w:val="single" w:color="auto" w:sz="10" w:space="0"/>
              <w:right w:val="single" w:color="auto" w:sz="10" w:space="0"/>
              <w:insideV w:val="single" w:sz="10" w:space="0"/>
            </w:tcBorders>
            <w:vAlign w:val="center"/>
          </w:tcPr>
          <w:p w14:paraId="784E51A6">
            <w:pPr>
              <w:jc w:val="center"/>
            </w:pPr>
            <w:r>
              <w:rPr>
                <w:rFonts w:ascii="宋体" w:hAnsi="宋体" w:eastAsia="宋体"/>
                <w:sz w:val="16"/>
              </w:rPr>
              <w:t>0.00</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1E3D312A">
            <w:pPr>
              <w:jc w:val="center"/>
            </w:pPr>
            <w:r>
              <w:rPr>
                <w:rFonts w:ascii="宋体" w:hAnsi="宋体" w:eastAsia="宋体"/>
                <w:sz w:val="16"/>
              </w:rPr>
              <w:t>0.00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5131A13">
            <w:pPr>
              <w:jc w:val="center"/>
            </w:pPr>
            <w:r>
              <w:rPr>
                <w:rFonts w:ascii="宋体" w:hAnsi="宋体" w:eastAsia="宋体"/>
                <w:sz w:val="16"/>
              </w:rPr>
              <w:t>0.00</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001148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CD88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CD6432">
            <w:pPr>
              <w:jc w:val="center"/>
            </w:pPr>
            <w:r>
              <w:rPr>
                <w:rFonts w:ascii="宋体" w:hAnsi="宋体" w:eastAsia="宋体"/>
                <w:sz w:val="16"/>
              </w:rPr>
              <w:t>-</w:t>
            </w:r>
          </w:p>
        </w:tc>
      </w:tr>
      <w:tr w14:paraId="08D0C6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7674A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EDF9E">
            <w:pPr>
              <w:jc w:val="center"/>
            </w:pPr>
            <w:r>
              <w:rPr>
                <w:rFonts w:ascii="宋体" w:hAnsi="宋体" w:eastAsia="宋体"/>
                <w:sz w:val="16"/>
              </w:rPr>
              <w:t>本级资金</w:t>
            </w:r>
          </w:p>
        </w:tc>
        <w:tc>
          <w:tcPr>
            <w:tcW w:w="670" w:type="dxa"/>
            <w:tcBorders>
              <w:top w:val="single" w:color="auto" w:sz="10" w:space="0"/>
              <w:left w:val="single" w:color="auto" w:sz="10" w:space="0"/>
              <w:bottom w:val="single" w:color="auto" w:sz="10" w:space="0"/>
              <w:right w:val="single" w:color="auto" w:sz="10" w:space="0"/>
              <w:insideV w:val="single" w:sz="10" w:space="0"/>
            </w:tcBorders>
            <w:vAlign w:val="center"/>
          </w:tcPr>
          <w:p w14:paraId="0D1127BA">
            <w:pPr>
              <w:jc w:val="center"/>
            </w:pPr>
            <w:r>
              <w:rPr>
                <w:rFonts w:ascii="宋体" w:hAnsi="宋体" w:eastAsia="宋体"/>
                <w:sz w:val="16"/>
              </w:rPr>
              <w:t>233.82</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2F5C331D">
            <w:pPr>
              <w:jc w:val="center"/>
            </w:pPr>
            <w:r>
              <w:rPr>
                <w:rFonts w:ascii="宋体" w:hAnsi="宋体" w:eastAsia="宋体"/>
                <w:sz w:val="16"/>
              </w:rPr>
              <w:t>207.05</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5EF043F">
            <w:pPr>
              <w:jc w:val="center"/>
            </w:pPr>
            <w:r>
              <w:rPr>
                <w:rFonts w:ascii="宋体" w:hAnsi="宋体" w:eastAsia="宋体"/>
                <w:sz w:val="16"/>
              </w:rPr>
              <w:t>130.53</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013906F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8260E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61E6E9">
            <w:pPr>
              <w:jc w:val="center"/>
            </w:pPr>
            <w:r>
              <w:rPr>
                <w:rFonts w:ascii="宋体" w:hAnsi="宋体" w:eastAsia="宋体"/>
                <w:sz w:val="16"/>
              </w:rPr>
              <w:t>-</w:t>
            </w:r>
          </w:p>
        </w:tc>
      </w:tr>
      <w:tr w14:paraId="3337365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3A9C7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D8FE7">
            <w:pPr>
              <w:jc w:val="center"/>
            </w:pPr>
            <w:r>
              <w:rPr>
                <w:rFonts w:ascii="宋体" w:hAnsi="宋体" w:eastAsia="宋体"/>
                <w:sz w:val="16"/>
              </w:rPr>
              <w:t>其他资金</w:t>
            </w:r>
          </w:p>
        </w:tc>
        <w:tc>
          <w:tcPr>
            <w:tcW w:w="670" w:type="dxa"/>
            <w:tcBorders>
              <w:top w:val="single" w:color="auto" w:sz="10" w:space="0"/>
              <w:left w:val="single" w:color="auto" w:sz="10" w:space="0"/>
              <w:bottom w:val="single" w:color="auto" w:sz="10" w:space="0"/>
              <w:right w:val="single" w:color="auto" w:sz="10" w:space="0"/>
              <w:insideV w:val="single" w:sz="10" w:space="0"/>
            </w:tcBorders>
            <w:vAlign w:val="center"/>
          </w:tcPr>
          <w:p w14:paraId="4DEAE2A8">
            <w:pPr>
              <w:jc w:val="center"/>
            </w:pPr>
            <w:r>
              <w:rPr>
                <w:rFonts w:ascii="宋体" w:hAnsi="宋体" w:eastAsia="宋体"/>
                <w:sz w:val="16"/>
              </w:rPr>
              <w:t>80.00</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1BEB9A54">
            <w:pPr>
              <w:jc w:val="center"/>
            </w:pPr>
            <w:r>
              <w:rPr>
                <w:rFonts w:ascii="宋体" w:hAnsi="宋体" w:eastAsia="宋体"/>
                <w:sz w:val="16"/>
              </w:rPr>
              <w:t>244.62</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327413D">
            <w:pPr>
              <w:jc w:val="center"/>
            </w:pPr>
            <w:r>
              <w:rPr>
                <w:rFonts w:ascii="宋体" w:hAnsi="宋体" w:eastAsia="宋体"/>
                <w:sz w:val="16"/>
              </w:rPr>
              <w:t>107.57</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53C3A2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266C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188482">
            <w:pPr>
              <w:jc w:val="center"/>
            </w:pPr>
            <w:r>
              <w:rPr>
                <w:rFonts w:ascii="宋体" w:hAnsi="宋体" w:eastAsia="宋体"/>
                <w:sz w:val="16"/>
              </w:rPr>
              <w:t>-</w:t>
            </w:r>
          </w:p>
        </w:tc>
      </w:tr>
      <w:tr w14:paraId="0BF434F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7AE3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F00FB8">
            <w:pPr>
              <w:jc w:val="center"/>
            </w:pPr>
            <w:r>
              <w:rPr>
                <w:rFonts w:ascii="宋体" w:hAnsi="宋体" w:eastAsia="宋体"/>
                <w:sz w:val="16"/>
              </w:rPr>
              <w:t>合计</w:t>
            </w:r>
          </w:p>
        </w:tc>
        <w:tc>
          <w:tcPr>
            <w:tcW w:w="670" w:type="dxa"/>
            <w:tcBorders>
              <w:top w:val="single" w:color="auto" w:sz="10" w:space="0"/>
              <w:left w:val="single" w:color="auto" w:sz="10" w:space="0"/>
              <w:bottom w:val="single" w:color="auto" w:sz="10" w:space="0"/>
              <w:right w:val="single" w:color="auto" w:sz="10" w:space="0"/>
              <w:insideV w:val="single" w:sz="10" w:space="0"/>
            </w:tcBorders>
            <w:vAlign w:val="center"/>
          </w:tcPr>
          <w:p w14:paraId="5389891F">
            <w:pPr>
              <w:jc w:val="center"/>
            </w:pPr>
            <w:r>
              <w:rPr>
                <w:rFonts w:ascii="宋体" w:hAnsi="宋体" w:eastAsia="宋体"/>
                <w:sz w:val="16"/>
              </w:rPr>
              <w:t>313.82</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599FD9FF">
            <w:pPr>
              <w:jc w:val="center"/>
            </w:pPr>
            <w:r>
              <w:rPr>
                <w:rFonts w:ascii="宋体" w:hAnsi="宋体" w:eastAsia="宋体"/>
                <w:sz w:val="16"/>
              </w:rPr>
              <w:t>451.67</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4D54AF98">
            <w:pPr>
              <w:jc w:val="center"/>
            </w:pPr>
            <w:r>
              <w:rPr>
                <w:rFonts w:ascii="宋体" w:hAnsi="宋体" w:eastAsia="宋体"/>
                <w:sz w:val="16"/>
              </w:rPr>
              <w:t>238.10</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0A4F3C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0034AD">
            <w:pPr>
              <w:jc w:val="center"/>
            </w:pPr>
            <w:r>
              <w:rPr>
                <w:rFonts w:ascii="宋体" w:hAnsi="宋体" w:eastAsia="宋体"/>
                <w:sz w:val="16"/>
              </w:rPr>
              <w:t>52.72%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7B765E">
            <w:pPr>
              <w:jc w:val="center"/>
            </w:pPr>
            <w:r>
              <w:rPr>
                <w:rFonts w:ascii="宋体" w:hAnsi="宋体" w:eastAsia="宋体"/>
                <w:sz w:val="16"/>
              </w:rPr>
              <w:t>5.27</w:t>
            </w:r>
          </w:p>
        </w:tc>
      </w:tr>
      <w:tr w14:paraId="131865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A8203">
            <w:pPr>
              <w:jc w:val="center"/>
            </w:pPr>
            <w:r>
              <w:rPr>
                <w:rFonts w:ascii="宋体" w:hAnsi="宋体" w:eastAsia="宋体"/>
                <w:sz w:val="16"/>
              </w:rPr>
              <w:t>年度总体目标</w:t>
            </w:r>
          </w:p>
        </w:tc>
        <w:tc>
          <w:tcPr>
            <w:tcW w:w="263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EDC789C">
            <w:pPr>
              <w:jc w:val="center"/>
            </w:pPr>
            <w:r>
              <w:rPr>
                <w:rFonts w:ascii="宋体" w:hAnsi="宋体" w:eastAsia="宋体"/>
                <w:sz w:val="16"/>
              </w:rPr>
              <w:t>预期目标</w:t>
            </w:r>
          </w:p>
        </w:tc>
        <w:tc>
          <w:tcPr>
            <w:tcW w:w="522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A817E6">
            <w:pPr>
              <w:jc w:val="center"/>
            </w:pPr>
            <w:r>
              <w:rPr>
                <w:rFonts w:ascii="宋体" w:hAnsi="宋体" w:eastAsia="宋体"/>
                <w:sz w:val="16"/>
              </w:rPr>
              <w:t>实际完成情况</w:t>
            </w:r>
          </w:p>
        </w:tc>
      </w:tr>
      <w:tr w14:paraId="4C2AF20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9A45F4"/>
        </w:tc>
        <w:tc>
          <w:tcPr>
            <w:tcW w:w="263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199A0F3">
            <w:pPr>
              <w:jc w:val="both"/>
            </w:pPr>
            <w:bookmarkStart w:id="0" w:name="_GoBack"/>
            <w:r>
              <w:rPr>
                <w:rFonts w:ascii="宋体" w:hAnsi="宋体" w:eastAsia="宋体"/>
                <w:sz w:val="16"/>
              </w:rPr>
              <w:t>1、</w:t>
            </w:r>
            <w:bookmarkEnd w:id="0"/>
            <w:r>
              <w:rPr>
                <w:rFonts w:ascii="宋体" w:hAnsi="宋体" w:eastAsia="宋体"/>
                <w:sz w:val="16"/>
              </w:rPr>
              <w:t>搞好对口支援省市的产业对接，指导各县市援疆办做好产业援疆工作 2、牵头负责援助资金投资的各类建设项目的审批协调服务及跟踪落实，负责指导州直各项目及各县市项目的组织实施，督促检查项目的进展情况。 3、与福建、山西两省援疆前方指挥部、援疆省市做好联络工作。 4、服务援疆省市各级领导考察、接待工作。</w:t>
            </w:r>
          </w:p>
        </w:tc>
        <w:tc>
          <w:tcPr>
            <w:tcW w:w="5228"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3573AB">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全年预算数为451.67万元，全年执行数为238.10万元，总预算执行率为52.72%。2024 年</w:t>
            </w:r>
            <w:r>
              <w:rPr>
                <w:rFonts w:hint="eastAsia" w:ascii="宋体" w:hAnsi="宋体"/>
                <w:sz w:val="16"/>
                <w:lang w:eastAsia="zh-CN"/>
              </w:rPr>
              <w:t>本单位</w:t>
            </w:r>
            <w:r>
              <w:rPr>
                <w:rFonts w:ascii="宋体" w:hAnsi="宋体" w:eastAsia="宋体"/>
                <w:sz w:val="16"/>
              </w:rPr>
              <w:t>完成以下工作内容：指导各县市援疆办做好产业援疆工作。指导州直各项目及各县市项目的组织实施，督促检查项目的进展情况1次，陪同援疆省市考察调研2次，慰问援疆干部2次，援疆干部回访1次。通过以上工作的实施，与福建、山西两省援疆前方指挥部、援疆省市做好联络工作，服务援疆省市各级领导考察、接待工作。</w:t>
            </w:r>
          </w:p>
        </w:tc>
      </w:tr>
      <w:tr w14:paraId="2CCFD99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10D20">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BED14">
            <w:pPr>
              <w:jc w:val="center"/>
            </w:pPr>
            <w:r>
              <w:rPr>
                <w:rFonts w:ascii="宋体" w:hAnsi="宋体" w:eastAsia="宋体"/>
                <w:sz w:val="16"/>
              </w:rPr>
              <w:t>二级指标</w:t>
            </w:r>
          </w:p>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07A5CD">
            <w:pPr>
              <w:jc w:val="center"/>
            </w:pPr>
            <w:r>
              <w:rPr>
                <w:rFonts w:ascii="宋体" w:hAnsi="宋体" w:eastAsia="宋体"/>
                <w:sz w:val="16"/>
              </w:rPr>
              <w:t>三级指标</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770EC1BC">
            <w:pPr>
              <w:jc w:val="center"/>
            </w:pPr>
            <w:r>
              <w:rPr>
                <w:rFonts w:ascii="宋体" w:hAnsi="宋体" w:eastAsia="宋体"/>
                <w:sz w:val="16"/>
              </w:rPr>
              <w:t>预期指标值</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E182016">
            <w:pPr>
              <w:jc w:val="center"/>
            </w:pPr>
            <w:r>
              <w:rPr>
                <w:rFonts w:ascii="宋体" w:hAnsi="宋体" w:eastAsia="宋体"/>
                <w:sz w:val="16"/>
              </w:rPr>
              <w:t>指标值设定依据</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7A318B6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D0183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114F8">
            <w:pPr>
              <w:jc w:val="center"/>
            </w:pPr>
            <w:r>
              <w:rPr>
                <w:rFonts w:ascii="宋体" w:hAnsi="宋体" w:eastAsia="宋体"/>
                <w:sz w:val="16"/>
              </w:rPr>
              <w:t>得分</w:t>
            </w:r>
          </w:p>
        </w:tc>
      </w:tr>
      <w:tr w14:paraId="736B28D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662E03">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B62CB3">
            <w:pPr>
              <w:jc w:val="center"/>
            </w:pPr>
            <w:r>
              <w:rPr>
                <w:rFonts w:ascii="宋体" w:hAnsi="宋体" w:eastAsia="宋体"/>
                <w:sz w:val="16"/>
              </w:rPr>
              <w:t>数量指标</w:t>
            </w:r>
          </w:p>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58383">
            <w:pPr>
              <w:jc w:val="center"/>
            </w:pPr>
            <w:r>
              <w:rPr>
                <w:rFonts w:ascii="宋体" w:hAnsi="宋体" w:eastAsia="宋体"/>
                <w:sz w:val="16"/>
              </w:rPr>
              <w:t>陪同援疆省市考察</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7F2985FF">
            <w:pPr>
              <w:jc w:val="center"/>
            </w:pPr>
            <w:r>
              <w:rPr>
                <w:rFonts w:ascii="宋体" w:hAnsi="宋体" w:eastAsia="宋体"/>
                <w:sz w:val="16"/>
              </w:rPr>
              <w:t>=2次</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021B9595">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6D16EB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A6029">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B03EB">
            <w:pPr>
              <w:jc w:val="center"/>
            </w:pPr>
            <w:r>
              <w:rPr>
                <w:rFonts w:ascii="宋体" w:hAnsi="宋体" w:eastAsia="宋体"/>
                <w:sz w:val="16"/>
              </w:rPr>
              <w:t>10</w:t>
            </w:r>
          </w:p>
        </w:tc>
      </w:tr>
      <w:tr w14:paraId="1E7B0A5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94D78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49B427"/>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7EB9F">
            <w:pPr>
              <w:jc w:val="center"/>
            </w:pPr>
            <w:r>
              <w:rPr>
                <w:rFonts w:ascii="宋体" w:hAnsi="宋体" w:eastAsia="宋体"/>
                <w:sz w:val="16"/>
              </w:rPr>
              <w:t>慰问援疆前方指挥部次数</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4693B56D">
            <w:pPr>
              <w:jc w:val="center"/>
            </w:pPr>
            <w:r>
              <w:rPr>
                <w:rFonts w:ascii="宋体" w:hAnsi="宋体" w:eastAsia="宋体"/>
                <w:sz w:val="16"/>
              </w:rPr>
              <w:t>=2次</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342B9BA3">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3EAC8A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17F25E">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6C2BA">
            <w:pPr>
              <w:jc w:val="center"/>
            </w:pPr>
            <w:r>
              <w:rPr>
                <w:rFonts w:ascii="宋体" w:hAnsi="宋体" w:eastAsia="宋体"/>
                <w:sz w:val="16"/>
              </w:rPr>
              <w:t>10</w:t>
            </w:r>
          </w:p>
        </w:tc>
      </w:tr>
      <w:tr w14:paraId="49601B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D5331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F53466"/>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A4C9C">
            <w:pPr>
              <w:jc w:val="center"/>
            </w:pPr>
            <w:r>
              <w:rPr>
                <w:rFonts w:ascii="宋体" w:hAnsi="宋体" w:eastAsia="宋体"/>
                <w:sz w:val="16"/>
              </w:rPr>
              <w:t>回访历届援疆干部次数</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2C3290A0">
            <w:pPr>
              <w:jc w:val="center"/>
            </w:pPr>
            <w:r>
              <w:rPr>
                <w:rFonts w:ascii="宋体" w:hAnsi="宋体" w:eastAsia="宋体"/>
                <w:sz w:val="16"/>
              </w:rPr>
              <w:t>=1次</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216BCD7">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63B82E7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A791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887E2">
            <w:pPr>
              <w:jc w:val="center"/>
            </w:pPr>
            <w:r>
              <w:rPr>
                <w:rFonts w:ascii="宋体" w:hAnsi="宋体" w:eastAsia="宋体"/>
                <w:sz w:val="16"/>
              </w:rPr>
              <w:t>10</w:t>
            </w:r>
          </w:p>
        </w:tc>
      </w:tr>
      <w:tr w14:paraId="4C01D5C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48919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AB058A"/>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56DDE2">
            <w:pPr>
              <w:jc w:val="center"/>
            </w:pPr>
            <w:r>
              <w:rPr>
                <w:rFonts w:ascii="宋体" w:hAnsi="宋体" w:eastAsia="宋体"/>
                <w:sz w:val="16"/>
              </w:rPr>
              <w:t>争取福建对口支援昌吉州项目</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08D89390">
            <w:pPr>
              <w:jc w:val="center"/>
            </w:pPr>
            <w:r>
              <w:rPr>
                <w:rFonts w:ascii="宋体" w:hAnsi="宋体" w:eastAsia="宋体"/>
                <w:sz w:val="16"/>
              </w:rPr>
              <w:t>&gt;=70个</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4F9121F">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3E2A5BD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AAC797">
            <w:pPr>
              <w:jc w:val="center"/>
            </w:pPr>
            <w:r>
              <w:rPr>
                <w:rFonts w:ascii="宋体" w:hAnsi="宋体" w:eastAsia="宋体"/>
                <w:sz w:val="16"/>
              </w:rPr>
              <w:t>=70个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2529D">
            <w:pPr>
              <w:jc w:val="center"/>
            </w:pPr>
            <w:r>
              <w:rPr>
                <w:rFonts w:ascii="宋体" w:hAnsi="宋体" w:eastAsia="宋体"/>
                <w:sz w:val="16"/>
              </w:rPr>
              <w:t>20</w:t>
            </w:r>
          </w:p>
        </w:tc>
      </w:tr>
      <w:tr w14:paraId="4666380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FC2D5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AC2AD4B"/>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5EBFC">
            <w:pPr>
              <w:jc w:val="center"/>
            </w:pPr>
            <w:r>
              <w:rPr>
                <w:rFonts w:ascii="宋体" w:hAnsi="宋体" w:eastAsia="宋体"/>
                <w:sz w:val="16"/>
              </w:rPr>
              <w:t>争取山西对口支援昌吉州项目</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284C935B">
            <w:pPr>
              <w:jc w:val="center"/>
            </w:pPr>
            <w:r>
              <w:rPr>
                <w:rFonts w:ascii="宋体" w:hAnsi="宋体" w:eastAsia="宋体"/>
                <w:sz w:val="16"/>
              </w:rPr>
              <w:t>&gt;=15个</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329F238">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4696911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887C29">
            <w:pPr>
              <w:jc w:val="center"/>
            </w:pPr>
            <w:r>
              <w:rPr>
                <w:rFonts w:ascii="宋体" w:hAnsi="宋体" w:eastAsia="宋体"/>
                <w:sz w:val="16"/>
              </w:rPr>
              <w:tab/>
            </w:r>
            <w:r>
              <w:rPr>
                <w:rFonts w:ascii="宋体" w:hAnsi="宋体" w:eastAsia="宋体"/>
                <w:sz w:val="16"/>
              </w:rPr>
              <w:t>=15个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EC70D2">
            <w:pPr>
              <w:jc w:val="center"/>
            </w:pPr>
            <w:r>
              <w:rPr>
                <w:rFonts w:ascii="宋体" w:hAnsi="宋体" w:eastAsia="宋体"/>
                <w:sz w:val="16"/>
              </w:rPr>
              <w:t>20</w:t>
            </w:r>
          </w:p>
        </w:tc>
      </w:tr>
      <w:tr w14:paraId="014CF08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5418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39FAA9">
            <w:pPr>
              <w:jc w:val="center"/>
            </w:pPr>
            <w:r>
              <w:rPr>
                <w:rFonts w:ascii="宋体" w:hAnsi="宋体" w:eastAsia="宋体"/>
                <w:sz w:val="16"/>
              </w:rPr>
              <w:t>质量指标</w:t>
            </w:r>
          </w:p>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175919">
            <w:pPr>
              <w:jc w:val="center"/>
            </w:pPr>
            <w:r>
              <w:rPr>
                <w:rFonts w:ascii="宋体" w:hAnsi="宋体" w:eastAsia="宋体"/>
                <w:sz w:val="16"/>
              </w:rPr>
              <w:t>提高援疆项目申报成功率</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5A336271">
            <w:pPr>
              <w:jc w:val="center"/>
            </w:pPr>
            <w:r>
              <w:rPr>
                <w:rFonts w:ascii="宋体" w:hAnsi="宋体" w:eastAsia="宋体"/>
                <w:sz w:val="16"/>
              </w:rPr>
              <w:t>=100%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676BFDDA">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2D1567C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EA31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73C9D8">
            <w:pPr>
              <w:jc w:val="center"/>
            </w:pPr>
            <w:r>
              <w:rPr>
                <w:rFonts w:ascii="宋体" w:hAnsi="宋体" w:eastAsia="宋体"/>
                <w:sz w:val="16"/>
              </w:rPr>
              <w:t>10</w:t>
            </w:r>
          </w:p>
        </w:tc>
      </w:tr>
      <w:tr w14:paraId="71932B4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811929"/>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D0B225">
            <w:pPr>
              <w:jc w:val="center"/>
            </w:pPr>
            <w:r>
              <w:rPr>
                <w:rFonts w:ascii="宋体" w:hAnsi="宋体" w:eastAsia="宋体"/>
                <w:sz w:val="16"/>
              </w:rPr>
              <w:t>时效指标</w:t>
            </w:r>
          </w:p>
        </w:tc>
        <w:tc>
          <w:tcPr>
            <w:tcW w:w="165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A4D55">
            <w:pPr>
              <w:jc w:val="center"/>
            </w:pPr>
            <w:r>
              <w:rPr>
                <w:rFonts w:ascii="宋体" w:hAnsi="宋体" w:eastAsia="宋体"/>
                <w:sz w:val="16"/>
              </w:rPr>
              <w:t>项目完成及时率（%）</w:t>
            </w:r>
          </w:p>
        </w:tc>
        <w:tc>
          <w:tcPr>
            <w:tcW w:w="1296" w:type="dxa"/>
            <w:tcBorders>
              <w:top w:val="single" w:color="auto" w:sz="10" w:space="0"/>
              <w:left w:val="single" w:color="auto" w:sz="10" w:space="0"/>
              <w:bottom w:val="single" w:color="auto" w:sz="10" w:space="0"/>
              <w:right w:val="single" w:color="auto" w:sz="10" w:space="0"/>
              <w:insideV w:val="single" w:sz="10" w:space="0"/>
            </w:tcBorders>
            <w:vAlign w:val="center"/>
          </w:tcPr>
          <w:p w14:paraId="417F1CB1">
            <w:pPr>
              <w:jc w:val="center"/>
            </w:pPr>
            <w:r>
              <w:rPr>
                <w:rFonts w:ascii="宋体" w:hAnsi="宋体" w:eastAsia="宋体"/>
                <w:sz w:val="16"/>
              </w:rPr>
              <w:t>=100%</w:t>
            </w:r>
          </w:p>
        </w:tc>
        <w:tc>
          <w:tcPr>
            <w:tcW w:w="809" w:type="dxa"/>
            <w:tcBorders>
              <w:top w:val="single" w:color="auto" w:sz="10" w:space="0"/>
              <w:left w:val="single" w:color="auto" w:sz="10" w:space="0"/>
              <w:bottom w:val="single" w:color="auto" w:sz="10" w:space="0"/>
              <w:right w:val="single" w:color="auto" w:sz="10" w:space="0"/>
              <w:insideV w:val="single" w:sz="10" w:space="0"/>
            </w:tcBorders>
            <w:vAlign w:val="center"/>
          </w:tcPr>
          <w:p w14:paraId="125E7489">
            <w:pPr>
              <w:jc w:val="center"/>
            </w:pPr>
            <w:r>
              <w:rPr>
                <w:rFonts w:ascii="宋体" w:hAnsi="宋体" w:eastAsia="宋体"/>
                <w:sz w:val="16"/>
              </w:rPr>
              <w:t>2024年援疆工作计划</w:t>
            </w:r>
          </w:p>
        </w:tc>
        <w:tc>
          <w:tcPr>
            <w:tcW w:w="1157" w:type="dxa"/>
            <w:tcBorders>
              <w:top w:val="single" w:color="auto" w:sz="10" w:space="0"/>
              <w:left w:val="single" w:color="auto" w:sz="10" w:space="0"/>
              <w:bottom w:val="single" w:color="auto" w:sz="10" w:space="0"/>
              <w:right w:val="single" w:color="auto" w:sz="10" w:space="0"/>
              <w:insideV w:val="single" w:sz="10" w:space="0"/>
            </w:tcBorders>
            <w:vAlign w:val="center"/>
          </w:tcPr>
          <w:p w14:paraId="4C5EB18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0145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62844F">
            <w:pPr>
              <w:jc w:val="center"/>
            </w:pPr>
            <w:r>
              <w:rPr>
                <w:rFonts w:ascii="宋体" w:hAnsi="宋体" w:eastAsia="宋体"/>
                <w:sz w:val="16"/>
              </w:rPr>
              <w:t>10</w:t>
            </w:r>
          </w:p>
        </w:tc>
      </w:tr>
    </w:tbl>
    <w:p w14:paraId="18870B5F">
      <w:r>
        <w:br w:type="page"/>
      </w:r>
    </w:p>
    <w:tbl>
      <w:tblPr>
        <w:tblStyle w:val="9"/>
        <w:tblW w:w="0" w:type="auto"/>
        <w:tblInd w:w="0" w:type="dxa"/>
        <w:tblLayout w:type="autofit"/>
        <w:tblCellMar>
          <w:top w:w="0" w:type="dxa"/>
          <w:left w:w="108" w:type="dxa"/>
          <w:bottom w:w="0" w:type="dxa"/>
          <w:right w:w="108" w:type="dxa"/>
        </w:tblCellMar>
      </w:tblPr>
      <w:tblGrid>
        <w:gridCol w:w="615"/>
        <w:gridCol w:w="586"/>
        <w:gridCol w:w="586"/>
        <w:gridCol w:w="629"/>
        <w:gridCol w:w="601"/>
        <w:gridCol w:w="776"/>
        <w:gridCol w:w="696"/>
        <w:gridCol w:w="776"/>
        <w:gridCol w:w="696"/>
        <w:gridCol w:w="586"/>
        <w:gridCol w:w="696"/>
        <w:gridCol w:w="586"/>
        <w:gridCol w:w="601"/>
        <w:gridCol w:w="630"/>
      </w:tblGrid>
      <w:tr w14:paraId="1EB4FC64">
        <w:tblPrEx>
          <w:tblCellMar>
            <w:top w:w="0" w:type="dxa"/>
            <w:left w:w="108" w:type="dxa"/>
            <w:bottom w:w="0" w:type="dxa"/>
            <w:right w:w="108" w:type="dxa"/>
          </w:tblCellMar>
        </w:tblPrEx>
        <w:tc>
          <w:tcPr>
            <w:tcW w:w="8848" w:type="dxa"/>
            <w:gridSpan w:val="14"/>
            <w:vAlign w:val="center"/>
          </w:tcPr>
          <w:p w14:paraId="7B5072E9">
            <w:pPr>
              <w:jc w:val="center"/>
            </w:pPr>
            <w:r>
              <w:rPr>
                <w:rFonts w:ascii="宋体" w:hAnsi="宋体" w:eastAsia="宋体"/>
                <w:sz w:val="24"/>
              </w:rPr>
              <w:t>项目支出绩效自评表</w:t>
            </w:r>
          </w:p>
        </w:tc>
      </w:tr>
      <w:tr w14:paraId="29E5ADC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0A3793">
            <w:pPr>
              <w:jc w:val="center"/>
            </w:pPr>
            <w:r>
              <w:rPr>
                <w:rFonts w:ascii="宋体" w:hAnsi="宋体" w:eastAsia="宋体"/>
                <w:sz w:val="24"/>
              </w:rPr>
              <w:t>(2024年度)</w:t>
            </w:r>
          </w:p>
        </w:tc>
      </w:tr>
      <w:tr w14:paraId="47A8E28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F2E7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D3A856">
            <w:pPr>
              <w:jc w:val="center"/>
            </w:pPr>
            <w:r>
              <w:rPr>
                <w:rFonts w:ascii="宋体" w:hAnsi="宋体" w:eastAsia="宋体"/>
                <w:sz w:val="16"/>
              </w:rPr>
              <w:t>援疆工作经费项目</w:t>
            </w:r>
          </w:p>
        </w:tc>
      </w:tr>
      <w:tr w14:paraId="12E2EA7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36D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53D738">
            <w:pPr>
              <w:jc w:val="center"/>
            </w:pPr>
            <w:r>
              <w:rPr>
                <w:rFonts w:ascii="宋体" w:hAnsi="宋体" w:eastAsia="宋体"/>
                <w:sz w:val="16"/>
              </w:rPr>
              <w:t>昌吉州发展和改革委员会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25EA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022CBE">
            <w:pPr>
              <w:jc w:val="center"/>
            </w:pPr>
            <w:r>
              <w:rPr>
                <w:rFonts w:ascii="宋体" w:hAnsi="宋体" w:eastAsia="宋体"/>
                <w:sz w:val="16"/>
              </w:rPr>
              <w:t>昌吉回族自治州对口援疆工作领导小组办公室</w:t>
            </w:r>
          </w:p>
        </w:tc>
      </w:tr>
      <w:tr w14:paraId="483029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19285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1C22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54E2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1E1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CD16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5490D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E0808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F63DC">
            <w:pPr>
              <w:jc w:val="center"/>
            </w:pPr>
            <w:r>
              <w:rPr>
                <w:rFonts w:ascii="宋体" w:hAnsi="宋体" w:eastAsia="宋体"/>
                <w:sz w:val="16"/>
              </w:rPr>
              <w:t>得分</w:t>
            </w:r>
          </w:p>
        </w:tc>
      </w:tr>
      <w:tr w14:paraId="0436ED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9D9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7FA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1AC2FB">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2B942">
            <w:pPr>
              <w:jc w:val="center"/>
            </w:pPr>
            <w:r>
              <w:rPr>
                <w:rFonts w:ascii="宋体" w:hAnsi="宋体" w:eastAsia="宋体"/>
                <w:sz w:val="16"/>
              </w:rPr>
              <w:t>87.79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DDA9F">
            <w:pPr>
              <w:jc w:val="center"/>
            </w:pPr>
            <w:r>
              <w:rPr>
                <w:rFonts w:ascii="宋体" w:hAnsi="宋体" w:eastAsia="宋体"/>
                <w:sz w:val="16"/>
              </w:rPr>
              <w:t>87.79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C261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32C3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B2C52">
            <w:pPr>
              <w:jc w:val="center"/>
            </w:pPr>
            <w:r>
              <w:rPr>
                <w:rFonts w:ascii="宋体" w:hAnsi="宋体" w:eastAsia="宋体"/>
                <w:sz w:val="16"/>
              </w:rPr>
              <w:t>10.00</w:t>
            </w:r>
          </w:p>
        </w:tc>
      </w:tr>
      <w:tr w14:paraId="24AC5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FB5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FCF5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538D0">
            <w:pPr>
              <w:jc w:val="center"/>
            </w:pPr>
            <w:r>
              <w:rPr>
                <w:rFonts w:ascii="宋体" w:hAnsi="宋体" w:eastAsia="宋体"/>
                <w:sz w:val="16"/>
              </w:rPr>
              <w:t>100.00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B30CA0">
            <w:pPr>
              <w:jc w:val="center"/>
            </w:pPr>
            <w:r>
              <w:rPr>
                <w:rFonts w:ascii="宋体" w:hAnsi="宋体" w:eastAsia="宋体"/>
                <w:sz w:val="16"/>
              </w:rPr>
              <w:t>87.79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A3594">
            <w:pPr>
              <w:jc w:val="center"/>
            </w:pPr>
            <w:r>
              <w:rPr>
                <w:rFonts w:ascii="宋体" w:hAnsi="宋体" w:eastAsia="宋体"/>
                <w:sz w:val="16"/>
              </w:rPr>
              <w:t>87.79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130D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CD5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2BFF1">
            <w:pPr>
              <w:jc w:val="center"/>
            </w:pPr>
            <w:r>
              <w:rPr>
                <w:rFonts w:ascii="宋体" w:hAnsi="宋体" w:eastAsia="宋体"/>
                <w:sz w:val="16"/>
              </w:rPr>
              <w:t>—</w:t>
            </w:r>
          </w:p>
        </w:tc>
      </w:tr>
      <w:tr w14:paraId="33F1B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FD9F3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5B7A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C2D1F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D047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05A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1F5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D18D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A4333">
            <w:pPr>
              <w:jc w:val="center"/>
            </w:pPr>
            <w:r>
              <w:rPr>
                <w:rFonts w:ascii="宋体" w:hAnsi="宋体" w:eastAsia="宋体"/>
                <w:sz w:val="16"/>
              </w:rPr>
              <w:t>—</w:t>
            </w:r>
          </w:p>
        </w:tc>
      </w:tr>
      <w:tr w14:paraId="56E849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07750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31F83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B53C8D">
            <w:pPr>
              <w:jc w:val="center"/>
            </w:pPr>
            <w:r>
              <w:rPr>
                <w:rFonts w:ascii="宋体" w:hAnsi="宋体" w:eastAsia="宋体"/>
                <w:sz w:val="16"/>
              </w:rPr>
              <w:t>实际完成情况</w:t>
            </w:r>
          </w:p>
        </w:tc>
      </w:tr>
      <w:tr w14:paraId="1963F7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E591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0C1811">
            <w:pPr>
              <w:jc w:val="both"/>
            </w:pPr>
            <w:r>
              <w:rPr>
                <w:rFonts w:ascii="宋体" w:hAnsi="宋体" w:eastAsia="宋体"/>
                <w:sz w:val="16"/>
              </w:rPr>
              <w:t>该项目主要用于搞好对口支援省市的产业对接、指导各县市援疆办做好产业援疆工作；牵头负责援助资金投资的各类建设项目的审批协调服务及跟踪落实，负责指导州直项目及各县市项目的组织实施，督促检查项目的进展情况。与福建、山西两省援疆前方指挥部、援疆省市做好联络工作。服务援疆省市各级领导考察、接待工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CD9948">
            <w:pPr>
              <w:jc w:val="both"/>
            </w:pPr>
            <w:r>
              <w:rPr>
                <w:rFonts w:ascii="宋体" w:hAnsi="宋体" w:eastAsia="宋体"/>
                <w:sz w:val="16"/>
              </w:rPr>
              <w:t>截至2024年12月31日，组织企业参加产业援疆大会4次；争取福建援疆项目70个，山西援疆项目15个，牵头负责援助资金投资的各类建设项目的审批协调服务及跟踪落实，每月向自治区报送援疆项目进度，负责指导州直项目及各县市项目的组织实施，前往县市开展工作指导2次，督促检查项目的进展情况。与福建、山西两省援疆前方指挥部、援疆省市做好联络工作，迎接福建省、山</w:t>
            </w:r>
            <w:r>
              <w:rPr>
                <w:rFonts w:hint="eastAsia" w:ascii="宋体" w:hAnsi="宋体"/>
                <w:sz w:val="16"/>
                <w:lang w:eastAsia="zh-CN"/>
              </w:rPr>
              <w:t>西省</w:t>
            </w:r>
            <w:r>
              <w:rPr>
                <w:rFonts w:ascii="宋体" w:hAnsi="宋体" w:eastAsia="宋体"/>
                <w:sz w:val="16"/>
              </w:rPr>
              <w:t>领导调研2次。慰问福建、山西前指领导2次。通过项目的实施，援疆项目实施顺利，实施教育、医疗、卫生等民生领域项目，开展形式多样的交往交流交融活动，增强了昌吉州人民的幸福感、获得感、认同感。</w:t>
            </w:r>
          </w:p>
        </w:tc>
      </w:tr>
      <w:tr w14:paraId="02FD61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C82C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EF6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5D6F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FD01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16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6D9E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79B9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1373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80D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ACA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BCE9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06BD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6246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B3EC">
            <w:pPr>
              <w:jc w:val="center"/>
            </w:pPr>
            <w:r>
              <w:rPr>
                <w:rFonts w:ascii="宋体" w:hAnsi="宋体" w:eastAsia="宋体"/>
                <w:sz w:val="16"/>
              </w:rPr>
              <w:t>偏差原因分析及改进措施</w:t>
            </w:r>
          </w:p>
        </w:tc>
      </w:tr>
      <w:tr w14:paraId="58A427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1FDA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B91BA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29872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3F769">
            <w:pPr>
              <w:jc w:val="center"/>
            </w:pPr>
            <w:r>
              <w:rPr>
                <w:rFonts w:ascii="宋体" w:hAnsi="宋体" w:eastAsia="宋体"/>
                <w:sz w:val="16"/>
              </w:rPr>
              <w:t>争取福建对口支援昌吉州项目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0E4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F08C">
            <w:pPr>
              <w:jc w:val="center"/>
            </w:pPr>
            <w:r>
              <w:rPr>
                <w:rFonts w:ascii="宋体" w:hAnsi="宋体" w:eastAsia="宋体"/>
                <w:sz w:val="16"/>
              </w:rPr>
              <w:t>&gt;=70个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FAB70">
            <w:pPr>
              <w:jc w:val="center"/>
            </w:pPr>
            <w:r>
              <w:rPr>
                <w:rFonts w:ascii="宋体" w:hAnsi="宋体" w:eastAsia="宋体"/>
                <w:sz w:val="16"/>
              </w:rPr>
              <w:t>=70个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FA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A5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527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3F9DC">
            <w:pPr>
              <w:jc w:val="center"/>
            </w:pPr>
            <w:r>
              <w:rPr>
                <w:rFonts w:ascii="宋体" w:hAnsi="宋体" w:eastAsia="宋体"/>
                <w:sz w:val="16"/>
              </w:rPr>
              <w:t>106个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C4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F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0C45">
            <w:pPr>
              <w:jc w:val="center"/>
            </w:pPr>
          </w:p>
        </w:tc>
      </w:tr>
      <w:tr w14:paraId="5744C7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75F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39CE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46A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32802">
            <w:pPr>
              <w:jc w:val="center"/>
            </w:pPr>
            <w:r>
              <w:rPr>
                <w:rFonts w:ascii="宋体" w:hAnsi="宋体" w:eastAsia="宋体"/>
                <w:sz w:val="16"/>
              </w:rPr>
              <w:t>争取山西对口支援昌吉州项目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20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1AF34">
            <w:pPr>
              <w:jc w:val="center"/>
            </w:pPr>
            <w:r>
              <w:rPr>
                <w:rFonts w:ascii="宋体" w:hAnsi="宋体" w:eastAsia="宋体"/>
                <w:sz w:val="16"/>
              </w:rPr>
              <w:t>&gt;=15个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A481">
            <w:pPr>
              <w:jc w:val="center"/>
            </w:pPr>
            <w:r>
              <w:rPr>
                <w:rFonts w:ascii="宋体" w:hAnsi="宋体" w:eastAsia="宋体"/>
                <w:sz w:val="16"/>
              </w:rPr>
              <w:t>=15个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1E9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12B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A20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CCA84">
            <w:pPr>
              <w:jc w:val="center"/>
            </w:pPr>
            <w:r>
              <w:rPr>
                <w:rFonts w:ascii="宋体" w:hAnsi="宋体" w:eastAsia="宋体"/>
                <w:sz w:val="16"/>
              </w:rPr>
              <w:t>13个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93E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DDAC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0D67">
            <w:pPr>
              <w:jc w:val="center"/>
            </w:pPr>
          </w:p>
        </w:tc>
      </w:tr>
      <w:tr w14:paraId="38CDD7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FA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AA82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D3F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4FA83">
            <w:pPr>
              <w:jc w:val="center"/>
            </w:pPr>
            <w:r>
              <w:rPr>
                <w:rFonts w:ascii="宋体" w:hAnsi="宋体" w:eastAsia="宋体"/>
                <w:sz w:val="16"/>
              </w:rPr>
              <w:t>提高援疆项目申报成功率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56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AE4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365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42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F8A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2D0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BF4E5">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A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57FA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8D614">
            <w:pPr>
              <w:jc w:val="center"/>
            </w:pPr>
          </w:p>
        </w:tc>
      </w:tr>
      <w:tr w14:paraId="56804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62C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C68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B06B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F43F3">
            <w:pPr>
              <w:jc w:val="center"/>
            </w:pPr>
            <w:r>
              <w:rPr>
                <w:rFonts w:ascii="宋体" w:hAnsi="宋体" w:eastAsia="宋体"/>
                <w:sz w:val="16"/>
              </w:rPr>
              <w:t>争取援疆项目资金全部到位率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C09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C0F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79E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77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FB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7B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6F69">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0DA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7F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4B4A3">
            <w:pPr>
              <w:jc w:val="center"/>
            </w:pPr>
          </w:p>
        </w:tc>
      </w:tr>
      <w:tr w14:paraId="4A9155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A4F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1460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844E8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7044">
            <w:pPr>
              <w:jc w:val="center"/>
            </w:pPr>
            <w:r>
              <w:rPr>
                <w:rFonts w:ascii="宋体" w:hAnsi="宋体" w:eastAsia="宋体"/>
                <w:sz w:val="16"/>
              </w:rPr>
              <w:t>争取援疆项目资金按时到位率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D65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6C9D1">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8A47D">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5F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84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EB0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204D">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8A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E15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EE5B2">
            <w:pPr>
              <w:jc w:val="center"/>
            </w:pPr>
          </w:p>
        </w:tc>
      </w:tr>
      <w:tr w14:paraId="217498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E12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2B26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6DC5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23E04">
            <w:pPr>
              <w:jc w:val="center"/>
            </w:pPr>
            <w:r>
              <w:rPr>
                <w:rFonts w:ascii="宋体" w:hAnsi="宋体" w:eastAsia="宋体"/>
                <w:sz w:val="16"/>
              </w:rPr>
              <w:t>项目完成及时率（%）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FEE7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A774">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D3364">
            <w:pPr>
              <w:jc w:val="center"/>
            </w:pPr>
            <w:r>
              <w:rPr>
                <w:rFonts w:ascii="宋体" w:hAnsi="宋体" w:eastAsia="宋体"/>
                <w:sz w:val="16"/>
              </w:rPr>
              <w:t>2024年12月13日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158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E43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624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D269">
            <w:pPr>
              <w:jc w:val="center"/>
            </w:pPr>
            <w:r>
              <w:rPr>
                <w:rFonts w:ascii="宋体" w:hAnsi="宋体" w:eastAsia="宋体"/>
                <w:sz w:val="16"/>
              </w:rPr>
              <w:t>52.31%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EE9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E3B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13A707">
            <w:pPr>
              <w:jc w:val="center"/>
            </w:pPr>
          </w:p>
        </w:tc>
      </w:tr>
      <w:tr w14:paraId="2CA980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B486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6047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E545A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4891B">
            <w:pPr>
              <w:jc w:val="center"/>
            </w:pPr>
            <w:r>
              <w:rPr>
                <w:rFonts w:ascii="宋体" w:hAnsi="宋体" w:eastAsia="宋体"/>
                <w:sz w:val="16"/>
              </w:rPr>
              <w:t>办公耗材、项目资料印刷支出等办公经费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C57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0CC0">
            <w:pPr>
              <w:jc w:val="center"/>
            </w:pPr>
            <w:r>
              <w:rPr>
                <w:rFonts w:ascii="宋体" w:hAnsi="宋体" w:eastAsia="宋体"/>
                <w:sz w:val="16"/>
              </w:rPr>
              <w:t>&lt;=21.63万元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8B027">
            <w:pPr>
              <w:jc w:val="center"/>
            </w:pPr>
            <w:r>
              <w:rPr>
                <w:rFonts w:ascii="宋体" w:hAnsi="宋体" w:eastAsia="宋体"/>
                <w:sz w:val="16"/>
              </w:rPr>
              <w:t>=21.63万元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5C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FE0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FA41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5249F">
            <w:pPr>
              <w:jc w:val="center"/>
            </w:pPr>
            <w:r>
              <w:rPr>
                <w:rFonts w:ascii="宋体" w:hAnsi="宋体" w:eastAsia="宋体"/>
                <w:sz w:val="16"/>
              </w:rPr>
              <w:t>9.94万元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FFF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53B3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BCB5">
            <w:pPr>
              <w:jc w:val="center"/>
            </w:pPr>
          </w:p>
        </w:tc>
      </w:tr>
      <w:tr w14:paraId="118D90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D8028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844D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950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E41F9">
            <w:pPr>
              <w:jc w:val="center"/>
            </w:pPr>
            <w:r>
              <w:rPr>
                <w:rFonts w:ascii="宋体" w:hAnsi="宋体" w:eastAsia="宋体"/>
                <w:sz w:val="16"/>
              </w:rPr>
              <w:t>邀请专家评审、验收援疆项目等劳务费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4B5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A502D">
            <w:pPr>
              <w:jc w:val="center"/>
            </w:pPr>
            <w:r>
              <w:rPr>
                <w:rFonts w:ascii="宋体" w:hAnsi="宋体" w:eastAsia="宋体"/>
                <w:sz w:val="16"/>
              </w:rPr>
              <w:t>&lt;=48.14万元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48754">
            <w:pPr>
              <w:jc w:val="center"/>
            </w:pPr>
            <w:r>
              <w:rPr>
                <w:rFonts w:ascii="宋体" w:hAnsi="宋体" w:eastAsia="宋体"/>
                <w:sz w:val="16"/>
              </w:rPr>
              <w:t>=48.14元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B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2FC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2E9B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BEDE0">
            <w:pPr>
              <w:jc w:val="center"/>
            </w:pPr>
            <w:r>
              <w:rPr>
                <w:rFonts w:ascii="宋体" w:hAnsi="宋体" w:eastAsia="宋体"/>
                <w:sz w:val="16"/>
              </w:rPr>
              <w:t>17.34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43B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0E08">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85DD5">
            <w:pPr>
              <w:jc w:val="center"/>
            </w:pPr>
          </w:p>
        </w:tc>
      </w:tr>
      <w:tr w14:paraId="45CC2B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E212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B439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9F7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83C54">
            <w:pPr>
              <w:jc w:val="center"/>
            </w:pPr>
            <w:r>
              <w:rPr>
                <w:rFonts w:ascii="宋体" w:hAnsi="宋体" w:eastAsia="宋体"/>
                <w:sz w:val="16"/>
              </w:rPr>
              <w:t>援疆项目工作检查、调研经费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CB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8833">
            <w:pPr>
              <w:jc w:val="center"/>
            </w:pPr>
            <w:r>
              <w:rPr>
                <w:rFonts w:ascii="宋体" w:hAnsi="宋体" w:eastAsia="宋体"/>
                <w:sz w:val="16"/>
              </w:rPr>
              <w:t>&lt;=18.02万元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CB523">
            <w:pPr>
              <w:jc w:val="center"/>
            </w:pPr>
            <w:r>
              <w:rPr>
                <w:rFonts w:ascii="宋体" w:hAnsi="宋体" w:eastAsia="宋体"/>
                <w:sz w:val="16"/>
              </w:rPr>
              <w:t>=18.02万元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B57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144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8CF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A2F69">
            <w:pPr>
              <w:jc w:val="center"/>
            </w:pPr>
            <w:r>
              <w:rPr>
                <w:rFonts w:ascii="宋体" w:hAnsi="宋体" w:eastAsia="宋体"/>
                <w:sz w:val="16"/>
              </w:rPr>
              <w:t>3.56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71B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0B9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0ACD6">
            <w:pPr>
              <w:jc w:val="center"/>
            </w:pPr>
          </w:p>
        </w:tc>
      </w:tr>
      <w:tr w14:paraId="5CBE43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B33E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D6E510">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39B8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8B478">
            <w:pPr>
              <w:jc w:val="center"/>
            </w:pPr>
            <w:r>
              <w:rPr>
                <w:rFonts w:ascii="宋体" w:hAnsi="宋体" w:eastAsia="宋体"/>
                <w:sz w:val="16"/>
              </w:rPr>
              <w:t>持续改善群众生产生活条件、文化、教育和医疗卫生水平。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A9B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E83B1">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3DEB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DA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470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A32F2">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8A8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06B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6B8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FCDEE">
            <w:pPr>
              <w:jc w:val="center"/>
            </w:pPr>
          </w:p>
        </w:tc>
      </w:tr>
      <w:tr w14:paraId="03DF97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12F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263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A71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E4C2A">
            <w:pPr>
              <w:jc w:val="center"/>
            </w:pPr>
            <w:r>
              <w:rPr>
                <w:rFonts w:ascii="宋体" w:hAnsi="宋体" w:eastAsia="宋体"/>
                <w:sz w:val="16"/>
              </w:rPr>
              <w:t>深化援受双方交流、促进闽晋昌三地交流互鉴，加强中华民族共同体意识。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9E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1B485">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8B03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138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7EA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3CF7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C58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2790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7BE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598AE">
            <w:pPr>
              <w:jc w:val="center"/>
            </w:pPr>
          </w:p>
        </w:tc>
      </w:tr>
      <w:tr w14:paraId="3CFF2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3B6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61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C17D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7068E">
            <w:pPr>
              <w:jc w:val="center"/>
            </w:pPr>
            <w:r>
              <w:rPr>
                <w:rFonts w:ascii="宋体" w:hAnsi="宋体" w:eastAsia="宋体"/>
                <w:sz w:val="16"/>
              </w:rPr>
              <w:t>机关干部满意度（%）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37C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AE64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2F1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AA11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D4C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B5DA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27C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2E29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B3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FE78A">
            <w:pPr>
              <w:jc w:val="center"/>
            </w:pPr>
            <w:r>
              <w:rPr>
                <w:rFonts w:ascii="宋体" w:hAnsi="宋体" w:eastAsia="宋体"/>
                <w:sz w:val="16"/>
              </w:rPr>
              <w:t>考虑实际工作中的困难，目标值设置较低，实际超额完成。</w:t>
            </w:r>
          </w:p>
        </w:tc>
      </w:tr>
      <w:tr w14:paraId="0D02717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A7BD51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213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7473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F8FE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B31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67FA2">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4CAA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DE1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29E0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AD4D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B91A13"/>
        </w:tc>
      </w:tr>
    </w:tbl>
    <w:p w14:paraId="0B445D72">
      <w:r>
        <w:br w:type="page"/>
      </w:r>
    </w:p>
    <w:p w14:paraId="3DC45857">
      <w:pPr>
        <w:spacing w:line="640" w:lineRule="exact"/>
        <w:ind w:firstLine="640"/>
        <w:jc w:val="both"/>
        <w:outlineLvl w:val="2"/>
      </w:pPr>
      <w:r>
        <w:rPr>
          <w:rFonts w:ascii="黑体" w:hAnsi="黑体" w:eastAsia="黑体"/>
          <w:sz w:val="32"/>
        </w:rPr>
        <w:t>十二、其他需说明的事项</w:t>
      </w:r>
    </w:p>
    <w:p w14:paraId="599EC811">
      <w:pPr>
        <w:spacing w:line="580" w:lineRule="exact"/>
        <w:ind w:firstLine="640"/>
        <w:jc w:val="both"/>
      </w:pPr>
      <w:r>
        <w:rPr>
          <w:rFonts w:ascii="仿宋_GB2312" w:hAnsi="仿宋_GB2312" w:eastAsia="仿宋_GB2312"/>
          <w:b w:val="0"/>
          <w:sz w:val="32"/>
        </w:rPr>
        <w:t>本单位无其他需说明的事项。</w:t>
      </w:r>
    </w:p>
    <w:p w14:paraId="12B4C3FF">
      <w:r>
        <w:br w:type="page"/>
      </w:r>
    </w:p>
    <w:p w14:paraId="315162E8">
      <w:pPr>
        <w:spacing w:line="240" w:lineRule="auto"/>
        <w:jc w:val="center"/>
        <w:outlineLvl w:val="1"/>
      </w:pPr>
      <w:r>
        <w:rPr>
          <w:rFonts w:ascii="黑体" w:hAnsi="黑体" w:eastAsia="黑体"/>
          <w:sz w:val="32"/>
        </w:rPr>
        <w:t>第三部分 专业名词解释</w:t>
      </w:r>
    </w:p>
    <w:p w14:paraId="391C94B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F99CE4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1228DFE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16569F6">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BC97C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AE15E8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B9EA875">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FD8957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7A46F2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2FC3299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00EC9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9586D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4A48D1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CF9296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C068C7D">
      <w:r>
        <w:br w:type="page"/>
      </w:r>
    </w:p>
    <w:p w14:paraId="6BD45A7F">
      <w:pPr>
        <w:spacing w:line="240" w:lineRule="auto"/>
        <w:jc w:val="center"/>
        <w:outlineLvl w:val="1"/>
      </w:pPr>
      <w:r>
        <w:rPr>
          <w:rFonts w:ascii="黑体" w:hAnsi="黑体" w:eastAsia="黑体"/>
          <w:sz w:val="32"/>
        </w:rPr>
        <w:t>第四部分 部门决算报表（见附表）</w:t>
      </w:r>
    </w:p>
    <w:p w14:paraId="61B60EBC">
      <w:pPr>
        <w:spacing w:line="240" w:lineRule="auto"/>
        <w:ind w:firstLine="640"/>
        <w:jc w:val="both"/>
      </w:pPr>
      <w:r>
        <w:rPr>
          <w:rFonts w:ascii="仿宋_GB2312" w:hAnsi="仿宋_GB2312" w:eastAsia="仿宋_GB2312"/>
          <w:b w:val="0"/>
          <w:sz w:val="32"/>
        </w:rPr>
        <w:t>一、《收入支出决算总表》</w:t>
      </w:r>
    </w:p>
    <w:p w14:paraId="52E44AE9">
      <w:pPr>
        <w:spacing w:line="240" w:lineRule="auto"/>
        <w:ind w:firstLine="640"/>
        <w:jc w:val="both"/>
      </w:pPr>
      <w:r>
        <w:rPr>
          <w:rFonts w:ascii="仿宋_GB2312" w:hAnsi="仿宋_GB2312" w:eastAsia="仿宋_GB2312"/>
          <w:b w:val="0"/>
          <w:sz w:val="32"/>
        </w:rPr>
        <w:t>二、《收入决算表》</w:t>
      </w:r>
    </w:p>
    <w:p w14:paraId="445D909C">
      <w:pPr>
        <w:spacing w:line="240" w:lineRule="auto"/>
        <w:ind w:firstLine="640"/>
        <w:jc w:val="both"/>
      </w:pPr>
      <w:r>
        <w:rPr>
          <w:rFonts w:ascii="仿宋_GB2312" w:hAnsi="仿宋_GB2312" w:eastAsia="仿宋_GB2312"/>
          <w:b w:val="0"/>
          <w:sz w:val="32"/>
        </w:rPr>
        <w:t>三、《支出决算表》</w:t>
      </w:r>
    </w:p>
    <w:p w14:paraId="69839E33">
      <w:pPr>
        <w:spacing w:line="240" w:lineRule="auto"/>
        <w:ind w:firstLine="640"/>
        <w:jc w:val="both"/>
      </w:pPr>
      <w:r>
        <w:rPr>
          <w:rFonts w:ascii="仿宋_GB2312" w:hAnsi="仿宋_GB2312" w:eastAsia="仿宋_GB2312"/>
          <w:b w:val="0"/>
          <w:sz w:val="32"/>
        </w:rPr>
        <w:t>四、《财政拨款收入支出决算总表》</w:t>
      </w:r>
    </w:p>
    <w:p w14:paraId="64AA5933">
      <w:pPr>
        <w:spacing w:line="240" w:lineRule="auto"/>
        <w:ind w:firstLine="640"/>
        <w:jc w:val="both"/>
      </w:pPr>
      <w:r>
        <w:rPr>
          <w:rFonts w:ascii="仿宋_GB2312" w:hAnsi="仿宋_GB2312" w:eastAsia="仿宋_GB2312"/>
          <w:b w:val="0"/>
          <w:sz w:val="32"/>
        </w:rPr>
        <w:t>五、《一般公共预算财政拨款支出决算表》</w:t>
      </w:r>
    </w:p>
    <w:p w14:paraId="60A6FBAD">
      <w:pPr>
        <w:spacing w:line="240" w:lineRule="auto"/>
        <w:ind w:firstLine="640"/>
        <w:jc w:val="both"/>
      </w:pPr>
      <w:r>
        <w:rPr>
          <w:rFonts w:ascii="仿宋_GB2312" w:hAnsi="仿宋_GB2312" w:eastAsia="仿宋_GB2312"/>
          <w:b w:val="0"/>
          <w:sz w:val="32"/>
        </w:rPr>
        <w:t>六、《一般公共预算财政拨款基本支出决算表》</w:t>
      </w:r>
    </w:p>
    <w:p w14:paraId="7B0A1D98">
      <w:pPr>
        <w:spacing w:line="240" w:lineRule="auto"/>
        <w:ind w:firstLine="640"/>
        <w:jc w:val="both"/>
      </w:pPr>
      <w:r>
        <w:rPr>
          <w:rFonts w:ascii="仿宋_GB2312" w:hAnsi="仿宋_GB2312" w:eastAsia="仿宋_GB2312"/>
          <w:b w:val="0"/>
          <w:sz w:val="32"/>
        </w:rPr>
        <w:t>七、《政府性基金预算财政拨款收入支出决算表》</w:t>
      </w:r>
    </w:p>
    <w:p w14:paraId="730CA207">
      <w:pPr>
        <w:spacing w:line="240" w:lineRule="auto"/>
        <w:ind w:firstLine="640"/>
        <w:jc w:val="both"/>
      </w:pPr>
      <w:r>
        <w:rPr>
          <w:rFonts w:ascii="仿宋_GB2312" w:hAnsi="仿宋_GB2312" w:eastAsia="仿宋_GB2312"/>
          <w:b w:val="0"/>
          <w:sz w:val="32"/>
        </w:rPr>
        <w:t>八、《国有资本经营预算财政拨款收入支出决算表》</w:t>
      </w:r>
    </w:p>
    <w:p w14:paraId="4E7DA795">
      <w:pPr>
        <w:spacing w:line="240" w:lineRule="auto"/>
        <w:ind w:firstLine="640"/>
        <w:jc w:val="both"/>
      </w:pPr>
      <w:r>
        <w:rPr>
          <w:rFonts w:ascii="仿宋_GB2312" w:hAnsi="仿宋_GB2312" w:eastAsia="仿宋_GB2312"/>
          <w:b w:val="0"/>
          <w:sz w:val="32"/>
        </w:rPr>
        <w:t>九、《财政拨款“三公”经费支出决算表》</w:t>
      </w:r>
    </w:p>
    <w:p w14:paraId="13502C39">
      <w:pPr>
        <w:spacing w:line="240" w:lineRule="auto"/>
        <w:ind w:firstLine="640"/>
        <w:jc w:val="both"/>
      </w:pPr>
    </w:p>
    <w:p w14:paraId="1C7E1F90">
      <w:pPr>
        <w:spacing w:line="240" w:lineRule="auto"/>
        <w:ind w:firstLine="640"/>
        <w:jc w:val="both"/>
      </w:pPr>
    </w:p>
    <w:p w14:paraId="2919BE6B">
      <w:pPr>
        <w:spacing w:line="240" w:lineRule="auto"/>
        <w:ind w:firstLine="640"/>
        <w:jc w:val="both"/>
      </w:pPr>
    </w:p>
    <w:p w14:paraId="7ECB6A7E">
      <w:pPr>
        <w:spacing w:line="240" w:lineRule="auto"/>
        <w:ind w:firstLine="640"/>
        <w:jc w:val="both"/>
      </w:pPr>
    </w:p>
    <w:p w14:paraId="5F3EB13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724DD7-32AF-4379-A8D8-82641C1B7E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4CCD4036-FFF2-471B-9A99-07D640DD6D67}"/>
  </w:font>
  <w:font w:name="仿宋_GB2312">
    <w:altName w:val="仿宋"/>
    <w:panose1 w:val="02010609030101010101"/>
    <w:charset w:val="86"/>
    <w:family w:val="modern"/>
    <w:pitch w:val="default"/>
    <w:sig w:usb0="00000000" w:usb1="00000000" w:usb2="00000000" w:usb3="00000000" w:csb0="00040000" w:csb1="00000000"/>
    <w:embedRegular r:id="rId3" w:fontKey="{D6C2D5DC-7E41-42EE-91B7-0C5AA394487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5F70CAEA-AE36-425C-839E-2B7CC30E5401}"/>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BDC5663"/>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ECE12B6"/>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5651</Words>
  <Characters>6477</Characters>
  <Lines>0</Lines>
  <Paragraphs>0</Paragraphs>
  <TotalTime>7</TotalTime>
  <ScaleCrop>false</ScaleCrop>
  <LinksUpToDate>false</LinksUpToDate>
  <CharactersWithSpaces>6491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2025-10-15T04:21:27Z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