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昌吉回族自治州地震局2024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F55CF1F">
      <w:r>
        <w:br w:type="page"/>
      </w:r>
    </w:p>
    <w:p w14:paraId="3F7E483C">
      <w:pPr>
        <w:spacing w:line="640" w:lineRule="exact"/>
        <w:jc w:val="center"/>
        <w:outlineLvl w:val="1"/>
      </w:pPr>
      <w:r>
        <w:rPr>
          <w:rFonts w:ascii="黑体" w:hAnsi="黑体" w:eastAsia="黑体"/>
          <w:sz w:val="32"/>
        </w:rPr>
        <w:t>第一部分 单位概况</w:t>
      </w:r>
    </w:p>
    <w:p w14:paraId="3AFB02F2">
      <w:pPr>
        <w:spacing w:line="640" w:lineRule="exact"/>
        <w:ind w:firstLine="640"/>
        <w:jc w:val="both"/>
        <w:outlineLvl w:val="2"/>
      </w:pPr>
      <w:r>
        <w:rPr>
          <w:rFonts w:ascii="黑体" w:hAnsi="黑体" w:eastAsia="黑体"/>
          <w:sz w:val="32"/>
        </w:rPr>
        <w:t>一、主要职能</w:t>
      </w:r>
    </w:p>
    <w:p w14:paraId="313CA26E">
      <w:pPr>
        <w:spacing w:line="580" w:lineRule="exact"/>
        <w:ind w:firstLine="640"/>
        <w:jc w:val="both"/>
      </w:pPr>
      <w:r>
        <w:rPr>
          <w:rFonts w:ascii="仿宋_GB2312" w:hAnsi="仿宋_GB2312" w:eastAsia="仿宋_GB2312"/>
          <w:sz w:val="32"/>
        </w:rPr>
        <w:t>为国家建设和人民生活提供地震管理保障，防震减灾科技管理、地震监测预报管理、防震减灾执法监督、抗震设防要求管理、地震应急、防震减灾宣传。</w:t>
      </w:r>
    </w:p>
    <w:p w14:paraId="3F505A49">
      <w:pPr>
        <w:spacing w:line="640" w:lineRule="exact"/>
        <w:ind w:firstLine="640"/>
        <w:jc w:val="both"/>
        <w:outlineLvl w:val="2"/>
      </w:pPr>
      <w:r>
        <w:rPr>
          <w:rFonts w:ascii="黑体" w:hAnsi="黑体" w:eastAsia="黑体"/>
          <w:sz w:val="32"/>
        </w:rPr>
        <w:t>二、机构设置及人员情况</w:t>
      </w:r>
    </w:p>
    <w:p w14:paraId="7F69B666">
      <w:pPr>
        <w:spacing w:line="580" w:lineRule="exact"/>
        <w:ind w:firstLine="640"/>
        <w:jc w:val="both"/>
      </w:pPr>
      <w:r>
        <w:rPr>
          <w:rFonts w:ascii="仿宋_GB2312" w:hAnsi="仿宋_GB2312" w:eastAsia="仿宋_GB2312"/>
          <w:sz w:val="32"/>
        </w:rPr>
        <w:t>昌吉回族自治州地震局2024年度，实有人数16人，其中：在职人员10人，增加0人；离休人员0人，增加0人；退休人员6人,减少1人。</w:t>
      </w:r>
    </w:p>
    <w:p w14:paraId="2F114079">
      <w:pPr>
        <w:spacing w:line="580" w:lineRule="exact"/>
        <w:ind w:firstLine="640"/>
        <w:jc w:val="both"/>
      </w:pPr>
      <w:r>
        <w:rPr>
          <w:rFonts w:ascii="仿宋_GB2312" w:hAnsi="仿宋_GB2312" w:eastAsia="仿宋_GB2312"/>
          <w:sz w:val="32"/>
        </w:rPr>
        <w:t>昌吉回族自治州地震局无下属预算单位，下设3个科室，分别是：监测预报科（地震监测网络中心）、震害防御科、综合科(组织人事科)。</w:t>
      </w:r>
    </w:p>
    <w:p w14:paraId="1B2BE716">
      <w:r>
        <w:br w:type="page"/>
      </w:r>
    </w:p>
    <w:p w14:paraId="0F9ECCEB">
      <w:pPr>
        <w:spacing w:line="240" w:lineRule="auto"/>
        <w:jc w:val="center"/>
        <w:outlineLvl w:val="1"/>
      </w:pPr>
      <w:r>
        <w:rPr>
          <w:rFonts w:ascii="黑体" w:hAnsi="黑体" w:eastAsia="黑体"/>
          <w:sz w:val="32"/>
        </w:rPr>
        <w:t>第二部分 部门决算情况说明</w:t>
      </w:r>
    </w:p>
    <w:p w14:paraId="63C41C12">
      <w:pPr>
        <w:spacing w:line="640" w:lineRule="exact"/>
        <w:ind w:firstLine="640"/>
        <w:jc w:val="both"/>
        <w:outlineLvl w:val="2"/>
      </w:pPr>
      <w:r>
        <w:rPr>
          <w:rFonts w:ascii="黑体" w:hAnsi="黑体" w:eastAsia="黑体"/>
          <w:sz w:val="32"/>
        </w:rPr>
        <w:t>一、收入支出决算总体情况说明</w:t>
      </w:r>
    </w:p>
    <w:p w14:paraId="24787956">
      <w:pPr>
        <w:spacing w:line="580" w:lineRule="exact"/>
        <w:ind w:firstLine="640"/>
        <w:jc w:val="both"/>
      </w:pPr>
      <w:r>
        <w:rPr>
          <w:rFonts w:ascii="仿宋_GB2312" w:hAnsi="仿宋_GB2312" w:eastAsia="仿宋_GB2312"/>
          <w:b/>
          <w:sz w:val="32"/>
        </w:rPr>
        <w:t>2024年度收入总计356.31万元，</w:t>
      </w:r>
      <w:r>
        <w:rPr>
          <w:rFonts w:ascii="仿宋_GB2312" w:hAnsi="仿宋_GB2312" w:eastAsia="仿宋_GB2312"/>
          <w:b w:val="0"/>
          <w:sz w:val="32"/>
        </w:rPr>
        <w:t>其中：本年收入合计277.91万元，使用非财政拨款结余（含专用结余）0.00万元，年初结转和结余78.39万元。</w:t>
      </w:r>
    </w:p>
    <w:p w14:paraId="61C034D7">
      <w:pPr>
        <w:spacing w:line="580" w:lineRule="exact"/>
        <w:ind w:firstLine="640"/>
        <w:jc w:val="both"/>
      </w:pPr>
      <w:r>
        <w:rPr>
          <w:rFonts w:ascii="仿宋_GB2312" w:hAnsi="仿宋_GB2312" w:eastAsia="仿宋_GB2312"/>
          <w:b/>
          <w:sz w:val="32"/>
        </w:rPr>
        <w:t>2024年度支出总计356.31万元，</w:t>
      </w:r>
      <w:r>
        <w:rPr>
          <w:rFonts w:ascii="仿宋_GB2312" w:hAnsi="仿宋_GB2312" w:eastAsia="仿宋_GB2312"/>
          <w:b w:val="0"/>
          <w:sz w:val="32"/>
        </w:rPr>
        <w:t>其中：本年支出合计287.03万元，结余分配0.00万元，年末结转和结余69.28万元。</w:t>
      </w:r>
    </w:p>
    <w:p w14:paraId="2F3A63BE">
      <w:pPr>
        <w:spacing w:line="580" w:lineRule="exact"/>
        <w:ind w:firstLine="640"/>
        <w:jc w:val="both"/>
      </w:pPr>
      <w:r>
        <w:rPr>
          <w:rFonts w:ascii="仿宋_GB2312" w:hAnsi="仿宋_GB2312" w:eastAsia="仿宋_GB2312"/>
          <w:b w:val="0"/>
          <w:sz w:val="32"/>
        </w:rPr>
        <w:t>收入支出总体与上年相比，增加44.02万元，增长14.10%，主要原因是：本年在职人员工资调增，社保、公积金基数调增，人员经费增加；退休人员自然减员，抚恤金较上年增加；本年增加</w:t>
      </w:r>
      <w:r>
        <w:rPr>
          <w:rFonts w:hint="eastAsia" w:ascii="仿宋_GB2312" w:hAnsi="仿宋_GB2312" w:eastAsia="仿宋_GB2312"/>
          <w:b w:val="0"/>
          <w:sz w:val="32"/>
          <w:lang w:eastAsia="zh-CN"/>
        </w:rPr>
        <w:t>“</w:t>
      </w:r>
      <w:r>
        <w:rPr>
          <w:rFonts w:ascii="仿宋_GB2312" w:hAnsi="仿宋_GB2312" w:eastAsia="仿宋_GB2312"/>
          <w:b w:val="0"/>
          <w:sz w:val="32"/>
        </w:rPr>
        <w:t>三网一员”工作项目资金、昌吉州本级2024年</w:t>
      </w:r>
      <w:r>
        <w:rPr>
          <w:rFonts w:hint="eastAsia" w:ascii="仿宋_GB2312" w:hAnsi="仿宋_GB2312" w:eastAsia="仿宋_GB2312"/>
          <w:b w:val="0"/>
          <w:sz w:val="32"/>
          <w:lang w:val="en-US" w:eastAsia="zh-CN"/>
        </w:rPr>
        <w:t>专项项目资金</w:t>
      </w:r>
      <w:r>
        <w:rPr>
          <w:rFonts w:ascii="仿宋_GB2312" w:hAnsi="仿宋_GB2312" w:eastAsia="仿宋_GB2312"/>
          <w:b w:val="0"/>
          <w:sz w:val="32"/>
        </w:rPr>
        <w:t>及昌吉州安全生产考核奖项目经费。</w:t>
      </w:r>
    </w:p>
    <w:p w14:paraId="3D78E0A3">
      <w:pPr>
        <w:spacing w:line="640" w:lineRule="exact"/>
        <w:ind w:firstLine="640"/>
        <w:jc w:val="both"/>
        <w:outlineLvl w:val="2"/>
      </w:pPr>
      <w:r>
        <w:rPr>
          <w:rFonts w:ascii="黑体" w:hAnsi="黑体" w:eastAsia="黑体"/>
          <w:sz w:val="32"/>
        </w:rPr>
        <w:t>二、收入决算情况说明</w:t>
      </w:r>
    </w:p>
    <w:p w14:paraId="72281E85">
      <w:pPr>
        <w:spacing w:line="580" w:lineRule="exact"/>
        <w:ind w:firstLine="640"/>
        <w:jc w:val="both"/>
      </w:pPr>
      <w:r>
        <w:rPr>
          <w:rFonts w:ascii="仿宋_GB2312" w:hAnsi="仿宋_GB2312" w:eastAsia="仿宋_GB2312"/>
          <w:b/>
          <w:sz w:val="32"/>
        </w:rPr>
        <w:t>本年收入277.91万元，</w:t>
      </w:r>
      <w:r>
        <w:rPr>
          <w:rFonts w:ascii="仿宋_GB2312" w:hAnsi="仿宋_GB2312" w:eastAsia="仿宋_GB2312"/>
          <w:b w:val="0"/>
          <w:sz w:val="32"/>
        </w:rPr>
        <w:t>其中：财政拨款收入277.91万元，占100.00%；上级补助收入0.00万元，占0.00%；事业收入0.00万元，占0.00%；经营收入0.00万元，占0.00%；附属单位上缴收入0.00万元，占0.00%；其他收入0.00万元，占0.00%。</w:t>
      </w:r>
    </w:p>
    <w:p w14:paraId="5F2BFFD7">
      <w:pPr>
        <w:spacing w:line="640" w:lineRule="exact"/>
        <w:ind w:firstLine="640"/>
        <w:jc w:val="both"/>
        <w:outlineLvl w:val="2"/>
      </w:pPr>
      <w:r>
        <w:rPr>
          <w:rFonts w:ascii="黑体" w:hAnsi="黑体" w:eastAsia="黑体"/>
          <w:sz w:val="32"/>
        </w:rPr>
        <w:t>三、支出决算情况说明</w:t>
      </w:r>
    </w:p>
    <w:p w14:paraId="3EC36A98">
      <w:pPr>
        <w:spacing w:line="580" w:lineRule="exact"/>
        <w:ind w:firstLine="640"/>
        <w:jc w:val="both"/>
      </w:pPr>
      <w:r>
        <w:rPr>
          <w:rFonts w:ascii="仿宋_GB2312" w:hAnsi="仿宋_GB2312" w:eastAsia="仿宋_GB2312"/>
          <w:b/>
          <w:sz w:val="32"/>
        </w:rPr>
        <w:t>本年支出287.03万元，</w:t>
      </w:r>
      <w:r>
        <w:rPr>
          <w:rFonts w:ascii="仿宋_GB2312" w:hAnsi="仿宋_GB2312" w:eastAsia="仿宋_GB2312"/>
          <w:b w:val="0"/>
          <w:sz w:val="32"/>
        </w:rPr>
        <w:t>其中：基本支出246.00万元，占85.71%；项目支出41.02万元，占14.29%；上缴上级支出0.00万元，占0.00%；经营支出0.00万元，占0.00%；对附属单位补助支出0.00万元，占0.00%。</w:t>
      </w:r>
    </w:p>
    <w:p w14:paraId="7C9EC482">
      <w:pPr>
        <w:spacing w:line="640" w:lineRule="exact"/>
        <w:ind w:firstLine="640"/>
        <w:jc w:val="both"/>
        <w:outlineLvl w:val="2"/>
      </w:pPr>
      <w:r>
        <w:rPr>
          <w:rFonts w:ascii="黑体" w:hAnsi="黑体" w:eastAsia="黑体"/>
          <w:sz w:val="32"/>
        </w:rPr>
        <w:t>四、财政拨款收入支出决算总体情况说明</w:t>
      </w:r>
    </w:p>
    <w:p w14:paraId="3D09B61D">
      <w:pPr>
        <w:spacing w:line="580" w:lineRule="exact"/>
        <w:ind w:firstLine="640"/>
        <w:jc w:val="both"/>
      </w:pPr>
      <w:r>
        <w:rPr>
          <w:rFonts w:ascii="仿宋_GB2312" w:hAnsi="仿宋_GB2312" w:eastAsia="仿宋_GB2312"/>
          <w:b/>
          <w:sz w:val="32"/>
        </w:rPr>
        <w:t>2024年度财政拨款收入总计277.91万元，</w:t>
      </w:r>
      <w:r>
        <w:rPr>
          <w:rFonts w:ascii="仿宋_GB2312" w:hAnsi="仿宋_GB2312" w:eastAsia="仿宋_GB2312"/>
          <w:b w:val="0"/>
          <w:sz w:val="32"/>
        </w:rPr>
        <w:t>其中：年初财政拨款结转和结余0.00万元，本年财政拨款收入277.91万元。</w:t>
      </w:r>
      <w:r>
        <w:rPr>
          <w:rFonts w:ascii="仿宋_GB2312" w:hAnsi="仿宋_GB2312" w:eastAsia="仿宋_GB2312"/>
          <w:b/>
          <w:sz w:val="32"/>
        </w:rPr>
        <w:t>财政拨款支出总计277.91万元，</w:t>
      </w:r>
      <w:r>
        <w:rPr>
          <w:rFonts w:ascii="仿宋_GB2312" w:hAnsi="仿宋_GB2312" w:eastAsia="仿宋_GB2312"/>
          <w:b w:val="0"/>
          <w:sz w:val="32"/>
        </w:rPr>
        <w:t>其中：年末财政拨款结转和结余0.00万元，本年财政拨款支出277.91万元。</w:t>
      </w:r>
    </w:p>
    <w:p w14:paraId="4DA32FD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增加63.22万元，增长29.45%，主要原因是：本年在职人员工资调增，社保、公积金基数调增，人员经费增加；退休人员自然减员，抚恤金较上年增加；本年增加</w:t>
      </w:r>
      <w:r>
        <w:rPr>
          <w:rFonts w:hint="eastAsia" w:ascii="仿宋_GB2312" w:hAnsi="仿宋_GB2312" w:eastAsia="仿宋_GB2312"/>
          <w:b w:val="0"/>
          <w:sz w:val="32"/>
          <w:lang w:eastAsia="zh-CN"/>
        </w:rPr>
        <w:t>“</w:t>
      </w:r>
      <w:r>
        <w:rPr>
          <w:rFonts w:ascii="仿宋_GB2312" w:hAnsi="仿宋_GB2312" w:eastAsia="仿宋_GB2312"/>
          <w:b w:val="0"/>
          <w:sz w:val="32"/>
        </w:rPr>
        <w:t>三网一员”工作项目资金、昌吉州本级2024年</w:t>
      </w:r>
      <w:r>
        <w:rPr>
          <w:rFonts w:hint="eastAsia" w:ascii="仿宋_GB2312" w:hAnsi="仿宋_GB2312" w:eastAsia="仿宋_GB2312"/>
          <w:b w:val="0"/>
          <w:sz w:val="32"/>
          <w:lang w:val="en-US" w:eastAsia="zh-CN"/>
        </w:rPr>
        <w:t>专项项目资金</w:t>
      </w:r>
      <w:r>
        <w:rPr>
          <w:rFonts w:ascii="仿宋_GB2312" w:hAnsi="仿宋_GB2312" w:eastAsia="仿宋_GB2312"/>
          <w:b w:val="0"/>
          <w:sz w:val="32"/>
        </w:rPr>
        <w:t>及昌吉州安全生产考核奖项目经费。</w:t>
      </w:r>
      <w:r>
        <w:rPr>
          <w:rFonts w:ascii="仿宋_GB2312" w:hAnsi="仿宋_GB2312" w:eastAsia="仿宋_GB2312"/>
          <w:b/>
          <w:sz w:val="32"/>
        </w:rPr>
        <w:t>与年初预算相比，</w:t>
      </w:r>
      <w:r>
        <w:rPr>
          <w:rFonts w:ascii="仿宋_GB2312" w:hAnsi="仿宋_GB2312" w:eastAsia="仿宋_GB2312"/>
          <w:b w:val="0"/>
          <w:sz w:val="32"/>
        </w:rPr>
        <w:t>年初预算数237.77万元，决算数277.91万元，预决算差异率16.88%，主要原因是：年中追加人员绩效奖及死亡抚恤金，导致预决算产生差异。</w:t>
      </w:r>
    </w:p>
    <w:p w14:paraId="4E41F220">
      <w:pPr>
        <w:spacing w:line="640" w:lineRule="exact"/>
        <w:ind w:firstLine="640"/>
        <w:jc w:val="both"/>
        <w:outlineLvl w:val="2"/>
      </w:pPr>
      <w:r>
        <w:rPr>
          <w:rFonts w:ascii="黑体" w:hAnsi="黑体" w:eastAsia="黑体"/>
          <w:sz w:val="32"/>
        </w:rPr>
        <w:t>五、一般公共预算财政拨款支出决算情况说明</w:t>
      </w:r>
    </w:p>
    <w:p w14:paraId="62811D7C">
      <w:pPr>
        <w:spacing w:line="640" w:lineRule="exact"/>
        <w:ind w:firstLine="640"/>
        <w:jc w:val="both"/>
        <w:outlineLvl w:val="3"/>
      </w:pPr>
      <w:r>
        <w:rPr>
          <w:rFonts w:ascii="楷体_GB2312" w:hAnsi="楷体_GB2312" w:eastAsia="楷体_GB2312"/>
          <w:b/>
          <w:sz w:val="32"/>
        </w:rPr>
        <w:t>（一）一般公共预算财政拨款支出决算总体情况</w:t>
      </w:r>
    </w:p>
    <w:p w14:paraId="39A3560E">
      <w:pPr>
        <w:spacing w:line="580" w:lineRule="exact"/>
        <w:ind w:firstLine="640"/>
        <w:jc w:val="both"/>
      </w:pPr>
      <w:r>
        <w:rPr>
          <w:rFonts w:ascii="仿宋_GB2312" w:hAnsi="仿宋_GB2312" w:eastAsia="仿宋_GB2312"/>
          <w:b/>
          <w:sz w:val="32"/>
        </w:rPr>
        <w:t>2024年度一般公共预算财政拨款支出277.91万元，</w:t>
      </w:r>
      <w:r>
        <w:rPr>
          <w:rFonts w:ascii="仿宋_GB2312" w:hAnsi="仿宋_GB2312" w:eastAsia="仿宋_GB2312"/>
          <w:b w:val="0"/>
          <w:sz w:val="32"/>
        </w:rPr>
        <w:t>占本年支出合计的96.82%。</w:t>
      </w:r>
      <w:r>
        <w:rPr>
          <w:rFonts w:ascii="仿宋_GB2312" w:hAnsi="仿宋_GB2312" w:eastAsia="仿宋_GB2312"/>
          <w:b/>
          <w:sz w:val="32"/>
        </w:rPr>
        <w:t>与上年相比，</w:t>
      </w:r>
      <w:r>
        <w:rPr>
          <w:rFonts w:ascii="仿宋_GB2312" w:hAnsi="仿宋_GB2312" w:eastAsia="仿宋_GB2312"/>
          <w:b w:val="0"/>
          <w:sz w:val="32"/>
        </w:rPr>
        <w:t>增加63.22万元，增长29.45%，主要原因是：本年在职人员工资调增，社保、公积金基数调增，人员经费增加；退休人员自然减员，抚恤金较上年增加；本年增加</w:t>
      </w:r>
      <w:r>
        <w:rPr>
          <w:rFonts w:hint="eastAsia" w:ascii="仿宋_GB2312" w:hAnsi="仿宋_GB2312" w:eastAsia="仿宋_GB2312"/>
          <w:b w:val="0"/>
          <w:sz w:val="32"/>
          <w:lang w:eastAsia="zh-CN"/>
        </w:rPr>
        <w:t>“</w:t>
      </w:r>
      <w:r>
        <w:rPr>
          <w:rFonts w:ascii="仿宋_GB2312" w:hAnsi="仿宋_GB2312" w:eastAsia="仿宋_GB2312"/>
          <w:b w:val="0"/>
          <w:sz w:val="32"/>
        </w:rPr>
        <w:t>三网一员”工作项目资金、昌吉州本级2024年</w:t>
      </w:r>
      <w:r>
        <w:rPr>
          <w:rFonts w:hint="eastAsia" w:ascii="仿宋_GB2312" w:hAnsi="仿宋_GB2312" w:eastAsia="仿宋_GB2312"/>
          <w:b w:val="0"/>
          <w:sz w:val="32"/>
          <w:lang w:val="en-US" w:eastAsia="zh-CN"/>
        </w:rPr>
        <w:t>专项项目资金</w:t>
      </w:r>
      <w:r>
        <w:rPr>
          <w:rFonts w:ascii="仿宋_GB2312" w:hAnsi="仿宋_GB2312" w:eastAsia="仿宋_GB2312"/>
          <w:b w:val="0"/>
          <w:sz w:val="32"/>
        </w:rPr>
        <w:t>及昌吉州安全生产考核奖项目经费。</w:t>
      </w:r>
      <w:r>
        <w:rPr>
          <w:rFonts w:ascii="仿宋_GB2312" w:hAnsi="仿宋_GB2312" w:eastAsia="仿宋_GB2312"/>
          <w:b/>
          <w:sz w:val="32"/>
        </w:rPr>
        <w:t>与年初预算相比,</w:t>
      </w:r>
      <w:r>
        <w:rPr>
          <w:rFonts w:ascii="仿宋_GB2312" w:hAnsi="仿宋_GB2312" w:eastAsia="仿宋_GB2312"/>
          <w:b w:val="0"/>
          <w:sz w:val="32"/>
        </w:rPr>
        <w:t>年初预算数237.77万元，决算数277.91万元，预决算差异率16.88%，主要原因是：年中追加人员绩效奖及死亡抚恤金，导致预决算产生差异。</w:t>
      </w:r>
    </w:p>
    <w:p w14:paraId="65BE807C">
      <w:pPr>
        <w:spacing w:line="640" w:lineRule="exact"/>
        <w:ind w:firstLine="640"/>
        <w:jc w:val="both"/>
        <w:outlineLvl w:val="3"/>
      </w:pPr>
      <w:r>
        <w:rPr>
          <w:rFonts w:ascii="楷体_GB2312" w:hAnsi="楷体_GB2312" w:eastAsia="楷体_GB2312"/>
          <w:b/>
          <w:sz w:val="32"/>
        </w:rPr>
        <w:t>（二）一般公共预算财政拨款支出决算结构情况</w:t>
      </w:r>
    </w:p>
    <w:p w14:paraId="712C3075">
      <w:pPr>
        <w:spacing w:line="580" w:lineRule="exact"/>
        <w:ind w:firstLine="640"/>
        <w:jc w:val="both"/>
      </w:pPr>
      <w:r>
        <w:rPr>
          <w:rFonts w:ascii="仿宋_GB2312" w:hAnsi="仿宋_GB2312" w:eastAsia="仿宋_GB2312"/>
          <w:b w:val="0"/>
          <w:sz w:val="32"/>
        </w:rPr>
        <w:t>1.社会保障和就业支出(类)32.42万元,占11.67%。</w:t>
      </w:r>
    </w:p>
    <w:p w14:paraId="1B7A42C9">
      <w:pPr>
        <w:spacing w:line="580" w:lineRule="exact"/>
        <w:ind w:firstLine="640"/>
        <w:jc w:val="both"/>
      </w:pPr>
      <w:r>
        <w:rPr>
          <w:rFonts w:ascii="仿宋_GB2312" w:hAnsi="仿宋_GB2312" w:eastAsia="仿宋_GB2312"/>
          <w:b w:val="0"/>
          <w:sz w:val="32"/>
        </w:rPr>
        <w:t>2.卫生健康支出(类)9.07万元,占3.26%。</w:t>
      </w:r>
    </w:p>
    <w:p w14:paraId="1B53B732">
      <w:pPr>
        <w:spacing w:line="580" w:lineRule="exact"/>
        <w:ind w:firstLine="640"/>
        <w:jc w:val="both"/>
      </w:pPr>
      <w:r>
        <w:rPr>
          <w:rFonts w:ascii="仿宋_GB2312" w:hAnsi="仿宋_GB2312" w:eastAsia="仿宋_GB2312"/>
          <w:b w:val="0"/>
          <w:sz w:val="32"/>
        </w:rPr>
        <w:t>3.住房保障支出(类)14.45万元,占5.20%。</w:t>
      </w:r>
    </w:p>
    <w:p w14:paraId="4DD9FA88">
      <w:pPr>
        <w:spacing w:line="580" w:lineRule="exact"/>
        <w:ind w:firstLine="640"/>
        <w:jc w:val="both"/>
      </w:pPr>
      <w:r>
        <w:rPr>
          <w:rFonts w:ascii="仿宋_GB2312" w:hAnsi="仿宋_GB2312" w:eastAsia="仿宋_GB2312"/>
          <w:b w:val="0"/>
          <w:sz w:val="32"/>
        </w:rPr>
        <w:t>4.灾害防治及应急管理支出(类)221.97万元,占79.87%。</w:t>
      </w:r>
    </w:p>
    <w:p w14:paraId="3D9F6449">
      <w:pPr>
        <w:spacing w:line="640" w:lineRule="exact"/>
        <w:ind w:firstLine="640"/>
        <w:jc w:val="both"/>
        <w:outlineLvl w:val="3"/>
      </w:pPr>
      <w:r>
        <w:rPr>
          <w:rFonts w:ascii="楷体_GB2312" w:hAnsi="楷体_GB2312" w:eastAsia="楷体_GB2312"/>
          <w:b/>
          <w:sz w:val="32"/>
        </w:rPr>
        <w:t>（三）一般公共预算财政拨款支出决算具体情况</w:t>
      </w:r>
    </w:p>
    <w:p w14:paraId="09BE721A">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1.社会保障和就业支出(类)行政事业单位养老支出(款)行政单位离退休(项):支出决算数为4.89万元，比上年决算增加1.70万元，增长53.29%,主要原因是：本年增加退休人员基础绩效奖，退休费支出增加。</w:t>
      </w:r>
    </w:p>
    <w:p w14:paraId="2C9A975C">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18.36万元，比上年决算增加3.73万元，增长25.50%,主要原因是：本年在职人员工资基数调增，养老缴费基数上涨，相应支出增加。</w:t>
      </w:r>
    </w:p>
    <w:p w14:paraId="388AD7F7">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9.17万元，比上年决算增加1.20万元，增长15.06%,主要原因是：本年在职人员工资基数调增，职业年金缴费基数上涨，相应支出增加。</w:t>
      </w:r>
    </w:p>
    <w:p w14:paraId="2064B543">
      <w:pPr>
        <w:spacing w:line="580" w:lineRule="exact"/>
        <w:ind w:firstLine="640"/>
        <w:jc w:val="both"/>
      </w:pPr>
      <w:r>
        <w:rPr>
          <w:rFonts w:ascii="仿宋_GB2312" w:hAnsi="仿宋_GB2312" w:eastAsia="仿宋_GB2312"/>
          <w:b w:val="0"/>
          <w:sz w:val="32"/>
        </w:rPr>
        <w:t>4.卫生健康支出(类)行政事业单位医疗(款)行政单位医疗(项):支出决算数为3.52万元，比上年决算增加0.07万元，增长2.03%,主要原因是：本年在职人员工资基数调增，行政单位医疗缴费基数上涨，相应支出增加。</w:t>
      </w:r>
    </w:p>
    <w:p w14:paraId="25F0FE47">
      <w:pPr>
        <w:spacing w:line="580" w:lineRule="exact"/>
        <w:ind w:firstLine="640"/>
        <w:jc w:val="both"/>
      </w:pPr>
      <w:r>
        <w:rPr>
          <w:rFonts w:ascii="仿宋_GB2312" w:hAnsi="仿宋_GB2312" w:eastAsia="仿宋_GB2312"/>
          <w:b w:val="0"/>
          <w:sz w:val="32"/>
        </w:rPr>
        <w:t>5.卫生健康支出(类)行政事业单位医疗(款)事业单位医疗(项):支出决算数为4.87万元，比上年决算增加1.42万元，增长41.16%,主要原因是：本年在职人员工资基数调增，事业单位医疗缴费基数上涨，相应支出增加。</w:t>
      </w:r>
    </w:p>
    <w:p w14:paraId="5489BF50">
      <w:pPr>
        <w:spacing w:line="580" w:lineRule="exact"/>
        <w:ind w:firstLine="640"/>
        <w:jc w:val="both"/>
      </w:pPr>
      <w:r>
        <w:rPr>
          <w:rFonts w:ascii="仿宋_GB2312" w:hAnsi="仿宋_GB2312" w:eastAsia="仿宋_GB2312"/>
          <w:b w:val="0"/>
          <w:sz w:val="32"/>
        </w:rPr>
        <w:t>6.卫生健康支出(类)行政事业单位医疗(款)公务员医疗补助(项):支出决算数为0.57万元，比上年决算增加0.05万元，增长9.62%,主要原因是：本年在职人员工资基数调增，公务员医疗补助缴费基数上涨，相应支出增加。</w:t>
      </w:r>
    </w:p>
    <w:p w14:paraId="7BEC9C7D">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0.10万元，比上年决算增加0.02万元，增长25.00%,主要原因是：本年在职人员工资基数调增，其他行政事业单位医疗缴费基数上涨，相应支出增加。</w:t>
      </w:r>
    </w:p>
    <w:p w14:paraId="6514D5F6">
      <w:pPr>
        <w:spacing w:line="580" w:lineRule="exact"/>
        <w:ind w:firstLine="640"/>
        <w:jc w:val="both"/>
      </w:pPr>
      <w:r>
        <w:rPr>
          <w:rFonts w:ascii="仿宋_GB2312" w:hAnsi="仿宋_GB2312" w:eastAsia="仿宋_GB2312"/>
          <w:b w:val="0"/>
          <w:sz w:val="32"/>
        </w:rPr>
        <w:t>8.住房保障支出(类)住房改革支出(款)住房公积金(项):支出决算数为14.45万元，比上年决算增加5.43万元，增长60.20%,主要原因是：本年在职人员工资基数调增，公积金缴费基数上涨，相应支出增加。</w:t>
      </w:r>
    </w:p>
    <w:p w14:paraId="5D22A720">
      <w:pPr>
        <w:spacing w:line="580" w:lineRule="exact"/>
        <w:ind w:firstLine="640"/>
        <w:jc w:val="both"/>
      </w:pPr>
      <w:r>
        <w:rPr>
          <w:rFonts w:ascii="仿宋_GB2312" w:hAnsi="仿宋_GB2312" w:eastAsia="仿宋_GB2312"/>
          <w:b w:val="0"/>
          <w:sz w:val="32"/>
        </w:rPr>
        <w:t>9.灾害防治及应急管理支出(类)地震事务(款)行政运行(项):支出决算数为190.06万元，比上年决算增加57.22万元，增长43.07%,主要原因是：本年在职人员工资调增，人员经费增加；退休人员自然减员，抚恤金较上年增加。</w:t>
      </w:r>
    </w:p>
    <w:p w14:paraId="1525CA23">
      <w:pPr>
        <w:spacing w:line="580" w:lineRule="exact"/>
        <w:ind w:firstLine="640"/>
        <w:jc w:val="both"/>
      </w:pPr>
      <w:r>
        <w:rPr>
          <w:rFonts w:ascii="仿宋_GB2312" w:hAnsi="仿宋_GB2312" w:eastAsia="仿宋_GB2312"/>
          <w:b w:val="0"/>
          <w:sz w:val="32"/>
        </w:rPr>
        <w:t>10.灾害防治及应急管理支出(类)地震事务(款)地震监测(项):支出决算数为2.78万元，比上年决算增加2.78万元，增长100.00%,主要原因是：本年增加昌吉州本级2024年专项项目资金及昌吉州安全生产考核奖项目经费。</w:t>
      </w:r>
    </w:p>
    <w:p w14:paraId="24FF356C">
      <w:pPr>
        <w:spacing w:line="580" w:lineRule="exact"/>
        <w:ind w:firstLine="640"/>
        <w:jc w:val="both"/>
      </w:pPr>
      <w:r>
        <w:rPr>
          <w:rFonts w:ascii="仿宋_GB2312" w:hAnsi="仿宋_GB2312" w:eastAsia="仿宋_GB2312"/>
          <w:b w:val="0"/>
          <w:sz w:val="32"/>
        </w:rPr>
        <w:t>11.灾害防治及应急管理支出(类)地震事务(款)地震预测预报(项):支出决算数为24.40万元，比上年决算增加2.77万元，增长12.81%,主要原因是：本年</w:t>
      </w:r>
      <w:r>
        <w:rPr>
          <w:rFonts w:hint="eastAsia" w:ascii="仿宋_GB2312" w:hAnsi="仿宋_GB2312" w:eastAsia="仿宋_GB2312"/>
          <w:b w:val="0"/>
          <w:sz w:val="32"/>
          <w:lang w:eastAsia="zh-CN"/>
        </w:rPr>
        <w:t>“</w:t>
      </w:r>
      <w:r>
        <w:rPr>
          <w:rFonts w:ascii="仿宋_GB2312" w:hAnsi="仿宋_GB2312" w:eastAsia="仿宋_GB2312"/>
          <w:b w:val="0"/>
          <w:sz w:val="32"/>
        </w:rPr>
        <w:t>三网一员”工作项目资金较上年增加。</w:t>
      </w:r>
    </w:p>
    <w:p w14:paraId="0D979CCA">
      <w:pPr>
        <w:spacing w:line="580" w:lineRule="exact"/>
        <w:ind w:firstLine="640"/>
        <w:jc w:val="both"/>
      </w:pPr>
      <w:r>
        <w:rPr>
          <w:rFonts w:ascii="仿宋_GB2312" w:hAnsi="仿宋_GB2312" w:eastAsia="仿宋_GB2312"/>
          <w:b w:val="0"/>
          <w:sz w:val="32"/>
        </w:rPr>
        <w:t>12.灾害防治及应急管理支出(类)地震事务(款)地震应急救援(项):支出决算数为0.00万元，比上年决算减少7.98万元，下降100.00%,主要原因是：本年未安排地震应急救援及正常运转经费项目经费。</w:t>
      </w:r>
    </w:p>
    <w:p w14:paraId="223ECBE0">
      <w:pPr>
        <w:spacing w:line="580" w:lineRule="exact"/>
        <w:ind w:firstLine="640"/>
        <w:jc w:val="both"/>
      </w:pPr>
      <w:r>
        <w:rPr>
          <w:rFonts w:ascii="仿宋_GB2312" w:hAnsi="仿宋_GB2312" w:eastAsia="仿宋_GB2312"/>
          <w:b w:val="0"/>
          <w:sz w:val="32"/>
        </w:rPr>
        <w:t>13.灾害防治及应急管理支出(类)地震事务(款)地震事业机构(项):支出决算数为4.72万元，比上年决算减少3.10万元，下降39.64%,主要原因是：本年2024年自治区防震减灾“三网一员”工作经费较上年减少。</w:t>
      </w:r>
    </w:p>
    <w:p w14:paraId="0278230E">
      <w:pPr>
        <w:spacing w:line="580" w:lineRule="exact"/>
        <w:ind w:firstLine="640"/>
        <w:jc w:val="both"/>
      </w:pPr>
      <w:r>
        <w:rPr>
          <w:rFonts w:ascii="仿宋_GB2312" w:hAnsi="仿宋_GB2312" w:eastAsia="仿宋_GB2312"/>
          <w:b w:val="0"/>
          <w:sz w:val="32"/>
        </w:rPr>
        <w:t>14.其他支出(类)其他支出(款)其他支出(项):支出决算数为0.00万元，比上年决算减少2.12万元，下降100.00%,主要原因是：本年未安排驻村工作经费。</w:t>
      </w:r>
    </w:p>
    <w:p w14:paraId="295AAC3C">
      <w:pPr>
        <w:spacing w:line="640" w:lineRule="exact"/>
        <w:ind w:firstLine="640"/>
        <w:jc w:val="both"/>
        <w:outlineLvl w:val="2"/>
      </w:pPr>
      <w:r>
        <w:rPr>
          <w:rFonts w:ascii="黑体" w:hAnsi="黑体" w:eastAsia="黑体"/>
          <w:sz w:val="32"/>
        </w:rPr>
        <w:t>六、一般公共预算财政拨款基本支出决算情况说明</w:t>
      </w:r>
    </w:p>
    <w:p w14:paraId="0047F623">
      <w:pPr>
        <w:spacing w:line="580" w:lineRule="exact"/>
        <w:ind w:firstLine="640"/>
        <w:jc w:val="both"/>
      </w:pPr>
      <w:r>
        <w:rPr>
          <w:rFonts w:ascii="仿宋_GB2312" w:hAnsi="仿宋_GB2312" w:eastAsia="仿宋_GB2312"/>
          <w:b w:val="0"/>
          <w:sz w:val="32"/>
        </w:rPr>
        <w:t>2024年度一般公共预算财政拨款基本支出246.00万元，其中：</w:t>
      </w:r>
      <w:r>
        <w:rPr>
          <w:rFonts w:ascii="仿宋_GB2312" w:hAnsi="仿宋_GB2312" w:eastAsia="仿宋_GB2312"/>
          <w:b/>
          <w:sz w:val="32"/>
        </w:rPr>
        <w:t>人员经费231.76万元，</w:t>
      </w:r>
      <w:r>
        <w:rPr>
          <w:rFonts w:ascii="仿宋_GB2312" w:hAnsi="仿宋_GB2312" w:eastAsia="仿宋_GB2312"/>
          <w:b w:val="0"/>
          <w:sz w:val="32"/>
        </w:rPr>
        <w:t>包括：基本工资、津贴补贴、奖金、绩效工资、机关事业单位基本养老保险缴费、职业年金缴费</w:t>
      </w:r>
      <w:bookmarkStart w:id="0" w:name="_GoBack"/>
      <w:bookmarkEnd w:id="0"/>
      <w:r>
        <w:rPr>
          <w:rFonts w:ascii="仿宋_GB2312" w:hAnsi="仿宋_GB2312" w:eastAsia="仿宋_GB2312"/>
          <w:b w:val="0"/>
          <w:sz w:val="32"/>
        </w:rPr>
        <w:t>、职工基本医疗保险缴费、公务员医疗补助缴费、其他社会保障缴费、住房公积金、其他工资福利支出、退休费、抚恤金、奖励金。</w:t>
      </w:r>
    </w:p>
    <w:p w14:paraId="1CD50656">
      <w:pPr>
        <w:spacing w:line="580" w:lineRule="exact"/>
        <w:ind w:firstLine="640"/>
        <w:jc w:val="both"/>
      </w:pPr>
      <w:r>
        <w:rPr>
          <w:rFonts w:ascii="仿宋_GB2312" w:hAnsi="仿宋_GB2312" w:eastAsia="仿宋_GB2312"/>
          <w:b/>
          <w:sz w:val="32"/>
        </w:rPr>
        <w:t>公用经费14.25万元，</w:t>
      </w:r>
      <w:r>
        <w:rPr>
          <w:rFonts w:ascii="仿宋_GB2312" w:hAnsi="仿宋_GB2312" w:eastAsia="仿宋_GB2312"/>
          <w:b w:val="0"/>
          <w:sz w:val="32"/>
        </w:rPr>
        <w:t>包括：办公费、水费、电费、邮电费、差旅费、维修（护）费、公务接待费、工会经费、福利费、公务用车运行维护费、其他商品和服务支出。</w:t>
      </w:r>
    </w:p>
    <w:p w14:paraId="1F9ECF4B">
      <w:pPr>
        <w:spacing w:line="640" w:lineRule="exact"/>
        <w:ind w:firstLine="640"/>
        <w:jc w:val="both"/>
        <w:outlineLvl w:val="2"/>
      </w:pPr>
      <w:r>
        <w:rPr>
          <w:rFonts w:ascii="黑体" w:hAnsi="黑体" w:eastAsia="黑体"/>
          <w:sz w:val="32"/>
        </w:rPr>
        <w:t>七、政府性基金预算财政拨款收入支出决算情况说明</w:t>
      </w:r>
    </w:p>
    <w:p w14:paraId="78BD2E6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D238E4C">
      <w:pPr>
        <w:spacing w:line="640" w:lineRule="exact"/>
        <w:ind w:firstLine="640"/>
        <w:jc w:val="both"/>
        <w:outlineLvl w:val="2"/>
      </w:pPr>
      <w:r>
        <w:rPr>
          <w:rFonts w:ascii="黑体" w:hAnsi="黑体" w:eastAsia="黑体"/>
          <w:sz w:val="32"/>
        </w:rPr>
        <w:t>八、国有资本经营预算财政拨款收入支出决算情况说明</w:t>
      </w:r>
    </w:p>
    <w:p w14:paraId="28EDB98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05A0216">
      <w:pPr>
        <w:spacing w:line="640" w:lineRule="exact"/>
        <w:ind w:firstLine="640"/>
        <w:jc w:val="both"/>
        <w:outlineLvl w:val="2"/>
      </w:pPr>
      <w:r>
        <w:rPr>
          <w:rFonts w:ascii="黑体" w:hAnsi="黑体" w:eastAsia="黑体"/>
          <w:sz w:val="32"/>
        </w:rPr>
        <w:t>九、财政拨款“三公”经费支出决算情况说明</w:t>
      </w:r>
    </w:p>
    <w:p w14:paraId="0C0BF1DC">
      <w:pPr>
        <w:spacing w:line="580" w:lineRule="exact"/>
        <w:ind w:firstLine="640"/>
        <w:jc w:val="both"/>
      </w:pPr>
      <w:r>
        <w:rPr>
          <w:rFonts w:ascii="仿宋_GB2312" w:hAnsi="仿宋_GB2312" w:eastAsia="仿宋_GB2312"/>
          <w:b/>
          <w:sz w:val="32"/>
        </w:rPr>
        <w:t>2024年度财政拨款“三公”经费支出2.21万元，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2.15万元，占97.29%，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公务用车运行维护费与上年一致无变化。公务接待费支出0.06万元，占2.71%，比上年增加0.00万元，增长0.00%，主要原因是：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70E2CC7C">
      <w:pPr>
        <w:spacing w:line="580" w:lineRule="exact"/>
        <w:ind w:firstLine="640"/>
        <w:jc w:val="both"/>
      </w:pPr>
      <w:r>
        <w:rPr>
          <w:rFonts w:ascii="仿宋_GB2312" w:hAnsi="仿宋_GB2312" w:eastAsia="仿宋_GB2312"/>
          <w:b/>
          <w:sz w:val="32"/>
        </w:rPr>
        <w:t>具体情况如下：</w:t>
      </w:r>
    </w:p>
    <w:p w14:paraId="01070D2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135926F">
      <w:pPr>
        <w:spacing w:line="580" w:lineRule="exact"/>
        <w:ind w:firstLine="640"/>
        <w:jc w:val="both"/>
      </w:pPr>
      <w:r>
        <w:rPr>
          <w:rFonts w:ascii="仿宋_GB2312" w:hAnsi="仿宋_GB2312" w:eastAsia="仿宋_GB2312"/>
          <w:b w:val="0"/>
          <w:sz w:val="32"/>
        </w:rPr>
        <w:t>公务用车购置及运行维护费2.15万元，其中：公务用车购置费0.00万元，公务用车运行维护费2.15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46710EB1">
      <w:pPr>
        <w:spacing w:line="580" w:lineRule="exact"/>
        <w:ind w:firstLine="640"/>
        <w:jc w:val="both"/>
      </w:pPr>
      <w:r>
        <w:rPr>
          <w:rFonts w:ascii="仿宋_GB2312" w:hAnsi="仿宋_GB2312" w:eastAsia="仿宋_GB2312"/>
          <w:b w:val="0"/>
          <w:sz w:val="32"/>
        </w:rPr>
        <w:t>公务接待费0.06万元，开支内容包括因加强交流学习，接待自治区专家组检查工作产生的就餐费。单位全年安排的国内公务接待1批次，6人次。</w:t>
      </w:r>
    </w:p>
    <w:p w14:paraId="7190813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2.21万元，决算数2.21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2.15万元，决算数2.15万元，预决算差异率0.00%，主要原因是：严格按照预算执行，预决算无差异。公务接待费全年预算数0.06万元，决算数0.06万元，预决算差异率0.00%，主要原因是：严格按照预算执行，预决算无差异。</w:t>
      </w:r>
    </w:p>
    <w:p w14:paraId="71156DD8">
      <w:pPr>
        <w:spacing w:line="640" w:lineRule="exact"/>
        <w:ind w:firstLine="640"/>
        <w:jc w:val="both"/>
        <w:outlineLvl w:val="2"/>
      </w:pPr>
      <w:r>
        <w:rPr>
          <w:rFonts w:ascii="黑体" w:hAnsi="黑体" w:eastAsia="黑体"/>
          <w:sz w:val="32"/>
        </w:rPr>
        <w:t>十、其他重要事项的情况说明</w:t>
      </w:r>
    </w:p>
    <w:p w14:paraId="71506FB2">
      <w:pPr>
        <w:spacing w:line="640" w:lineRule="exact"/>
        <w:ind w:firstLine="640"/>
        <w:jc w:val="both"/>
        <w:outlineLvl w:val="3"/>
      </w:pPr>
      <w:r>
        <w:rPr>
          <w:rFonts w:ascii="楷体_GB2312" w:hAnsi="楷体_GB2312" w:eastAsia="楷体_GB2312"/>
          <w:b/>
          <w:sz w:val="32"/>
        </w:rPr>
        <w:t>（一）机关运行经费及公用经费支出情况</w:t>
      </w:r>
    </w:p>
    <w:p w14:paraId="3AB78A42">
      <w:pPr>
        <w:spacing w:line="580" w:lineRule="exact"/>
        <w:ind w:firstLine="640"/>
        <w:jc w:val="both"/>
      </w:pPr>
      <w:r>
        <w:rPr>
          <w:rFonts w:ascii="仿宋_GB2312" w:hAnsi="仿宋_GB2312" w:eastAsia="仿宋_GB2312"/>
          <w:b w:val="0"/>
          <w:sz w:val="32"/>
        </w:rPr>
        <w:t>2024年度昌吉回族自治州地震局（行政单位和参照公务员法管理事业单位）机关运行经费支出14.25万元，比上年增加1.95万元，增长15.85%，主要原因是：本年更新、维护补充办公用品，导致机关运行经费上年增加。</w:t>
      </w:r>
    </w:p>
    <w:p w14:paraId="34B2FC9C">
      <w:pPr>
        <w:spacing w:line="640" w:lineRule="exact"/>
        <w:ind w:firstLine="640"/>
        <w:jc w:val="both"/>
        <w:outlineLvl w:val="3"/>
      </w:pPr>
      <w:r>
        <w:rPr>
          <w:rFonts w:ascii="楷体_GB2312" w:hAnsi="楷体_GB2312" w:eastAsia="楷体_GB2312"/>
          <w:b/>
          <w:sz w:val="32"/>
        </w:rPr>
        <w:t>（二）政府采购情况</w:t>
      </w:r>
    </w:p>
    <w:p w14:paraId="2E9FBF25">
      <w:pPr>
        <w:spacing w:line="580" w:lineRule="exact"/>
        <w:ind w:firstLine="640"/>
        <w:jc w:val="both"/>
      </w:pPr>
      <w:r>
        <w:rPr>
          <w:rFonts w:ascii="仿宋_GB2312" w:hAnsi="仿宋_GB2312" w:eastAsia="仿宋_GB2312"/>
          <w:b w:val="0"/>
          <w:sz w:val="32"/>
        </w:rPr>
        <w:t>2024年度政府采购支出总额9.27万元，其中：政府采购货物支出2.48万元、政府采购工程支出0.00万元、政府采购服务支出6.79万元。</w:t>
      </w:r>
    </w:p>
    <w:p w14:paraId="4640FBAE">
      <w:pPr>
        <w:spacing w:line="580" w:lineRule="exact"/>
        <w:ind w:firstLine="640"/>
        <w:jc w:val="both"/>
      </w:pPr>
      <w:r>
        <w:rPr>
          <w:rFonts w:ascii="仿宋_GB2312" w:hAnsi="仿宋_GB2312" w:eastAsia="仿宋_GB2312"/>
          <w:b w:val="0"/>
          <w:sz w:val="32"/>
        </w:rPr>
        <w:t>授予中小企业合同金额9.27万元，占政府采购支出总额的100.00%，其中：授予小微企业合同金额9.27万元，占政府采购支出总额的100.00%。</w:t>
      </w:r>
    </w:p>
    <w:p w14:paraId="229014D9">
      <w:pPr>
        <w:spacing w:line="640" w:lineRule="exact"/>
        <w:ind w:firstLine="640"/>
        <w:jc w:val="both"/>
        <w:outlineLvl w:val="3"/>
      </w:pPr>
      <w:r>
        <w:rPr>
          <w:rFonts w:ascii="楷体_GB2312" w:hAnsi="楷体_GB2312" w:eastAsia="楷体_GB2312"/>
          <w:b/>
          <w:sz w:val="32"/>
        </w:rPr>
        <w:t>（三）国有资产占用情况说明</w:t>
      </w:r>
    </w:p>
    <w:p w14:paraId="0027D6A7">
      <w:pPr>
        <w:spacing w:line="580" w:lineRule="exact"/>
        <w:ind w:firstLine="640"/>
        <w:jc w:val="both"/>
      </w:pPr>
      <w:r>
        <w:rPr>
          <w:rFonts w:ascii="仿宋_GB2312" w:hAnsi="仿宋_GB2312" w:eastAsia="仿宋_GB2312"/>
          <w:b w:val="0"/>
          <w:sz w:val="32"/>
        </w:rPr>
        <w:t>截至2024年12月31日，房屋0.00平方米，价值0.00万元。车辆1辆，价值29.30万元，其中：副部（省）级及以上领导用车0辆、主要负责人用车0辆、机要通信用车0辆、应急保障用车0辆、执法执勤用车0辆、特种专业技术用车0辆、离退休干部服务用车0辆、其他用车1辆，其他用车主要是：保障开展防震减灾公务活动用车。单价100万元（含）以上设备（不含车辆）0台（套）。</w:t>
      </w:r>
    </w:p>
    <w:p w14:paraId="7AA3D72C">
      <w:pPr>
        <w:spacing w:line="640" w:lineRule="exact"/>
        <w:ind w:firstLine="640"/>
        <w:jc w:val="both"/>
        <w:outlineLvl w:val="2"/>
      </w:pPr>
      <w:r>
        <w:rPr>
          <w:rFonts w:ascii="黑体" w:hAnsi="黑体" w:eastAsia="黑体"/>
          <w:sz w:val="32"/>
        </w:rPr>
        <w:t>十一、预算绩效的情况说明</w:t>
      </w:r>
    </w:p>
    <w:p w14:paraId="5097C91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356.31万元，实际执行总额287.03万元；预算绩效评价项目5个，全年预算数47.17万元，全年执行数40.02万元。预算绩效管理取得的成效：一是持续推进“国家地震烈度速报与预警工程项目”建设，2024年全州地震监测预警能力持续提升，目前全州防震减灾工作已走在全疆同行业前列。二是强化震情监视跟踪。制定《昌吉州2024年震情跟踪工作方案》，先后对呼图壁红山台、吉木萨尔县北三台前兆观测台开展了异常落实震情跟踪工作。对县市10个地震台站进行运维，采用信息化技术实现地震风险预测，提升监测水平，有效提高地震监测数据的使用率，保障了人民生命财产安全。三是扎实推进“三网一员”工作。结合各县市实际情况，按时为县市发放40个宏观观测点补助经费（直接拨付至县市），得到“三网一员”速报员一致好评，选优配强地震宏观异常测报员40名，开展业务培训普及防震减灾知识，有效提高了“三网一员”工作人员的速报能力。四是充分发挥地震预警终端地震演练和安全知识科普作用，先后多次在社区、学校等人员密集场所开展地震预警模拟疏散演练，进一步提高社会公众安全避险疏散能力和防震减灾意识。发现的问题及原因：一是防震减灾队伍建设还有差距。业务人员流失严重，现有兼职人员没有经过专业的培训，无法满足日常防震减灾工作需要。二是地震科普知识宣传工作有差距，宣传内容形式单一，群众对地震知识和应急避险的有效措施知晓率低，地震防范意识不强。下一步改进措施：一是经常性开展防震减灾业务培训，不断提高县市地震专干业务能力，尽快满足日常防震减灾工作需要。二是科普宣传，不断提高群众对防震减灾科普知识的知晓率，提高科学防范意识。具体附整体支出绩效自评表，项目支出绩效自评表和评价报告。</w:t>
      </w:r>
    </w:p>
    <w:p w14:paraId="2B327A1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E53FB29">
        <w:tblPrEx>
          <w:tblCellMar>
            <w:top w:w="0" w:type="dxa"/>
            <w:left w:w="108" w:type="dxa"/>
            <w:bottom w:w="0" w:type="dxa"/>
            <w:right w:w="108" w:type="dxa"/>
          </w:tblCellMar>
        </w:tblPrEx>
        <w:tc>
          <w:tcPr>
            <w:tcW w:w="8847" w:type="dxa"/>
            <w:gridSpan w:val="9"/>
            <w:vAlign w:val="center"/>
          </w:tcPr>
          <w:p w14:paraId="2B5D48A9">
            <w:pPr>
              <w:jc w:val="center"/>
            </w:pPr>
            <w:r>
              <w:rPr>
                <w:rFonts w:ascii="宋体" w:hAnsi="宋体" w:eastAsia="宋体"/>
                <w:sz w:val="24"/>
              </w:rPr>
              <w:t>单位整体支出绩效自评表</w:t>
            </w:r>
          </w:p>
        </w:tc>
      </w:tr>
      <w:tr w14:paraId="6A869342">
        <w:tblPrEx>
          <w:tblCellMar>
            <w:top w:w="0" w:type="dxa"/>
            <w:left w:w="108" w:type="dxa"/>
            <w:bottom w:w="0" w:type="dxa"/>
            <w:right w:w="108" w:type="dxa"/>
          </w:tblCellMar>
        </w:tblPrEx>
        <w:tc>
          <w:tcPr>
            <w:tcW w:w="8847" w:type="dxa"/>
            <w:gridSpan w:val="9"/>
            <w:vAlign w:val="center"/>
          </w:tcPr>
          <w:p w14:paraId="6EFDF730">
            <w:pPr>
              <w:jc w:val="center"/>
            </w:pPr>
            <w:r>
              <w:rPr>
                <w:rFonts w:ascii="宋体" w:hAnsi="宋体" w:eastAsia="宋体"/>
                <w:sz w:val="24"/>
              </w:rPr>
              <w:t>（2024年度）</w:t>
            </w:r>
          </w:p>
        </w:tc>
      </w:tr>
      <w:tr w14:paraId="20D7D59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2354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6D78524">
            <w:pPr>
              <w:jc w:val="center"/>
            </w:pPr>
            <w:r>
              <w:rPr>
                <w:rFonts w:ascii="宋体" w:hAnsi="宋体" w:eastAsia="宋体"/>
                <w:sz w:val="16"/>
              </w:rPr>
              <w:t>昌吉回族自治州地震局</w:t>
            </w:r>
          </w:p>
        </w:tc>
      </w:tr>
      <w:tr w14:paraId="4A969C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537D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8FA0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E996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406A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47B1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846D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2DED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F6E79">
            <w:pPr>
              <w:jc w:val="center"/>
            </w:pPr>
            <w:r>
              <w:rPr>
                <w:rFonts w:ascii="宋体" w:hAnsi="宋体" w:eastAsia="宋体"/>
                <w:sz w:val="16"/>
              </w:rPr>
              <w:t>得分</w:t>
            </w:r>
          </w:p>
        </w:tc>
      </w:tr>
      <w:tr w14:paraId="1B84B6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D2B9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A6F1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4F32E">
            <w:pPr>
              <w:jc w:val="center"/>
            </w:pPr>
            <w:r>
              <w:rPr>
                <w:rFonts w:ascii="宋体" w:hAnsi="宋体" w:eastAsia="宋体"/>
                <w:sz w:val="16"/>
              </w:rPr>
              <w:t>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96A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67F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B10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FCB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406AA">
            <w:pPr>
              <w:jc w:val="center"/>
            </w:pPr>
            <w:r>
              <w:rPr>
                <w:rFonts w:ascii="宋体" w:hAnsi="宋体" w:eastAsia="宋体"/>
                <w:sz w:val="16"/>
              </w:rPr>
              <w:t>-</w:t>
            </w:r>
          </w:p>
        </w:tc>
      </w:tr>
      <w:tr w14:paraId="7B9B71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A0B3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B626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492DB">
            <w:pPr>
              <w:jc w:val="center"/>
            </w:pPr>
            <w:r>
              <w:rPr>
                <w:rFonts w:ascii="宋体" w:hAnsi="宋体" w:eastAsia="宋体"/>
                <w:sz w:val="16"/>
              </w:rPr>
              <w:t>225.87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C58E1">
            <w:pPr>
              <w:jc w:val="center"/>
            </w:pPr>
            <w:r>
              <w:rPr>
                <w:rFonts w:ascii="宋体" w:hAnsi="宋体" w:eastAsia="宋体"/>
                <w:sz w:val="16"/>
              </w:rPr>
              <w:t>347.19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310CF">
            <w:pPr>
              <w:jc w:val="center"/>
            </w:pPr>
            <w:r>
              <w:rPr>
                <w:rFonts w:ascii="宋体" w:hAnsi="宋体" w:eastAsia="宋体"/>
                <w:sz w:val="16"/>
              </w:rPr>
              <w:t>277.91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5DC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A55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C798A">
            <w:pPr>
              <w:jc w:val="center"/>
            </w:pPr>
            <w:r>
              <w:rPr>
                <w:rFonts w:ascii="宋体" w:hAnsi="宋体" w:eastAsia="宋体"/>
                <w:sz w:val="16"/>
              </w:rPr>
              <w:t>-</w:t>
            </w:r>
          </w:p>
        </w:tc>
      </w:tr>
      <w:tr w14:paraId="4873BB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67FD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D77D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96330">
            <w:pPr>
              <w:jc w:val="center"/>
            </w:pPr>
            <w:r>
              <w:rPr>
                <w:rFonts w:ascii="宋体" w:hAnsi="宋体" w:eastAsia="宋体"/>
                <w:sz w:val="16"/>
              </w:rPr>
              <w:t>78.00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FBCF6">
            <w:pPr>
              <w:jc w:val="center"/>
            </w:pPr>
            <w:r>
              <w:rPr>
                <w:rFonts w:ascii="宋体" w:hAnsi="宋体" w:eastAsia="宋体"/>
                <w:sz w:val="16"/>
              </w:rPr>
              <w:t>9.12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CB794">
            <w:pPr>
              <w:jc w:val="center"/>
            </w:pPr>
            <w:r>
              <w:rPr>
                <w:rFonts w:ascii="宋体" w:hAnsi="宋体" w:eastAsia="宋体"/>
                <w:sz w:val="16"/>
              </w:rPr>
              <w:t>9.12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B18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39A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3418B">
            <w:pPr>
              <w:jc w:val="center"/>
            </w:pPr>
            <w:r>
              <w:rPr>
                <w:rFonts w:ascii="宋体" w:hAnsi="宋体" w:eastAsia="宋体"/>
                <w:sz w:val="16"/>
              </w:rPr>
              <w:t>-</w:t>
            </w:r>
          </w:p>
        </w:tc>
      </w:tr>
      <w:tr w14:paraId="3F617E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66A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BE3F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67EBB">
            <w:pPr>
              <w:jc w:val="center"/>
            </w:pPr>
            <w:r>
              <w:rPr>
                <w:rFonts w:ascii="宋体" w:hAnsi="宋体" w:eastAsia="宋体"/>
                <w:sz w:val="16"/>
              </w:rPr>
              <w:t>312.77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BC742">
            <w:pPr>
              <w:jc w:val="center"/>
            </w:pPr>
            <w:r>
              <w:rPr>
                <w:rFonts w:ascii="宋体" w:hAnsi="宋体" w:eastAsia="宋体"/>
                <w:sz w:val="16"/>
              </w:rPr>
              <w:t>356.31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00D86">
            <w:pPr>
              <w:jc w:val="center"/>
            </w:pPr>
            <w:r>
              <w:rPr>
                <w:rFonts w:ascii="宋体" w:hAnsi="宋体" w:eastAsia="宋体"/>
                <w:sz w:val="16"/>
              </w:rPr>
              <w:t>287.03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EC5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FB215">
            <w:pPr>
              <w:jc w:val="center"/>
            </w:pPr>
            <w:r>
              <w:rPr>
                <w:rFonts w:ascii="宋体" w:hAnsi="宋体" w:eastAsia="宋体"/>
                <w:sz w:val="16"/>
              </w:rPr>
              <w:t>80.56%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CD00D">
            <w:pPr>
              <w:jc w:val="center"/>
            </w:pPr>
            <w:r>
              <w:rPr>
                <w:rFonts w:ascii="宋体" w:hAnsi="宋体" w:eastAsia="宋体"/>
                <w:sz w:val="16"/>
              </w:rPr>
              <w:t>8.06</w:t>
            </w:r>
          </w:p>
        </w:tc>
      </w:tr>
      <w:tr w14:paraId="107D47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7ACC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BFF5B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5883DB">
            <w:pPr>
              <w:jc w:val="center"/>
            </w:pPr>
            <w:r>
              <w:rPr>
                <w:rFonts w:ascii="宋体" w:hAnsi="宋体" w:eastAsia="宋体"/>
                <w:sz w:val="16"/>
              </w:rPr>
              <w:t>实际完成情况</w:t>
            </w:r>
          </w:p>
        </w:tc>
      </w:tr>
      <w:tr w14:paraId="50AB35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E8E7D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5F19AF">
            <w:pPr>
              <w:jc w:val="both"/>
            </w:pPr>
            <w:r>
              <w:rPr>
                <w:rFonts w:ascii="宋体" w:hAnsi="宋体" w:eastAsia="宋体"/>
                <w:sz w:val="16"/>
              </w:rPr>
              <w:t>坚持以习近平新时代中国特色社会主义思想为指导，深入贯彻党的二十大精神，贯彻落实习近平总书记对防震减灾工作的重要论述</w:t>
            </w:r>
            <w:r>
              <w:rPr>
                <w:rFonts w:hint="eastAsia" w:ascii="宋体" w:hAnsi="宋体"/>
                <w:sz w:val="16"/>
                <w:lang w:eastAsia="zh-CN"/>
              </w:rPr>
              <w:t>及</w:t>
            </w:r>
            <w:r>
              <w:rPr>
                <w:rFonts w:ascii="宋体" w:hAnsi="宋体" w:eastAsia="宋体"/>
                <w:sz w:val="16"/>
              </w:rPr>
              <w:t>中央、自治区、州党委决策部署的各项重大工作决定和安排，充分发挥防震减灾工作职能，负责本行政区域内的地震监测预警、震害防御、防震减灾宣传、地震应急准备工作，负责制定地震短期与临震预报工作方案，负责基本建设工程抗震设防咨询服务，指导开展地震应急演练、地震避险疏散演练等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D86B4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全年预算数为356.31万元，全年执行数为287.03万元，总预算执行率为80.56%。2023年</w:t>
            </w:r>
            <w:r>
              <w:rPr>
                <w:rFonts w:hint="eastAsia" w:ascii="宋体" w:hAnsi="宋体"/>
                <w:sz w:val="16"/>
                <w:lang w:eastAsia="zh-CN"/>
              </w:rPr>
              <w:t>本单位</w:t>
            </w:r>
            <w:r>
              <w:rPr>
                <w:rFonts w:ascii="宋体" w:hAnsi="宋体" w:eastAsia="宋体"/>
                <w:sz w:val="16"/>
              </w:rPr>
              <w:t>完成以下工作内容：1、完成全州10个台站的运行维护；2、完成40个宏观测报点；3、完成野外拉练1次；4、出具5份抗震设防咨询意见；5、开展5次防震减灾科普宣传；通过以上工作实施，共同推动防震减灾各项工作落地见效,有效提高了“三网一员”工作人员的速报能力。</w:t>
            </w:r>
          </w:p>
        </w:tc>
      </w:tr>
      <w:tr w14:paraId="23D13A2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B593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36D4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03DC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63D3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0F95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471D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43AE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0ADEA">
            <w:pPr>
              <w:jc w:val="center"/>
            </w:pPr>
            <w:r>
              <w:rPr>
                <w:rFonts w:ascii="宋体" w:hAnsi="宋体" w:eastAsia="宋体"/>
                <w:sz w:val="16"/>
              </w:rPr>
              <w:t>得分</w:t>
            </w:r>
          </w:p>
        </w:tc>
      </w:tr>
      <w:tr w14:paraId="5174310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5A27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7BF50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BCCA5">
            <w:pPr>
              <w:jc w:val="center"/>
            </w:pPr>
            <w:r>
              <w:rPr>
                <w:rFonts w:ascii="宋体" w:hAnsi="宋体" w:eastAsia="宋体"/>
                <w:sz w:val="16"/>
              </w:rPr>
              <w:t>维护地震台数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B380E">
            <w:pPr>
              <w:jc w:val="center"/>
            </w:pPr>
            <w:r>
              <w:rPr>
                <w:rFonts w:ascii="宋体" w:hAnsi="宋体" w:eastAsia="宋体"/>
                <w:sz w:val="16"/>
              </w:rPr>
              <w:t>&gt;=10个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3ECB0">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7C05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81A31">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CADA4">
            <w:pPr>
              <w:jc w:val="center"/>
            </w:pPr>
            <w:r>
              <w:rPr>
                <w:rFonts w:ascii="宋体" w:hAnsi="宋体" w:eastAsia="宋体"/>
                <w:sz w:val="16"/>
              </w:rPr>
              <w:t>20</w:t>
            </w:r>
          </w:p>
        </w:tc>
      </w:tr>
      <w:tr w14:paraId="6D68CA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AC7F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1D46A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DC1D0">
            <w:pPr>
              <w:jc w:val="center"/>
            </w:pPr>
            <w:r>
              <w:rPr>
                <w:rFonts w:ascii="宋体" w:hAnsi="宋体" w:eastAsia="宋体"/>
                <w:sz w:val="16"/>
              </w:rPr>
              <w:t>“三网一员”宏观观测点数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43747">
            <w:pPr>
              <w:jc w:val="center"/>
            </w:pPr>
            <w:r>
              <w:rPr>
                <w:rFonts w:ascii="宋体" w:hAnsi="宋体" w:eastAsia="宋体"/>
                <w:sz w:val="16"/>
              </w:rPr>
              <w:t>=40个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B69A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87ED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B551E">
            <w:pPr>
              <w:jc w:val="center"/>
            </w:pPr>
            <w:r>
              <w:rPr>
                <w:rFonts w:ascii="宋体" w:hAnsi="宋体" w:eastAsia="宋体"/>
                <w:sz w:val="16"/>
              </w:rPr>
              <w:t>40个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F79AE">
            <w:pPr>
              <w:jc w:val="center"/>
            </w:pPr>
            <w:r>
              <w:rPr>
                <w:rFonts w:ascii="宋体" w:hAnsi="宋体" w:eastAsia="宋体"/>
                <w:sz w:val="16"/>
              </w:rPr>
              <w:t>20</w:t>
            </w:r>
          </w:p>
        </w:tc>
      </w:tr>
      <w:tr w14:paraId="41C1B9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9E4C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170F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9284A">
            <w:pPr>
              <w:jc w:val="center"/>
            </w:pPr>
            <w:r>
              <w:rPr>
                <w:rFonts w:ascii="宋体" w:hAnsi="宋体" w:eastAsia="宋体"/>
                <w:sz w:val="16"/>
              </w:rPr>
              <w:t>开展野外拉练次数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099BB">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42303">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1CB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AB86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EC86F">
            <w:pPr>
              <w:jc w:val="center"/>
            </w:pPr>
            <w:r>
              <w:rPr>
                <w:rFonts w:ascii="宋体" w:hAnsi="宋体" w:eastAsia="宋体"/>
                <w:sz w:val="16"/>
              </w:rPr>
              <w:t>10</w:t>
            </w:r>
          </w:p>
        </w:tc>
      </w:tr>
      <w:tr w14:paraId="048BDE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CDBB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C9AB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D0CFB">
            <w:pPr>
              <w:jc w:val="center"/>
            </w:pPr>
            <w:r>
              <w:rPr>
                <w:rFonts w:ascii="宋体" w:hAnsi="宋体" w:eastAsia="宋体"/>
                <w:sz w:val="16"/>
              </w:rPr>
              <w:t>出具抗震设防意见办件数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2FF17">
            <w:pPr>
              <w:jc w:val="center"/>
            </w:pPr>
            <w:r>
              <w:rPr>
                <w:rFonts w:ascii="宋体" w:hAnsi="宋体" w:eastAsia="宋体"/>
                <w:sz w:val="16"/>
              </w:rPr>
              <w:t>&gt;=5份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67D44">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1CF3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42DC1">
            <w:pPr>
              <w:jc w:val="center"/>
            </w:pPr>
            <w:r>
              <w:rPr>
                <w:rFonts w:ascii="宋体" w:hAnsi="宋体" w:eastAsia="宋体"/>
                <w:sz w:val="16"/>
              </w:rPr>
              <w:t>5份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1A655">
            <w:pPr>
              <w:jc w:val="center"/>
            </w:pPr>
            <w:r>
              <w:rPr>
                <w:rFonts w:ascii="宋体" w:hAnsi="宋体" w:eastAsia="宋体"/>
                <w:sz w:val="16"/>
              </w:rPr>
              <w:t>20</w:t>
            </w:r>
          </w:p>
        </w:tc>
      </w:tr>
      <w:tr w14:paraId="41D04F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F4D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13E6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B80BD">
            <w:pPr>
              <w:jc w:val="center"/>
            </w:pPr>
            <w:r>
              <w:rPr>
                <w:rFonts w:ascii="宋体" w:hAnsi="宋体" w:eastAsia="宋体"/>
                <w:sz w:val="16"/>
              </w:rPr>
              <w:t>开展科普宣传场次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9034E">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6C9CB">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E559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EFE91">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C0EAC">
            <w:pPr>
              <w:jc w:val="center"/>
            </w:pPr>
            <w:r>
              <w:rPr>
                <w:rFonts w:ascii="宋体" w:hAnsi="宋体" w:eastAsia="宋体"/>
                <w:sz w:val="16"/>
              </w:rPr>
              <w:t>20</w:t>
            </w:r>
          </w:p>
        </w:tc>
      </w:tr>
    </w:tbl>
    <w:p w14:paraId="28BB2EE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96"/>
      </w:tblGrid>
      <w:tr w14:paraId="2CB47D2D">
        <w:tblPrEx>
          <w:tblCellMar>
            <w:top w:w="0" w:type="dxa"/>
            <w:left w:w="108" w:type="dxa"/>
            <w:bottom w:w="0" w:type="dxa"/>
            <w:right w:w="108" w:type="dxa"/>
          </w:tblCellMar>
        </w:tblPrEx>
        <w:tc>
          <w:tcPr>
            <w:tcW w:w="8848" w:type="dxa"/>
            <w:gridSpan w:val="14"/>
            <w:vAlign w:val="center"/>
          </w:tcPr>
          <w:p w14:paraId="3E82EE86">
            <w:pPr>
              <w:jc w:val="center"/>
            </w:pPr>
            <w:r>
              <w:rPr>
                <w:rFonts w:ascii="宋体" w:hAnsi="宋体" w:eastAsia="宋体"/>
                <w:sz w:val="24"/>
              </w:rPr>
              <w:t>项目支出绩效自评表</w:t>
            </w:r>
          </w:p>
        </w:tc>
      </w:tr>
      <w:tr w14:paraId="3CBB6F5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01F132">
            <w:pPr>
              <w:jc w:val="center"/>
            </w:pPr>
            <w:r>
              <w:rPr>
                <w:rFonts w:ascii="宋体" w:hAnsi="宋体" w:eastAsia="宋体"/>
                <w:sz w:val="24"/>
              </w:rPr>
              <w:t>(2024年度)</w:t>
            </w:r>
          </w:p>
        </w:tc>
      </w:tr>
      <w:tr w14:paraId="611456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0B8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A9DF3B">
            <w:pPr>
              <w:jc w:val="center"/>
            </w:pPr>
            <w:r>
              <w:rPr>
                <w:rFonts w:ascii="宋体" w:hAnsi="宋体" w:eastAsia="宋体"/>
                <w:sz w:val="16"/>
              </w:rPr>
              <w:t>2022年安全生产考核奖</w:t>
            </w:r>
          </w:p>
        </w:tc>
      </w:tr>
      <w:tr w14:paraId="19DB68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F764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36949B">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68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20CCAF">
            <w:pPr>
              <w:jc w:val="center"/>
            </w:pPr>
            <w:r>
              <w:rPr>
                <w:rFonts w:ascii="宋体" w:hAnsi="宋体" w:eastAsia="宋体"/>
                <w:sz w:val="16"/>
              </w:rPr>
              <w:t>昌吉回族自治州地震局本级</w:t>
            </w:r>
          </w:p>
        </w:tc>
      </w:tr>
      <w:tr w14:paraId="18E965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52293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D22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158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C38D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AC8B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C405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B84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C8A84">
            <w:pPr>
              <w:jc w:val="center"/>
            </w:pPr>
            <w:r>
              <w:rPr>
                <w:rFonts w:ascii="宋体" w:hAnsi="宋体" w:eastAsia="宋体"/>
                <w:sz w:val="16"/>
              </w:rPr>
              <w:t>得分</w:t>
            </w:r>
          </w:p>
        </w:tc>
      </w:tr>
      <w:tr w14:paraId="50358F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6C6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0E82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A8D8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5970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F819A">
            <w:pPr>
              <w:jc w:val="center"/>
            </w:pPr>
            <w:r>
              <w:rPr>
                <w:rFonts w:ascii="宋体" w:hAnsi="宋体" w:eastAsia="宋体"/>
                <w:sz w:val="16"/>
              </w:rPr>
              <w:t>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A022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0A996">
            <w:pPr>
              <w:jc w:val="center"/>
            </w:pPr>
            <w:r>
              <w:rPr>
                <w:rFonts w:ascii="宋体" w:hAnsi="宋体" w:eastAsia="宋体"/>
                <w:sz w:val="16"/>
              </w:rPr>
              <w:t>89.00%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6AA2C">
            <w:pPr>
              <w:jc w:val="center"/>
            </w:pPr>
            <w:r>
              <w:rPr>
                <w:rFonts w:ascii="宋体" w:hAnsi="宋体" w:eastAsia="宋体"/>
                <w:sz w:val="16"/>
              </w:rPr>
              <w:t>7.25</w:t>
            </w:r>
          </w:p>
        </w:tc>
      </w:tr>
      <w:tr w14:paraId="10EB91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B60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04B4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22FD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9E255">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DDCF5">
            <w:pPr>
              <w:jc w:val="center"/>
            </w:pPr>
            <w:r>
              <w:rPr>
                <w:rFonts w:ascii="宋体" w:hAnsi="宋体" w:eastAsia="宋体"/>
                <w:sz w:val="16"/>
              </w:rPr>
              <w:t>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39B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47E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EC1A">
            <w:pPr>
              <w:jc w:val="center"/>
            </w:pPr>
            <w:r>
              <w:rPr>
                <w:rFonts w:ascii="宋体" w:hAnsi="宋体" w:eastAsia="宋体"/>
                <w:sz w:val="16"/>
              </w:rPr>
              <w:t>—</w:t>
            </w:r>
          </w:p>
        </w:tc>
      </w:tr>
      <w:tr w14:paraId="1547B8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3F5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AF3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BFC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F55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8A6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4A2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284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7FDB8">
            <w:pPr>
              <w:jc w:val="center"/>
            </w:pPr>
            <w:r>
              <w:rPr>
                <w:rFonts w:ascii="宋体" w:hAnsi="宋体" w:eastAsia="宋体"/>
                <w:sz w:val="16"/>
              </w:rPr>
              <w:t>—</w:t>
            </w:r>
          </w:p>
        </w:tc>
      </w:tr>
      <w:tr w14:paraId="2FC7A1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5AC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FCBB1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689A99">
            <w:pPr>
              <w:jc w:val="center"/>
            </w:pPr>
            <w:r>
              <w:rPr>
                <w:rFonts w:ascii="宋体" w:hAnsi="宋体" w:eastAsia="宋体"/>
                <w:sz w:val="16"/>
              </w:rPr>
              <w:t>实际完成情况</w:t>
            </w:r>
          </w:p>
        </w:tc>
      </w:tr>
      <w:tr w14:paraId="0679D6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107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014062">
            <w:pPr>
              <w:jc w:val="both"/>
            </w:pPr>
            <w:r>
              <w:rPr>
                <w:rFonts w:ascii="宋体" w:hAnsi="宋体" w:eastAsia="宋体"/>
                <w:sz w:val="16"/>
              </w:rPr>
              <w:t>2022</w:t>
            </w:r>
            <w:r>
              <w:rPr>
                <w:rFonts w:hint="eastAsia" w:ascii="宋体" w:hAnsi="宋体"/>
                <w:sz w:val="16"/>
                <w:lang w:eastAsia="zh-CN"/>
              </w:rPr>
              <w:t>年度</w:t>
            </w:r>
            <w:r>
              <w:rPr>
                <w:rFonts w:ascii="宋体" w:hAnsi="宋体" w:eastAsia="宋体"/>
                <w:sz w:val="16"/>
              </w:rPr>
              <w:t>安全生产考核奖结转，用于单位工作安全生产正常支出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DE14AE">
            <w:pPr>
              <w:jc w:val="both"/>
            </w:pPr>
            <w:r>
              <w:rPr>
                <w:rFonts w:ascii="宋体" w:hAnsi="宋体" w:eastAsia="宋体"/>
                <w:sz w:val="16"/>
              </w:rPr>
              <w:t>截至2024年12月31日，该项目实际完成正常开展工作2项，安全生产指标完成率100%，资金支付率达90%，委托业务1万元，设备维修0.78万元，通过该项目的实施提高了社会公众知晓率。</w:t>
            </w:r>
          </w:p>
        </w:tc>
      </w:tr>
      <w:tr w14:paraId="56F63A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8D21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653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982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552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E4E4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227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C81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494F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2B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823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0481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FBF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8E8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31AA">
            <w:pPr>
              <w:jc w:val="center"/>
            </w:pPr>
            <w:r>
              <w:rPr>
                <w:rFonts w:ascii="宋体" w:hAnsi="宋体" w:eastAsia="宋体"/>
                <w:sz w:val="16"/>
              </w:rPr>
              <w:t>偏差原因分析及改进措施</w:t>
            </w:r>
          </w:p>
        </w:tc>
      </w:tr>
      <w:tr w14:paraId="13FE4D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D12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551C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44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8D1D">
            <w:pPr>
              <w:jc w:val="center"/>
            </w:pPr>
            <w:r>
              <w:rPr>
                <w:rFonts w:ascii="宋体" w:hAnsi="宋体" w:eastAsia="宋体"/>
                <w:sz w:val="16"/>
              </w:rPr>
              <w:t>开展工作数量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161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21CC0">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EE9F">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F0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3AD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207F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57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44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5B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3ABC5">
            <w:pPr>
              <w:jc w:val="center"/>
            </w:pPr>
          </w:p>
        </w:tc>
      </w:tr>
      <w:tr w14:paraId="1040B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D3A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72E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383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6EA34">
            <w:pPr>
              <w:jc w:val="center"/>
            </w:pPr>
            <w:r>
              <w:rPr>
                <w:rFonts w:ascii="宋体" w:hAnsi="宋体" w:eastAsia="宋体"/>
                <w:sz w:val="16"/>
              </w:rPr>
              <w:t>安全生产指标完成率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33F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888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9E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5C9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965C2">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CAEC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E7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B4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0A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C778B">
            <w:pPr>
              <w:jc w:val="center"/>
            </w:pPr>
            <w:r>
              <w:rPr>
                <w:rFonts w:ascii="宋体" w:hAnsi="宋体" w:eastAsia="宋体"/>
                <w:sz w:val="16"/>
              </w:rPr>
              <w:t>根据</w:t>
            </w:r>
            <w:r>
              <w:rPr>
                <w:rFonts w:hint="eastAsia" w:ascii="宋体" w:hAnsi="宋体"/>
                <w:sz w:val="16"/>
                <w:lang w:eastAsia="zh-CN"/>
              </w:rPr>
              <w:t>本单位</w:t>
            </w:r>
            <w:r>
              <w:rPr>
                <w:rFonts w:ascii="宋体" w:hAnsi="宋体" w:eastAsia="宋体"/>
                <w:sz w:val="16"/>
              </w:rPr>
              <w:t>安全生产指标，完成率100%，与年初目标值90%存在偏差，安全生产指标完成率较好。</w:t>
            </w:r>
          </w:p>
        </w:tc>
      </w:tr>
      <w:tr w14:paraId="4E004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946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12A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9C1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0F01C">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10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E09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20C5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4D6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7A6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DF4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0F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95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B71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15033">
            <w:pPr>
              <w:jc w:val="center"/>
            </w:pPr>
          </w:p>
        </w:tc>
      </w:tr>
      <w:tr w14:paraId="5E3555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067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BD3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7AD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0A82">
            <w:pPr>
              <w:jc w:val="center"/>
            </w:pPr>
            <w:r>
              <w:rPr>
                <w:rFonts w:ascii="宋体" w:hAnsi="宋体" w:eastAsia="宋体"/>
                <w:sz w:val="16"/>
              </w:rPr>
              <w:t>委托业务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00B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3A8C">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15A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FF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1E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DF3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BEC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6D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70A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C139">
            <w:pPr>
              <w:jc w:val="center"/>
            </w:pPr>
          </w:p>
        </w:tc>
      </w:tr>
      <w:tr w14:paraId="4FCC16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0B5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804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939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A0784">
            <w:pPr>
              <w:jc w:val="center"/>
            </w:pPr>
            <w:r>
              <w:rPr>
                <w:rFonts w:ascii="宋体" w:hAnsi="宋体" w:eastAsia="宋体"/>
                <w:sz w:val="16"/>
              </w:rPr>
              <w:t>设备维修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19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55B41">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7DED9">
            <w:pPr>
              <w:jc w:val="center"/>
            </w:pPr>
            <w:r>
              <w:rPr>
                <w:rFonts w:ascii="宋体" w:hAnsi="宋体" w:eastAsia="宋体"/>
                <w:sz w:val="16"/>
              </w:rPr>
              <w:t>=0.78万元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0AF2">
            <w:pPr>
              <w:jc w:val="center"/>
            </w:pPr>
            <w:r>
              <w:rPr>
                <w:rFonts w:ascii="宋体" w:hAnsi="宋体" w:eastAsia="宋体"/>
                <w:sz w:val="16"/>
              </w:rPr>
              <w:t>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CB31">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B2C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C22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420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1F2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41DC">
            <w:pPr>
              <w:jc w:val="center"/>
            </w:pPr>
            <w:r>
              <w:rPr>
                <w:rFonts w:ascii="宋体" w:hAnsi="宋体" w:eastAsia="宋体"/>
                <w:sz w:val="16"/>
              </w:rPr>
              <w:t>根据</w:t>
            </w:r>
            <w:r>
              <w:rPr>
                <w:rFonts w:hint="eastAsia" w:ascii="宋体" w:hAnsi="宋体"/>
                <w:sz w:val="16"/>
                <w:lang w:eastAsia="zh-CN"/>
              </w:rPr>
              <w:t>本单位</w:t>
            </w:r>
            <w:r>
              <w:rPr>
                <w:rFonts w:ascii="宋体" w:hAnsi="宋体" w:eastAsia="宋体"/>
                <w:sz w:val="16"/>
              </w:rPr>
              <w:t>实际业务需求，支付相关经费，在设备维修中</w:t>
            </w:r>
            <w:r>
              <w:rPr>
                <w:rFonts w:hint="eastAsia" w:ascii="宋体" w:hAnsi="宋体"/>
                <w:sz w:val="16"/>
                <w:lang w:eastAsia="zh-CN"/>
              </w:rPr>
              <w:t>本单位</w:t>
            </w:r>
            <w:r>
              <w:rPr>
                <w:rFonts w:ascii="宋体" w:hAnsi="宋体" w:eastAsia="宋体"/>
                <w:sz w:val="16"/>
              </w:rPr>
              <w:t>在经费使用中厉行节约。</w:t>
            </w:r>
          </w:p>
        </w:tc>
      </w:tr>
      <w:tr w14:paraId="18978A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D1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F82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E1F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3637">
            <w:pPr>
              <w:jc w:val="center"/>
            </w:pPr>
            <w:r>
              <w:rPr>
                <w:rFonts w:ascii="宋体" w:hAnsi="宋体" w:eastAsia="宋体"/>
                <w:sz w:val="16"/>
              </w:rPr>
              <w:t>提升社会公众知晓率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CB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1308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29C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1AF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1E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990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AA3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55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5B0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7619">
            <w:pPr>
              <w:jc w:val="center"/>
            </w:pPr>
          </w:p>
        </w:tc>
      </w:tr>
      <w:tr w14:paraId="3E9B6C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27225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D3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87ED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5D11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E0F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6C28">
            <w:pPr>
              <w:jc w:val="center"/>
            </w:pPr>
            <w:r>
              <w:rPr>
                <w:rFonts w:ascii="宋体" w:hAnsi="宋体" w:eastAsia="宋体"/>
                <w:sz w:val="16"/>
              </w:rPr>
              <w:t>90.65分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9F7A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333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80AB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450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61656"/>
        </w:tc>
      </w:tr>
    </w:tbl>
    <w:p w14:paraId="22A98EB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96"/>
      </w:tblGrid>
      <w:tr w14:paraId="6A55F84F">
        <w:tblPrEx>
          <w:tblCellMar>
            <w:top w:w="0" w:type="dxa"/>
            <w:left w:w="108" w:type="dxa"/>
            <w:bottom w:w="0" w:type="dxa"/>
            <w:right w:w="108" w:type="dxa"/>
          </w:tblCellMar>
        </w:tblPrEx>
        <w:tc>
          <w:tcPr>
            <w:tcW w:w="8848" w:type="dxa"/>
            <w:gridSpan w:val="14"/>
            <w:vAlign w:val="center"/>
          </w:tcPr>
          <w:p w14:paraId="4384ADDA">
            <w:pPr>
              <w:jc w:val="center"/>
            </w:pPr>
            <w:r>
              <w:rPr>
                <w:rFonts w:ascii="宋体" w:hAnsi="宋体" w:eastAsia="宋体"/>
                <w:sz w:val="24"/>
              </w:rPr>
              <w:t>项目支出绩效自评表</w:t>
            </w:r>
          </w:p>
        </w:tc>
      </w:tr>
      <w:tr w14:paraId="4F347CA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3BFDC9">
            <w:pPr>
              <w:jc w:val="center"/>
            </w:pPr>
            <w:r>
              <w:rPr>
                <w:rFonts w:ascii="宋体" w:hAnsi="宋体" w:eastAsia="宋体"/>
                <w:sz w:val="24"/>
              </w:rPr>
              <w:t>(2024年度)</w:t>
            </w:r>
          </w:p>
        </w:tc>
      </w:tr>
      <w:tr w14:paraId="3EDB52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F04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546FA6">
            <w:pPr>
              <w:jc w:val="center"/>
            </w:pPr>
            <w:r>
              <w:rPr>
                <w:rFonts w:ascii="宋体" w:hAnsi="宋体" w:eastAsia="宋体"/>
                <w:sz w:val="16"/>
              </w:rPr>
              <w:t>“三网一员”工作经费（州本级）</w:t>
            </w:r>
          </w:p>
        </w:tc>
      </w:tr>
      <w:tr w14:paraId="7EB41F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E6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AD0688">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E89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E50FE2">
            <w:pPr>
              <w:jc w:val="center"/>
            </w:pPr>
            <w:r>
              <w:rPr>
                <w:rFonts w:ascii="宋体" w:hAnsi="宋体" w:eastAsia="宋体"/>
                <w:sz w:val="16"/>
              </w:rPr>
              <w:t>昌吉回族自治州地震局本级</w:t>
            </w:r>
          </w:p>
        </w:tc>
      </w:tr>
      <w:tr w14:paraId="6CA71E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F751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7201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33A7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835E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38F8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6BC3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FCB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FCFA">
            <w:pPr>
              <w:jc w:val="center"/>
            </w:pPr>
            <w:r>
              <w:rPr>
                <w:rFonts w:ascii="宋体" w:hAnsi="宋体" w:eastAsia="宋体"/>
                <w:sz w:val="16"/>
              </w:rPr>
              <w:t>得分</w:t>
            </w:r>
          </w:p>
        </w:tc>
      </w:tr>
      <w:tr w14:paraId="180F38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F0E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0949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B05DA">
            <w:pPr>
              <w:jc w:val="center"/>
            </w:pPr>
            <w:r>
              <w:rPr>
                <w:rFonts w:ascii="宋体" w:hAnsi="宋体" w:eastAsia="宋体"/>
                <w:sz w:val="16"/>
              </w:rPr>
              <w:t>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B72AE">
            <w:pPr>
              <w:jc w:val="center"/>
            </w:pPr>
            <w:r>
              <w:rPr>
                <w:rFonts w:ascii="宋体" w:hAnsi="宋体" w:eastAsia="宋体"/>
                <w:sz w:val="16"/>
              </w:rPr>
              <w:t>5.12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B20C4">
            <w:pPr>
              <w:jc w:val="center"/>
            </w:pPr>
            <w:r>
              <w:rPr>
                <w:rFonts w:ascii="宋体" w:hAnsi="宋体" w:eastAsia="宋体"/>
                <w:sz w:val="16"/>
              </w:rPr>
              <w:t>5.07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51A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DAE64">
            <w:pPr>
              <w:jc w:val="center"/>
            </w:pPr>
            <w:r>
              <w:rPr>
                <w:rFonts w:ascii="宋体" w:hAnsi="宋体" w:eastAsia="宋体"/>
                <w:sz w:val="16"/>
              </w:rPr>
              <w:t>99.02%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DCD1">
            <w:pPr>
              <w:jc w:val="center"/>
            </w:pPr>
            <w:r>
              <w:rPr>
                <w:rFonts w:ascii="宋体" w:hAnsi="宋体" w:eastAsia="宋体"/>
                <w:sz w:val="16"/>
              </w:rPr>
              <w:t>10.00</w:t>
            </w:r>
          </w:p>
        </w:tc>
      </w:tr>
      <w:tr w14:paraId="05D7DC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9E0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329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04E47">
            <w:pPr>
              <w:jc w:val="center"/>
            </w:pPr>
            <w:r>
              <w:rPr>
                <w:rFonts w:ascii="宋体" w:hAnsi="宋体" w:eastAsia="宋体"/>
                <w:sz w:val="16"/>
              </w:rPr>
              <w:t>4.12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96D16">
            <w:pPr>
              <w:jc w:val="center"/>
            </w:pPr>
            <w:r>
              <w:rPr>
                <w:rFonts w:ascii="宋体" w:hAnsi="宋体" w:eastAsia="宋体"/>
                <w:sz w:val="16"/>
              </w:rPr>
              <w:t>5.12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B7D48">
            <w:pPr>
              <w:jc w:val="center"/>
            </w:pPr>
            <w:r>
              <w:rPr>
                <w:rFonts w:ascii="宋体" w:hAnsi="宋体" w:eastAsia="宋体"/>
                <w:sz w:val="16"/>
              </w:rPr>
              <w:t>5.07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E04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497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A3813">
            <w:pPr>
              <w:jc w:val="center"/>
            </w:pPr>
            <w:r>
              <w:rPr>
                <w:rFonts w:ascii="宋体" w:hAnsi="宋体" w:eastAsia="宋体"/>
                <w:sz w:val="16"/>
              </w:rPr>
              <w:t>—</w:t>
            </w:r>
          </w:p>
        </w:tc>
      </w:tr>
      <w:tr w14:paraId="2CEAD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71C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108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0E6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7DF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63C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426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AA8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3C48">
            <w:pPr>
              <w:jc w:val="center"/>
            </w:pPr>
            <w:r>
              <w:rPr>
                <w:rFonts w:ascii="宋体" w:hAnsi="宋体" w:eastAsia="宋体"/>
                <w:sz w:val="16"/>
              </w:rPr>
              <w:t>—</w:t>
            </w:r>
          </w:p>
        </w:tc>
      </w:tr>
      <w:tr w14:paraId="1F59BF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FB91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35DF7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AF25F0">
            <w:pPr>
              <w:jc w:val="center"/>
            </w:pPr>
            <w:r>
              <w:rPr>
                <w:rFonts w:ascii="宋体" w:hAnsi="宋体" w:eastAsia="宋体"/>
                <w:sz w:val="16"/>
              </w:rPr>
              <w:t>实际完成情况</w:t>
            </w:r>
          </w:p>
        </w:tc>
      </w:tr>
      <w:tr w14:paraId="01CB19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A93C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33408E">
            <w:pPr>
              <w:jc w:val="both"/>
            </w:pPr>
            <w:r>
              <w:rPr>
                <w:rFonts w:ascii="宋体" w:hAnsi="宋体" w:eastAsia="宋体"/>
                <w:sz w:val="16"/>
              </w:rPr>
              <w:t>开展全州40个“三网一员”宏观点运行维护工作，开展宏观异常核实，做到异常核实不过夜，同时，加强宏观观测员能力提升，从而提高全州地震预测预报能力和群测群防能力。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377310">
            <w:pPr>
              <w:jc w:val="both"/>
            </w:pPr>
            <w:r>
              <w:rPr>
                <w:rFonts w:ascii="宋体" w:hAnsi="宋体" w:eastAsia="宋体"/>
                <w:sz w:val="16"/>
              </w:rPr>
              <w:t>截至2024年12月31日，该项目实际完成地震专线1条，太阳能板、电瓶1个，地震监测完成率100%，地震监测预报完成及时率100%，通过该项目的实施，提升了对震情灾情上报能力，保障了人民生命财产安全。</w:t>
            </w:r>
          </w:p>
        </w:tc>
      </w:tr>
      <w:tr w14:paraId="358AC8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2E6A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40E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E60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E8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6974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95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DDB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98A2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3A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C14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3E2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0A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D856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B6C9">
            <w:pPr>
              <w:jc w:val="center"/>
            </w:pPr>
            <w:r>
              <w:rPr>
                <w:rFonts w:ascii="宋体" w:hAnsi="宋体" w:eastAsia="宋体"/>
                <w:sz w:val="16"/>
              </w:rPr>
              <w:t>偏差原因分析及改进措施</w:t>
            </w:r>
          </w:p>
        </w:tc>
      </w:tr>
      <w:tr w14:paraId="3C1FAA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6111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D31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D4F8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0FA72">
            <w:pPr>
              <w:jc w:val="center"/>
            </w:pPr>
            <w:r>
              <w:rPr>
                <w:rFonts w:ascii="宋体" w:hAnsi="宋体" w:eastAsia="宋体"/>
                <w:sz w:val="16"/>
              </w:rPr>
              <w:t>地震专线条数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47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CF6FD">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E6DA2">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0D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03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92F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3D68">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81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82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16B8">
            <w:pPr>
              <w:jc w:val="center"/>
            </w:pPr>
          </w:p>
        </w:tc>
      </w:tr>
      <w:tr w14:paraId="333B50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D19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753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690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D5F4">
            <w:pPr>
              <w:jc w:val="center"/>
            </w:pPr>
            <w:r>
              <w:rPr>
                <w:rFonts w:ascii="宋体" w:hAnsi="宋体" w:eastAsia="宋体"/>
                <w:sz w:val="16"/>
              </w:rPr>
              <w:t>太阳能板、电瓶个数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C11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57B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BD7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680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D2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106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82E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C29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3A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C699A">
            <w:pPr>
              <w:jc w:val="center"/>
            </w:pPr>
          </w:p>
        </w:tc>
      </w:tr>
      <w:tr w14:paraId="003975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758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679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10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3AA5F">
            <w:pPr>
              <w:jc w:val="center"/>
            </w:pPr>
            <w:r>
              <w:rPr>
                <w:rFonts w:ascii="宋体" w:hAnsi="宋体" w:eastAsia="宋体"/>
                <w:sz w:val="16"/>
              </w:rPr>
              <w:t>地震监测完成率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87E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3FD1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3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5FFD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55677">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83F9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A204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FF7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3B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E3F48">
            <w:pPr>
              <w:jc w:val="center"/>
            </w:pPr>
            <w:r>
              <w:rPr>
                <w:rFonts w:ascii="宋体" w:hAnsi="宋体" w:eastAsia="宋体"/>
                <w:sz w:val="16"/>
              </w:rPr>
              <w:t>根据</w:t>
            </w:r>
            <w:r>
              <w:rPr>
                <w:rFonts w:hint="eastAsia" w:ascii="宋体" w:hAnsi="宋体"/>
                <w:sz w:val="16"/>
                <w:lang w:eastAsia="zh-CN"/>
              </w:rPr>
              <w:t>本单位</w:t>
            </w:r>
            <w:r>
              <w:rPr>
                <w:rFonts w:ascii="宋体" w:hAnsi="宋体" w:eastAsia="宋体"/>
                <w:sz w:val="16"/>
              </w:rPr>
              <w:t>地震监测完成率100%，与年初目标值90%存在偏差，地震监测完成率较好。</w:t>
            </w:r>
          </w:p>
        </w:tc>
      </w:tr>
      <w:tr w14:paraId="50AFFF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0EE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B4F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F5A7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67E4A">
            <w:pPr>
              <w:jc w:val="center"/>
            </w:pPr>
            <w:r>
              <w:rPr>
                <w:rFonts w:ascii="宋体" w:hAnsi="宋体" w:eastAsia="宋体"/>
                <w:sz w:val="16"/>
              </w:rPr>
              <w:t>地震监测预报完成及时率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4AC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3452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06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C7FB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E6E7">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26C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EF9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C9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83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A18B">
            <w:pPr>
              <w:jc w:val="center"/>
            </w:pPr>
            <w:r>
              <w:rPr>
                <w:rFonts w:ascii="宋体" w:hAnsi="宋体" w:eastAsia="宋体"/>
                <w:sz w:val="16"/>
              </w:rPr>
              <w:t>根据</w:t>
            </w:r>
            <w:r>
              <w:rPr>
                <w:rFonts w:hint="eastAsia" w:ascii="宋体" w:hAnsi="宋体"/>
                <w:sz w:val="16"/>
                <w:lang w:eastAsia="zh-CN"/>
              </w:rPr>
              <w:t>本单位</w:t>
            </w:r>
            <w:r>
              <w:rPr>
                <w:rFonts w:ascii="宋体" w:hAnsi="宋体" w:eastAsia="宋体"/>
                <w:sz w:val="16"/>
              </w:rPr>
              <w:t>地震监测预报完成及时率100%，与年初目标值90%存在偏差，地震监测预报完成及时率较好。</w:t>
            </w:r>
          </w:p>
        </w:tc>
      </w:tr>
      <w:tr w14:paraId="40A291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208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0729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3916F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0411">
            <w:pPr>
              <w:jc w:val="center"/>
            </w:pPr>
            <w:r>
              <w:rPr>
                <w:rFonts w:ascii="宋体" w:hAnsi="宋体" w:eastAsia="宋体"/>
                <w:sz w:val="16"/>
              </w:rPr>
              <w:t>观测专线费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E8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5B7B8">
            <w:pPr>
              <w:jc w:val="center"/>
            </w:pPr>
            <w:r>
              <w:rPr>
                <w:rFonts w:ascii="宋体" w:hAnsi="宋体" w:eastAsia="宋体"/>
                <w:sz w:val="16"/>
              </w:rPr>
              <w:t>&lt;=1.32万元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2CAE">
            <w:pPr>
              <w:jc w:val="center"/>
            </w:pPr>
            <w:r>
              <w:rPr>
                <w:rFonts w:ascii="宋体" w:hAnsi="宋体" w:eastAsia="宋体"/>
                <w:sz w:val="16"/>
              </w:rPr>
              <w:t>=1.32万元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F40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2A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C756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98F7">
            <w:pPr>
              <w:jc w:val="center"/>
            </w:pPr>
            <w:r>
              <w:rPr>
                <w:rFonts w:ascii="宋体" w:hAnsi="宋体" w:eastAsia="宋体"/>
                <w:sz w:val="16"/>
              </w:rPr>
              <w:t>1.32万元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DD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F3C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7A6A">
            <w:pPr>
              <w:jc w:val="center"/>
            </w:pPr>
          </w:p>
        </w:tc>
      </w:tr>
      <w:tr w14:paraId="745D6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7B2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543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B21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CEEA2">
            <w:pPr>
              <w:jc w:val="center"/>
            </w:pPr>
            <w:r>
              <w:rPr>
                <w:rFonts w:ascii="宋体" w:hAnsi="宋体" w:eastAsia="宋体"/>
                <w:sz w:val="16"/>
              </w:rPr>
              <w:t>台站维护费用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6AA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3FC0">
            <w:pPr>
              <w:jc w:val="center"/>
            </w:pPr>
            <w:r>
              <w:rPr>
                <w:rFonts w:ascii="宋体" w:hAnsi="宋体" w:eastAsia="宋体"/>
                <w:sz w:val="16"/>
              </w:rPr>
              <w:t>&lt;=3.80万元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90F1">
            <w:pPr>
              <w:jc w:val="center"/>
            </w:pPr>
            <w:r>
              <w:rPr>
                <w:rFonts w:ascii="宋体" w:hAnsi="宋体" w:eastAsia="宋体"/>
                <w:sz w:val="16"/>
              </w:rPr>
              <w:t>=3.75万元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406A">
            <w:pPr>
              <w:jc w:val="center"/>
            </w:pPr>
            <w:r>
              <w:rPr>
                <w:rFonts w:ascii="宋体" w:hAnsi="宋体" w:eastAsia="宋体"/>
                <w:sz w:val="16"/>
              </w:rPr>
              <w:t>98.68%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7BEF">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B41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78B64">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524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56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D0496">
            <w:pPr>
              <w:jc w:val="center"/>
            </w:pPr>
            <w:r>
              <w:rPr>
                <w:rFonts w:ascii="宋体" w:hAnsi="宋体" w:eastAsia="宋体"/>
                <w:sz w:val="16"/>
              </w:rPr>
              <w:t>根据</w:t>
            </w:r>
            <w:r>
              <w:rPr>
                <w:rFonts w:hint="eastAsia" w:ascii="宋体" w:hAnsi="宋体"/>
                <w:sz w:val="16"/>
                <w:lang w:eastAsia="zh-CN"/>
              </w:rPr>
              <w:t>本单位</w:t>
            </w:r>
            <w:r>
              <w:rPr>
                <w:rFonts w:ascii="宋体" w:hAnsi="宋体" w:eastAsia="宋体"/>
                <w:sz w:val="16"/>
              </w:rPr>
              <w:t>实际台站维护费用，厉行节约财政资金。</w:t>
            </w:r>
          </w:p>
        </w:tc>
      </w:tr>
      <w:tr w14:paraId="44709F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22F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397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4B7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1043E">
            <w:pPr>
              <w:jc w:val="center"/>
            </w:pPr>
            <w:r>
              <w:rPr>
                <w:rFonts w:ascii="宋体" w:hAnsi="宋体" w:eastAsia="宋体"/>
                <w:sz w:val="16"/>
              </w:rPr>
              <w:t>提升了对震情灾情上报能力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B8C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5576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A13A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624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FB8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5EB3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C6B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78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03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4BFF">
            <w:pPr>
              <w:jc w:val="center"/>
            </w:pPr>
          </w:p>
        </w:tc>
      </w:tr>
      <w:tr w14:paraId="6BF8F2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FE4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B4B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770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EAE62">
            <w:pPr>
              <w:jc w:val="center"/>
            </w:pPr>
            <w:r>
              <w:rPr>
                <w:rFonts w:ascii="宋体" w:hAnsi="宋体" w:eastAsia="宋体"/>
                <w:sz w:val="16"/>
              </w:rPr>
              <w:t>保障人民生命财产安全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A18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C9DC8">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BB13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FB0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4A76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228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5B05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8B9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C6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A5BB">
            <w:pPr>
              <w:jc w:val="center"/>
            </w:pPr>
          </w:p>
        </w:tc>
      </w:tr>
      <w:tr w14:paraId="2E1E7FC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1DEF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6AF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941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086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35E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CB697">
            <w:pPr>
              <w:jc w:val="center"/>
            </w:pPr>
            <w:r>
              <w:rPr>
                <w:rFonts w:ascii="宋体" w:hAnsi="宋体" w:eastAsia="宋体"/>
                <w:sz w:val="16"/>
              </w:rPr>
              <w:t>97.47分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6369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D58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83DE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7CE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7F8F8"/>
        </w:tc>
      </w:tr>
    </w:tbl>
    <w:p w14:paraId="6FAF1AC5">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96"/>
        <w:gridCol w:w="696"/>
        <w:gridCol w:w="631"/>
        <w:gridCol w:w="615"/>
        <w:gridCol w:w="631"/>
        <w:gridCol w:w="615"/>
        <w:gridCol w:w="615"/>
        <w:gridCol w:w="696"/>
      </w:tblGrid>
      <w:tr w14:paraId="38F99C5B">
        <w:tblPrEx>
          <w:tblCellMar>
            <w:top w:w="0" w:type="dxa"/>
            <w:left w:w="108" w:type="dxa"/>
            <w:bottom w:w="0" w:type="dxa"/>
            <w:right w:w="108" w:type="dxa"/>
          </w:tblCellMar>
        </w:tblPrEx>
        <w:tc>
          <w:tcPr>
            <w:tcW w:w="8848" w:type="dxa"/>
            <w:gridSpan w:val="14"/>
            <w:vAlign w:val="center"/>
          </w:tcPr>
          <w:p w14:paraId="5D97E67A">
            <w:pPr>
              <w:jc w:val="center"/>
            </w:pPr>
            <w:r>
              <w:rPr>
                <w:rFonts w:ascii="宋体" w:hAnsi="宋体" w:eastAsia="宋体"/>
                <w:sz w:val="24"/>
              </w:rPr>
              <w:t>项目支出绩效自评表</w:t>
            </w:r>
          </w:p>
        </w:tc>
      </w:tr>
      <w:tr w14:paraId="5B5230E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6683E0">
            <w:pPr>
              <w:jc w:val="center"/>
            </w:pPr>
            <w:r>
              <w:rPr>
                <w:rFonts w:ascii="宋体" w:hAnsi="宋体" w:eastAsia="宋体"/>
                <w:sz w:val="24"/>
              </w:rPr>
              <w:t>(2024年度)</w:t>
            </w:r>
          </w:p>
        </w:tc>
      </w:tr>
      <w:tr w14:paraId="675866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BF5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4493BD">
            <w:pPr>
              <w:jc w:val="center"/>
            </w:pPr>
            <w:r>
              <w:rPr>
                <w:rFonts w:ascii="宋体" w:hAnsi="宋体" w:eastAsia="宋体"/>
                <w:sz w:val="16"/>
              </w:rPr>
              <w:t>地震台站台网维护费及正常运转经费</w:t>
            </w:r>
          </w:p>
        </w:tc>
      </w:tr>
      <w:tr w14:paraId="7C63AF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67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6EB860">
            <w:pPr>
              <w:jc w:val="center"/>
            </w:pPr>
            <w:r>
              <w:rPr>
                <w:rFonts w:ascii="宋体" w:hAnsi="宋体" w:eastAsia="宋体"/>
                <w:sz w:val="16"/>
              </w:rPr>
              <w:t>昌吉回族自治州地震局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C6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99641F">
            <w:pPr>
              <w:jc w:val="center"/>
            </w:pPr>
            <w:r>
              <w:rPr>
                <w:rFonts w:ascii="宋体" w:hAnsi="宋体" w:eastAsia="宋体"/>
                <w:sz w:val="16"/>
              </w:rPr>
              <w:t>昌吉回族自治州地震局</w:t>
            </w:r>
          </w:p>
        </w:tc>
      </w:tr>
      <w:tr w14:paraId="59490A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1ADD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519B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45D2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DC17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D39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EA17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606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AD822">
            <w:pPr>
              <w:jc w:val="center"/>
            </w:pPr>
            <w:r>
              <w:rPr>
                <w:rFonts w:ascii="宋体" w:hAnsi="宋体" w:eastAsia="宋体"/>
                <w:sz w:val="16"/>
              </w:rPr>
              <w:t>得分</w:t>
            </w:r>
          </w:p>
        </w:tc>
      </w:tr>
      <w:tr w14:paraId="20427F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315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E6B6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20EF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EBBA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83E70">
            <w:pPr>
              <w:jc w:val="center"/>
            </w:pPr>
            <w:r>
              <w:rPr>
                <w:rFonts w:ascii="宋体" w:hAnsi="宋体" w:eastAsia="宋体"/>
                <w:sz w:val="16"/>
              </w:rPr>
              <w:t>19.33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A8A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D3073">
            <w:pPr>
              <w:jc w:val="center"/>
            </w:pPr>
            <w:r>
              <w:rPr>
                <w:rFonts w:ascii="宋体" w:hAnsi="宋体" w:eastAsia="宋体"/>
                <w:sz w:val="16"/>
              </w:rPr>
              <w:t>96.65%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32C7">
            <w:pPr>
              <w:jc w:val="center"/>
            </w:pPr>
            <w:r>
              <w:rPr>
                <w:rFonts w:ascii="宋体" w:hAnsi="宋体" w:eastAsia="宋体"/>
                <w:sz w:val="16"/>
              </w:rPr>
              <w:t>10.00</w:t>
            </w:r>
          </w:p>
        </w:tc>
      </w:tr>
      <w:tr w14:paraId="335FD0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B10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AE9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D00A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FE8F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67F4D">
            <w:pPr>
              <w:jc w:val="center"/>
            </w:pPr>
            <w:r>
              <w:rPr>
                <w:rFonts w:ascii="宋体" w:hAnsi="宋体" w:eastAsia="宋体"/>
                <w:sz w:val="16"/>
              </w:rPr>
              <w:t>19.33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1AA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318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388F7">
            <w:pPr>
              <w:jc w:val="center"/>
            </w:pPr>
            <w:r>
              <w:rPr>
                <w:rFonts w:ascii="宋体" w:hAnsi="宋体" w:eastAsia="宋体"/>
                <w:sz w:val="16"/>
              </w:rPr>
              <w:t>—</w:t>
            </w:r>
          </w:p>
        </w:tc>
      </w:tr>
      <w:tr w14:paraId="313D6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039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BC8D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72F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ED1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2D7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D72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7D3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EFBF">
            <w:pPr>
              <w:jc w:val="center"/>
            </w:pPr>
            <w:r>
              <w:rPr>
                <w:rFonts w:ascii="宋体" w:hAnsi="宋体" w:eastAsia="宋体"/>
                <w:sz w:val="16"/>
              </w:rPr>
              <w:t>—</w:t>
            </w:r>
          </w:p>
        </w:tc>
      </w:tr>
      <w:tr w14:paraId="50C870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BD9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0EF37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D438BC">
            <w:pPr>
              <w:jc w:val="center"/>
            </w:pPr>
            <w:r>
              <w:rPr>
                <w:rFonts w:ascii="宋体" w:hAnsi="宋体" w:eastAsia="宋体"/>
                <w:sz w:val="16"/>
              </w:rPr>
              <w:t>实际完成情况</w:t>
            </w:r>
          </w:p>
        </w:tc>
      </w:tr>
      <w:tr w14:paraId="64E81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F563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D21555">
            <w:pPr>
              <w:jc w:val="both"/>
            </w:pPr>
            <w:r>
              <w:rPr>
                <w:rFonts w:ascii="宋体" w:hAnsi="宋体" w:eastAsia="宋体"/>
                <w:sz w:val="16"/>
              </w:rPr>
              <w:t>利用前兆观测资料、测震资料分析及宏观异常测报等多种手段进一步优化台网运维工作机制，健全完善工作日志，保障数据连续性，提升本行政区域震情速报能力，完成10个监</w:t>
            </w:r>
            <w:r>
              <w:rPr>
                <w:rFonts w:hint="eastAsia" w:ascii="宋体" w:hAnsi="宋体"/>
                <w:sz w:val="16"/>
                <w:lang w:eastAsia="zh-CN"/>
              </w:rPr>
              <w:t>测点</w:t>
            </w:r>
            <w:r>
              <w:rPr>
                <w:rFonts w:ascii="宋体" w:hAnsi="宋体" w:eastAsia="宋体"/>
                <w:sz w:val="16"/>
              </w:rPr>
              <w:t>的运行维护，提高监测数据的使用率；采用信息化技术实现地震风险预测，提升监测水平，保障人民生命财产安全。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68B45F">
            <w:pPr>
              <w:jc w:val="both"/>
            </w:pPr>
            <w:r>
              <w:rPr>
                <w:rFonts w:ascii="宋体" w:hAnsi="宋体" w:eastAsia="宋体"/>
                <w:sz w:val="16"/>
              </w:rPr>
              <w:t>截至2024年12月31日，该项目完成聘请人员2人，公安专网条数1条，办公用品3次，通过该项目的实施，测震资料分析及宏观异常测报等多种手段进一步优化台网运维工作机制，健全完善工作日志，保障数据连续性，提升本行政区域震情速报能力，提高监测数据的使用率；采用信息化技术实现地震风险预测，提升监测水平，完成两名保安的工资支付，一条公安专网费用支付，保障了单位工作人员正常用餐，提高了服务水平，保障了单位正常运转</w:t>
            </w:r>
          </w:p>
        </w:tc>
      </w:tr>
      <w:tr w14:paraId="4A60EF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8B1C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31F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08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6B3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021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627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70DF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B025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909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4CB3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AC1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001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A64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A56C">
            <w:pPr>
              <w:jc w:val="center"/>
            </w:pPr>
            <w:r>
              <w:rPr>
                <w:rFonts w:ascii="宋体" w:hAnsi="宋体" w:eastAsia="宋体"/>
                <w:sz w:val="16"/>
              </w:rPr>
              <w:t>偏差原因分析及改进措施</w:t>
            </w:r>
          </w:p>
        </w:tc>
      </w:tr>
      <w:tr w14:paraId="6D4EA3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F31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35AA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FF4C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3DF00">
            <w:pPr>
              <w:jc w:val="center"/>
            </w:pPr>
            <w:r>
              <w:rPr>
                <w:rFonts w:ascii="宋体" w:hAnsi="宋体" w:eastAsia="宋体"/>
                <w:sz w:val="16"/>
              </w:rPr>
              <w:t>聘请人员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384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6F55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792C">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CE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468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1F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C48B">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B8F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D9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FFC8">
            <w:pPr>
              <w:jc w:val="center"/>
            </w:pPr>
          </w:p>
        </w:tc>
      </w:tr>
      <w:tr w14:paraId="59A87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56E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D17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380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F76FA">
            <w:pPr>
              <w:jc w:val="center"/>
            </w:pPr>
            <w:r>
              <w:rPr>
                <w:rFonts w:ascii="宋体" w:hAnsi="宋体" w:eastAsia="宋体"/>
                <w:sz w:val="16"/>
              </w:rPr>
              <w:t>公安专网条数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A4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93F2">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A9F4">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D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8F0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6E4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BA561">
            <w:pPr>
              <w:jc w:val="center"/>
            </w:pPr>
            <w:r>
              <w:rPr>
                <w:rFonts w:ascii="宋体" w:hAnsi="宋体" w:eastAsia="宋体"/>
                <w:sz w:val="16"/>
              </w:rPr>
              <w:t>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5D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63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653FB">
            <w:pPr>
              <w:jc w:val="center"/>
            </w:pPr>
          </w:p>
        </w:tc>
      </w:tr>
      <w:tr w14:paraId="57D4DF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DED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A50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A69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4B8E">
            <w:pPr>
              <w:jc w:val="center"/>
            </w:pPr>
            <w:r>
              <w:rPr>
                <w:rFonts w:ascii="宋体" w:hAnsi="宋体" w:eastAsia="宋体"/>
                <w:sz w:val="16"/>
              </w:rPr>
              <w:t>办公用品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55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53B7">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EC19">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C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E95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E7A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C5814">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BEA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A6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2F22">
            <w:pPr>
              <w:jc w:val="center"/>
            </w:pPr>
          </w:p>
        </w:tc>
      </w:tr>
      <w:tr w14:paraId="389C04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B0D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634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3F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FFC60">
            <w:pPr>
              <w:jc w:val="center"/>
            </w:pPr>
            <w:r>
              <w:rPr>
                <w:rFonts w:ascii="宋体" w:hAnsi="宋体" w:eastAsia="宋体"/>
                <w:sz w:val="16"/>
              </w:rPr>
              <w:t>保障人员就餐正常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2B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0BDC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50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424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53568">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0E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4D2E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F54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91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9A42E">
            <w:pPr>
              <w:jc w:val="center"/>
            </w:pPr>
            <w:r>
              <w:rPr>
                <w:rFonts w:hint="eastAsia" w:ascii="宋体" w:hAnsi="宋体"/>
                <w:sz w:val="16"/>
                <w:lang w:eastAsia="zh-CN"/>
              </w:rPr>
              <w:t>本单位</w:t>
            </w:r>
            <w:r>
              <w:rPr>
                <w:rFonts w:ascii="宋体" w:hAnsi="宋体" w:eastAsia="宋体"/>
                <w:sz w:val="16"/>
              </w:rPr>
              <w:t>根据实际发生安保费用进行结算，按照2024年安保费用标准，与年初设置目标值10.68万元存在偏差，厉行节约财政资金。</w:t>
            </w:r>
          </w:p>
        </w:tc>
      </w:tr>
      <w:tr w14:paraId="03629F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4D9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DD49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033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1598">
            <w:pPr>
              <w:jc w:val="center"/>
            </w:pPr>
            <w:r>
              <w:rPr>
                <w:rFonts w:ascii="宋体" w:hAnsi="宋体" w:eastAsia="宋体"/>
                <w:sz w:val="16"/>
              </w:rPr>
              <w:t>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1E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A9D0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0E6C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163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9E9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F270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CB049">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777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E0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215BD">
            <w:pPr>
              <w:jc w:val="center"/>
            </w:pPr>
          </w:p>
        </w:tc>
      </w:tr>
      <w:tr w14:paraId="338CD2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DFB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DAD4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E06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2DE9">
            <w:pPr>
              <w:jc w:val="center"/>
            </w:pPr>
            <w:r>
              <w:rPr>
                <w:rFonts w:ascii="宋体" w:hAnsi="宋体" w:eastAsia="宋体"/>
                <w:sz w:val="16"/>
              </w:rPr>
              <w:t>安保费用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C9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90CF">
            <w:pPr>
              <w:jc w:val="center"/>
            </w:pPr>
            <w:r>
              <w:rPr>
                <w:rFonts w:ascii="宋体" w:hAnsi="宋体" w:eastAsia="宋体"/>
                <w:sz w:val="16"/>
              </w:rPr>
              <w:t>&lt;=10.68万元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6FC6">
            <w:pPr>
              <w:jc w:val="center"/>
            </w:pPr>
            <w:r>
              <w:rPr>
                <w:rFonts w:ascii="宋体" w:hAnsi="宋体" w:eastAsia="宋体"/>
                <w:sz w:val="16"/>
              </w:rPr>
              <w:t>=10.01万元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1585">
            <w:pPr>
              <w:jc w:val="center"/>
            </w:pPr>
            <w:r>
              <w:rPr>
                <w:rFonts w:ascii="宋体" w:hAnsi="宋体" w:eastAsia="宋体"/>
                <w:sz w:val="16"/>
              </w:rPr>
              <w:t>93.72%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1ACEE">
            <w:pPr>
              <w:jc w:val="center"/>
            </w:pPr>
            <w:r>
              <w:rPr>
                <w:rFonts w:ascii="宋体" w:hAnsi="宋体" w:eastAsia="宋体"/>
                <w:sz w:val="16"/>
              </w:rPr>
              <w:t>8.43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77A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6B0B5">
            <w:pPr>
              <w:jc w:val="center"/>
            </w:pPr>
            <w:r>
              <w:rPr>
                <w:rFonts w:ascii="宋体" w:hAnsi="宋体" w:eastAsia="宋体"/>
                <w:sz w:val="16"/>
              </w:rPr>
              <w:t>10.68万元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50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007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610C6">
            <w:pPr>
              <w:jc w:val="center"/>
            </w:pPr>
            <w:r>
              <w:rPr>
                <w:rFonts w:hint="eastAsia" w:ascii="宋体" w:hAnsi="宋体"/>
                <w:sz w:val="16"/>
                <w:lang w:eastAsia="zh-CN"/>
              </w:rPr>
              <w:t>本单位</w:t>
            </w:r>
            <w:r>
              <w:rPr>
                <w:rFonts w:ascii="宋体" w:hAnsi="宋体" w:eastAsia="宋体"/>
                <w:sz w:val="16"/>
              </w:rPr>
              <w:t>根据满意度问卷情况，干部职工满意度为100%，超额完成设置的目标值。</w:t>
            </w:r>
          </w:p>
        </w:tc>
      </w:tr>
      <w:tr w14:paraId="6706C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2D3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743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C5B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7136">
            <w:pPr>
              <w:jc w:val="center"/>
            </w:pPr>
            <w:r>
              <w:rPr>
                <w:rFonts w:ascii="宋体" w:hAnsi="宋体" w:eastAsia="宋体"/>
                <w:sz w:val="16"/>
              </w:rPr>
              <w:t>其他运转经费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05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9565">
            <w:pPr>
              <w:jc w:val="center"/>
            </w:pPr>
            <w:r>
              <w:rPr>
                <w:rFonts w:ascii="宋体" w:hAnsi="宋体" w:eastAsia="宋体"/>
                <w:sz w:val="16"/>
              </w:rPr>
              <w:t>&lt;=9.32万元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B2EF">
            <w:pPr>
              <w:jc w:val="center"/>
            </w:pPr>
            <w:r>
              <w:rPr>
                <w:rFonts w:ascii="宋体" w:hAnsi="宋体" w:eastAsia="宋体"/>
                <w:sz w:val="16"/>
              </w:rPr>
              <w:t>=9.32万元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115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21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D8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A1DB">
            <w:pPr>
              <w:jc w:val="center"/>
            </w:pPr>
            <w:r>
              <w:rPr>
                <w:rFonts w:ascii="宋体" w:hAnsi="宋体" w:eastAsia="宋体"/>
                <w:sz w:val="16"/>
              </w:rPr>
              <w:t>9.32万元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A0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CF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CA8F3">
            <w:pPr>
              <w:jc w:val="center"/>
            </w:pPr>
          </w:p>
        </w:tc>
      </w:tr>
      <w:tr w14:paraId="487C72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5AC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E6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DE7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69708">
            <w:pPr>
              <w:jc w:val="center"/>
            </w:pPr>
            <w:r>
              <w:rPr>
                <w:rFonts w:ascii="宋体" w:hAnsi="宋体" w:eastAsia="宋体"/>
                <w:sz w:val="16"/>
              </w:rPr>
              <w:t>提高服务水平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54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AAB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4BD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973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BA1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74C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2378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4D7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7AA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1D7C">
            <w:pPr>
              <w:jc w:val="center"/>
            </w:pPr>
          </w:p>
        </w:tc>
      </w:tr>
      <w:tr w14:paraId="45DFAF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54E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46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9CF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85543">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0D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095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1F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5D3A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77C2">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29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87B9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0C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1A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DDD2F">
            <w:pPr>
              <w:jc w:val="center"/>
            </w:pPr>
            <w:r>
              <w:rPr>
                <w:rFonts w:hint="eastAsia" w:ascii="宋体" w:hAnsi="宋体"/>
                <w:sz w:val="16"/>
                <w:lang w:eastAsia="zh-CN"/>
              </w:rPr>
              <w:t>本单位</w:t>
            </w:r>
            <w:r>
              <w:rPr>
                <w:rFonts w:ascii="宋体" w:hAnsi="宋体" w:eastAsia="宋体"/>
                <w:sz w:val="16"/>
              </w:rPr>
              <w:t>本年度保障人员就餐率达到100%，与年初设置目标值90%存在偏差，按照实际情况完成率达100%。</w:t>
            </w:r>
          </w:p>
        </w:tc>
      </w:tr>
      <w:tr w14:paraId="64B364D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93A9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DE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FE6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7360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E5CF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8029A">
            <w:pPr>
              <w:jc w:val="center"/>
            </w:pPr>
            <w:r>
              <w:rPr>
                <w:rFonts w:ascii="宋体" w:hAnsi="宋体" w:eastAsia="宋体"/>
                <w:sz w:val="16"/>
              </w:rPr>
              <w:t>96.78分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3F9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8A5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0A15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7525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44F5A2"/>
        </w:tc>
      </w:tr>
    </w:tbl>
    <w:p w14:paraId="09371390">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4"/>
        <w:gridCol w:w="627"/>
        <w:gridCol w:w="776"/>
        <w:gridCol w:w="632"/>
        <w:gridCol w:w="696"/>
        <w:gridCol w:w="632"/>
        <w:gridCol w:w="624"/>
        <w:gridCol w:w="629"/>
        <w:gridCol w:w="624"/>
        <w:gridCol w:w="624"/>
        <w:gridCol w:w="696"/>
      </w:tblGrid>
      <w:tr w14:paraId="3F41CDEF">
        <w:tblPrEx>
          <w:tblCellMar>
            <w:top w:w="0" w:type="dxa"/>
            <w:left w:w="108" w:type="dxa"/>
            <w:bottom w:w="0" w:type="dxa"/>
            <w:right w:w="108" w:type="dxa"/>
          </w:tblCellMar>
        </w:tblPrEx>
        <w:tc>
          <w:tcPr>
            <w:tcW w:w="8848" w:type="dxa"/>
            <w:gridSpan w:val="14"/>
            <w:vAlign w:val="center"/>
          </w:tcPr>
          <w:p w14:paraId="307A9DEB">
            <w:pPr>
              <w:jc w:val="center"/>
            </w:pPr>
            <w:r>
              <w:rPr>
                <w:rFonts w:ascii="宋体" w:hAnsi="宋体" w:eastAsia="宋体"/>
                <w:sz w:val="24"/>
              </w:rPr>
              <w:t>项目支出绩效自评表</w:t>
            </w:r>
          </w:p>
        </w:tc>
      </w:tr>
      <w:tr w14:paraId="78EC00A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416219">
            <w:pPr>
              <w:jc w:val="center"/>
            </w:pPr>
            <w:r>
              <w:rPr>
                <w:rFonts w:ascii="宋体" w:hAnsi="宋体" w:eastAsia="宋体"/>
                <w:sz w:val="24"/>
              </w:rPr>
              <w:t>(2024年度)</w:t>
            </w:r>
          </w:p>
        </w:tc>
      </w:tr>
      <w:tr w14:paraId="3877E5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9B7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432B25">
            <w:pPr>
              <w:jc w:val="center"/>
            </w:pPr>
            <w:r>
              <w:rPr>
                <w:rFonts w:ascii="宋体" w:hAnsi="宋体" w:eastAsia="宋体"/>
                <w:sz w:val="16"/>
              </w:rPr>
              <w:t>正常运转经费</w:t>
            </w:r>
          </w:p>
        </w:tc>
      </w:tr>
      <w:tr w14:paraId="466855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8909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A25CDC">
            <w:pPr>
              <w:jc w:val="center"/>
            </w:pPr>
            <w:r>
              <w:rPr>
                <w:rFonts w:ascii="宋体" w:hAnsi="宋体" w:eastAsia="宋体"/>
                <w:sz w:val="16"/>
              </w:rPr>
              <w:t>昌吉回族自治州应急管理局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C7D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3DF182">
            <w:pPr>
              <w:jc w:val="center"/>
            </w:pPr>
            <w:r>
              <w:rPr>
                <w:rFonts w:ascii="宋体" w:hAnsi="宋体" w:eastAsia="宋体"/>
                <w:sz w:val="16"/>
              </w:rPr>
              <w:t>昌吉回族自治州地震局</w:t>
            </w:r>
          </w:p>
        </w:tc>
      </w:tr>
      <w:tr w14:paraId="262489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83BB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BC3F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3AC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1F7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AEC4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45A5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37A6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F1F8A">
            <w:pPr>
              <w:jc w:val="center"/>
            </w:pPr>
            <w:r>
              <w:rPr>
                <w:rFonts w:ascii="宋体" w:hAnsi="宋体" w:eastAsia="宋体"/>
                <w:sz w:val="16"/>
              </w:rPr>
              <w:t>得分</w:t>
            </w:r>
          </w:p>
        </w:tc>
      </w:tr>
      <w:tr w14:paraId="59D148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6CC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BB1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007D0">
            <w:pPr>
              <w:jc w:val="center"/>
            </w:pPr>
            <w:r>
              <w:rPr>
                <w:rFonts w:ascii="宋体" w:hAnsi="宋体" w:eastAsia="宋体"/>
                <w:sz w:val="16"/>
              </w:rPr>
              <w:t>75.00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7EAB1">
            <w:pPr>
              <w:jc w:val="center"/>
            </w:pPr>
            <w:r>
              <w:rPr>
                <w:rFonts w:ascii="宋体" w:hAnsi="宋体" w:eastAsia="宋体"/>
                <w:sz w:val="16"/>
              </w:rPr>
              <w:t>11.15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A7AA4">
            <w:pPr>
              <w:jc w:val="center"/>
            </w:pPr>
            <w:r>
              <w:rPr>
                <w:rFonts w:ascii="宋体" w:hAnsi="宋体" w:eastAsia="宋体"/>
                <w:sz w:val="16"/>
              </w:rPr>
              <w:t>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75C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EBD20">
            <w:pPr>
              <w:jc w:val="center"/>
            </w:pPr>
            <w:r>
              <w:rPr>
                <w:rFonts w:ascii="宋体" w:hAnsi="宋体" w:eastAsia="宋体"/>
                <w:sz w:val="16"/>
              </w:rPr>
              <w:t>81.79%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D9364">
            <w:pPr>
              <w:jc w:val="center"/>
            </w:pPr>
            <w:r>
              <w:rPr>
                <w:rFonts w:ascii="宋体" w:hAnsi="宋体" w:eastAsia="宋体"/>
                <w:sz w:val="16"/>
              </w:rPr>
              <w:t>5.45</w:t>
            </w:r>
          </w:p>
        </w:tc>
      </w:tr>
      <w:tr w14:paraId="49F391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B48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523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A96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070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EFB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0D0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90B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81B3">
            <w:pPr>
              <w:jc w:val="center"/>
            </w:pPr>
            <w:r>
              <w:rPr>
                <w:rFonts w:ascii="宋体" w:hAnsi="宋体" w:eastAsia="宋体"/>
                <w:sz w:val="16"/>
              </w:rPr>
              <w:t>—</w:t>
            </w:r>
          </w:p>
        </w:tc>
      </w:tr>
      <w:tr w14:paraId="2E800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A38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3D25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FE16A">
            <w:pPr>
              <w:jc w:val="center"/>
            </w:pPr>
            <w:r>
              <w:rPr>
                <w:rFonts w:ascii="宋体" w:hAnsi="宋体" w:eastAsia="宋体"/>
                <w:sz w:val="16"/>
              </w:rPr>
              <w:t>75.00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953ED">
            <w:pPr>
              <w:jc w:val="center"/>
            </w:pPr>
            <w:r>
              <w:rPr>
                <w:rFonts w:ascii="宋体" w:hAnsi="宋体" w:eastAsia="宋体"/>
                <w:sz w:val="16"/>
              </w:rPr>
              <w:t>11.15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A0AD9">
            <w:pPr>
              <w:jc w:val="center"/>
            </w:pPr>
            <w:r>
              <w:rPr>
                <w:rFonts w:ascii="宋体" w:hAnsi="宋体" w:eastAsia="宋体"/>
                <w:sz w:val="16"/>
              </w:rPr>
              <w:t>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3E3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A23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29105">
            <w:pPr>
              <w:jc w:val="center"/>
            </w:pPr>
            <w:r>
              <w:rPr>
                <w:rFonts w:ascii="宋体" w:hAnsi="宋体" w:eastAsia="宋体"/>
                <w:sz w:val="16"/>
              </w:rPr>
              <w:t>—</w:t>
            </w:r>
          </w:p>
        </w:tc>
      </w:tr>
      <w:tr w14:paraId="01FD46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98D5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1F7D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3040AB">
            <w:pPr>
              <w:jc w:val="center"/>
            </w:pPr>
            <w:r>
              <w:rPr>
                <w:rFonts w:ascii="宋体" w:hAnsi="宋体" w:eastAsia="宋体"/>
                <w:sz w:val="16"/>
              </w:rPr>
              <w:t>实际完成情况</w:t>
            </w:r>
          </w:p>
        </w:tc>
      </w:tr>
      <w:tr w14:paraId="42121F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19FD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706577">
            <w:pPr>
              <w:jc w:val="both"/>
            </w:pPr>
            <w:r>
              <w:rPr>
                <w:rFonts w:ascii="宋体" w:hAnsi="宋体" w:eastAsia="宋体"/>
                <w:sz w:val="16"/>
              </w:rPr>
              <w:t>按照工作计划，本单位在职、退休人员社保、公积金、差旅费、人员经费及其他临时性保障及地震台网运维、地震仪器购置等，保障单位工作能正常进行。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0C5204">
            <w:pPr>
              <w:jc w:val="both"/>
            </w:pPr>
            <w:r>
              <w:rPr>
                <w:rFonts w:ascii="宋体" w:hAnsi="宋体" w:eastAsia="宋体"/>
                <w:sz w:val="16"/>
              </w:rPr>
              <w:t>截至2024年12月31日，该项目实际完成办公耗材购置1次，保障办公人员1人，保障单位人员100%，通过该项目的实施，保障了单位内部正常运转及办公经费的正常支出，提高了服务水平。</w:t>
            </w:r>
          </w:p>
        </w:tc>
      </w:tr>
      <w:tr w14:paraId="6DE436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5F63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084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B69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410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E583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F3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A80C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28B1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AA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2EE0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0D8E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D73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387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3CBD9">
            <w:pPr>
              <w:jc w:val="center"/>
            </w:pPr>
            <w:r>
              <w:rPr>
                <w:rFonts w:ascii="宋体" w:hAnsi="宋体" w:eastAsia="宋体"/>
                <w:sz w:val="16"/>
              </w:rPr>
              <w:t>偏差原因分析及改进措施</w:t>
            </w:r>
          </w:p>
        </w:tc>
      </w:tr>
      <w:tr w14:paraId="6FCF46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529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BBC4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361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0A65">
            <w:pPr>
              <w:jc w:val="center"/>
            </w:pPr>
            <w:r>
              <w:rPr>
                <w:rFonts w:ascii="宋体" w:hAnsi="宋体" w:eastAsia="宋体"/>
                <w:sz w:val="16"/>
              </w:rPr>
              <w:t>办公耗材购置次数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EAD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F04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229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5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0582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6CC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F701E">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4E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1AB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869F">
            <w:pPr>
              <w:jc w:val="center"/>
            </w:pPr>
          </w:p>
        </w:tc>
      </w:tr>
      <w:tr w14:paraId="4E4018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E56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8FB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5CB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9AE07">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E331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E1E9B">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53C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13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D8D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86A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C2959">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A8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81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5EF44">
            <w:pPr>
              <w:jc w:val="center"/>
            </w:pPr>
          </w:p>
        </w:tc>
      </w:tr>
      <w:tr w14:paraId="60823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FE3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7F6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61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BD6D">
            <w:pPr>
              <w:jc w:val="center"/>
            </w:pPr>
            <w:r>
              <w:rPr>
                <w:rFonts w:ascii="宋体" w:hAnsi="宋体" w:eastAsia="宋体"/>
                <w:sz w:val="16"/>
              </w:rPr>
              <w:t>保障单位人员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FD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A90C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338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183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13DD">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8D3C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874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BBF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D4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513E">
            <w:pPr>
              <w:jc w:val="center"/>
            </w:pPr>
            <w:r>
              <w:rPr>
                <w:rFonts w:hint="eastAsia" w:ascii="宋体" w:hAnsi="宋体"/>
                <w:sz w:val="16"/>
                <w:lang w:eastAsia="zh-CN"/>
              </w:rPr>
              <w:t>本单位</w:t>
            </w:r>
            <w:r>
              <w:rPr>
                <w:rFonts w:ascii="宋体" w:hAnsi="宋体" w:eastAsia="宋体"/>
                <w:sz w:val="16"/>
              </w:rPr>
              <w:t>按照正常运转经费保障单位人员达100%，与年初设置目标值90%存在偏差，</w:t>
            </w:r>
            <w:r>
              <w:rPr>
                <w:rFonts w:hint="eastAsia" w:ascii="宋体" w:hAnsi="宋体"/>
                <w:sz w:val="16"/>
                <w:lang w:eastAsia="zh-CN"/>
              </w:rPr>
              <w:t>本单位</w:t>
            </w:r>
            <w:r>
              <w:rPr>
                <w:rFonts w:ascii="宋体" w:hAnsi="宋体" w:eastAsia="宋体"/>
                <w:sz w:val="16"/>
              </w:rPr>
              <w:t>前期设置目标值不合理。</w:t>
            </w:r>
          </w:p>
        </w:tc>
      </w:tr>
      <w:tr w14:paraId="23F445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EF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A9F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64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833F9">
            <w:pPr>
              <w:jc w:val="center"/>
            </w:pPr>
            <w:r>
              <w:rPr>
                <w:rFonts w:ascii="宋体" w:hAnsi="宋体" w:eastAsia="宋体"/>
                <w:sz w:val="16"/>
              </w:rPr>
              <w:t>公用经费支出及时率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D9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F644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E92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9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869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C6F5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C426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E2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268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1CB0">
            <w:pPr>
              <w:jc w:val="center"/>
            </w:pPr>
          </w:p>
        </w:tc>
      </w:tr>
      <w:tr w14:paraId="063BF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86E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D5A5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F00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40B4">
            <w:pPr>
              <w:jc w:val="center"/>
            </w:pPr>
            <w:r>
              <w:rPr>
                <w:rFonts w:ascii="宋体" w:hAnsi="宋体" w:eastAsia="宋体"/>
                <w:sz w:val="16"/>
              </w:rPr>
              <w:t>办公运转经费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E85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2B82">
            <w:pPr>
              <w:jc w:val="center"/>
            </w:pPr>
            <w:r>
              <w:rPr>
                <w:rFonts w:ascii="宋体" w:hAnsi="宋体" w:eastAsia="宋体"/>
                <w:sz w:val="16"/>
              </w:rPr>
              <w:t>&lt;=11.15万元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9719">
            <w:pPr>
              <w:jc w:val="center"/>
            </w:pPr>
            <w:r>
              <w:rPr>
                <w:rFonts w:ascii="宋体" w:hAnsi="宋体" w:eastAsia="宋体"/>
                <w:sz w:val="16"/>
              </w:rPr>
              <w:t>=9.12万元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5A9AB">
            <w:pPr>
              <w:jc w:val="center"/>
            </w:pPr>
            <w:r>
              <w:rPr>
                <w:rFonts w:ascii="宋体" w:hAnsi="宋体" w:eastAsia="宋体"/>
                <w:sz w:val="16"/>
              </w:rPr>
              <w:t>81.79%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AE09">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502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D735">
            <w:pPr>
              <w:jc w:val="center"/>
            </w:pPr>
            <w:r>
              <w:rPr>
                <w:rFonts w:ascii="宋体" w:hAnsi="宋体" w:eastAsia="宋体"/>
                <w:sz w:val="16"/>
              </w:rPr>
              <w:t>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99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EA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7851">
            <w:pPr>
              <w:jc w:val="center"/>
            </w:pPr>
            <w:r>
              <w:rPr>
                <w:rFonts w:ascii="宋体" w:hAnsi="宋体" w:eastAsia="宋体"/>
                <w:sz w:val="16"/>
              </w:rPr>
              <w:t>办公运转资金为单位自有资金，是根据</w:t>
            </w:r>
            <w:r>
              <w:rPr>
                <w:rFonts w:hint="eastAsia" w:ascii="宋体" w:hAnsi="宋体"/>
                <w:sz w:val="16"/>
                <w:lang w:eastAsia="zh-CN"/>
              </w:rPr>
              <w:t>本单位</w:t>
            </w:r>
            <w:r>
              <w:rPr>
                <w:rFonts w:ascii="宋体" w:hAnsi="宋体" w:eastAsia="宋体"/>
                <w:sz w:val="16"/>
              </w:rPr>
              <w:t>实际情况支付，未达到预期设置目标</w:t>
            </w:r>
          </w:p>
        </w:tc>
      </w:tr>
      <w:tr w14:paraId="3DB342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F28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A74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77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9006">
            <w:pPr>
              <w:jc w:val="center"/>
            </w:pPr>
            <w:r>
              <w:rPr>
                <w:rFonts w:ascii="宋体" w:hAnsi="宋体" w:eastAsia="宋体"/>
                <w:sz w:val="16"/>
              </w:rPr>
              <w:t>提高服务水平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7E9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DEDA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2E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5D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92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6FF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CFE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3B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569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264E">
            <w:pPr>
              <w:jc w:val="center"/>
            </w:pPr>
          </w:p>
        </w:tc>
      </w:tr>
      <w:tr w14:paraId="357408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FED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149B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3B7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2F2D4">
            <w:pPr>
              <w:jc w:val="center"/>
            </w:pPr>
            <w:r>
              <w:rPr>
                <w:rFonts w:ascii="宋体" w:hAnsi="宋体" w:eastAsia="宋体"/>
                <w:sz w:val="16"/>
              </w:rPr>
              <w:t>单位职工满意度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A9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6F2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DD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E7C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28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05C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A8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72C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05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B5200">
            <w:pPr>
              <w:jc w:val="center"/>
            </w:pPr>
            <w:r>
              <w:rPr>
                <w:rFonts w:hint="eastAsia" w:ascii="宋体" w:hAnsi="宋体"/>
                <w:sz w:val="16"/>
                <w:lang w:eastAsia="zh-CN"/>
              </w:rPr>
              <w:t>本单位</w:t>
            </w:r>
            <w:r>
              <w:rPr>
                <w:rFonts w:ascii="宋体" w:hAnsi="宋体" w:eastAsia="宋体"/>
                <w:sz w:val="16"/>
              </w:rPr>
              <w:t>根据满意度问卷情况，单位职工满意度为100%，超额完成设置的目标值。</w:t>
            </w:r>
          </w:p>
        </w:tc>
      </w:tr>
      <w:tr w14:paraId="7B6764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65DE2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E2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13F2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41C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7E5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FFF5">
            <w:pPr>
              <w:jc w:val="center"/>
            </w:pPr>
            <w:r>
              <w:rPr>
                <w:rFonts w:ascii="宋体" w:hAnsi="宋体" w:eastAsia="宋体"/>
                <w:sz w:val="16"/>
              </w:rPr>
              <w:t>85.25分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FEA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8C9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2DAB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F45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59C6F3"/>
        </w:tc>
      </w:tr>
    </w:tbl>
    <w:p w14:paraId="5B75E4A4">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3"/>
        <w:gridCol w:w="623"/>
        <w:gridCol w:w="626"/>
        <w:gridCol w:w="631"/>
        <w:gridCol w:w="776"/>
        <w:gridCol w:w="776"/>
        <w:gridCol w:w="631"/>
        <w:gridCol w:w="623"/>
        <w:gridCol w:w="626"/>
        <w:gridCol w:w="623"/>
        <w:gridCol w:w="623"/>
        <w:gridCol w:w="629"/>
      </w:tblGrid>
      <w:tr w14:paraId="25603C16">
        <w:tblPrEx>
          <w:tblCellMar>
            <w:top w:w="0" w:type="dxa"/>
            <w:left w:w="108" w:type="dxa"/>
            <w:bottom w:w="0" w:type="dxa"/>
            <w:right w:w="108" w:type="dxa"/>
          </w:tblCellMar>
        </w:tblPrEx>
        <w:tc>
          <w:tcPr>
            <w:tcW w:w="8848" w:type="dxa"/>
            <w:gridSpan w:val="14"/>
            <w:vAlign w:val="center"/>
          </w:tcPr>
          <w:p w14:paraId="30B64184">
            <w:pPr>
              <w:jc w:val="center"/>
            </w:pPr>
            <w:r>
              <w:rPr>
                <w:rFonts w:ascii="宋体" w:hAnsi="宋体" w:eastAsia="宋体"/>
                <w:sz w:val="24"/>
              </w:rPr>
              <w:t>项目支出绩效自评表</w:t>
            </w:r>
          </w:p>
        </w:tc>
      </w:tr>
      <w:tr w14:paraId="30138B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F3209E">
            <w:pPr>
              <w:jc w:val="center"/>
            </w:pPr>
            <w:r>
              <w:rPr>
                <w:rFonts w:ascii="宋体" w:hAnsi="宋体" w:eastAsia="宋体"/>
                <w:sz w:val="24"/>
              </w:rPr>
              <w:t>(2024年度)</w:t>
            </w:r>
          </w:p>
        </w:tc>
      </w:tr>
      <w:tr w14:paraId="693AFA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59F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95B91F">
            <w:pPr>
              <w:jc w:val="center"/>
            </w:pPr>
            <w:r>
              <w:rPr>
                <w:rFonts w:ascii="宋体" w:hAnsi="宋体" w:eastAsia="宋体"/>
                <w:sz w:val="16"/>
              </w:rPr>
              <w:t>2024年自治区防震减灾“三网一员”工作经费</w:t>
            </w:r>
          </w:p>
        </w:tc>
      </w:tr>
      <w:tr w14:paraId="6D4D65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607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79B7C0">
            <w:pPr>
              <w:jc w:val="center"/>
            </w:pPr>
            <w:r>
              <w:rPr>
                <w:rFonts w:ascii="宋体" w:hAnsi="宋体" w:eastAsia="宋体"/>
                <w:sz w:val="16"/>
              </w:rPr>
              <w:t>昌吉回族自治州地震局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16F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ADF2EF">
            <w:pPr>
              <w:jc w:val="center"/>
            </w:pPr>
            <w:r>
              <w:rPr>
                <w:rFonts w:ascii="宋体" w:hAnsi="宋体" w:eastAsia="宋体"/>
                <w:sz w:val="16"/>
              </w:rPr>
              <w:t>昌吉回族自治州地震局</w:t>
            </w:r>
          </w:p>
        </w:tc>
      </w:tr>
      <w:tr w14:paraId="031C43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0AA5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2B34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5F08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BC8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0647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1C21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189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938D3">
            <w:pPr>
              <w:jc w:val="center"/>
            </w:pPr>
            <w:r>
              <w:rPr>
                <w:rFonts w:ascii="宋体" w:hAnsi="宋体" w:eastAsia="宋体"/>
                <w:sz w:val="16"/>
              </w:rPr>
              <w:t>得分</w:t>
            </w:r>
          </w:p>
        </w:tc>
      </w:tr>
      <w:tr w14:paraId="2CCC52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E6B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CFD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00F0E">
            <w:pPr>
              <w:jc w:val="center"/>
            </w:pPr>
            <w:r>
              <w:rPr>
                <w:rFonts w:ascii="宋体" w:hAnsi="宋体" w:eastAsia="宋体"/>
                <w:sz w:val="16"/>
              </w:rPr>
              <w:t>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7BC8C">
            <w:pPr>
              <w:jc w:val="center"/>
            </w:pPr>
            <w:r>
              <w:rPr>
                <w:rFonts w:ascii="宋体" w:hAnsi="宋体" w:eastAsia="宋体"/>
                <w:sz w:val="16"/>
              </w:rPr>
              <w:t>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43B46">
            <w:pPr>
              <w:jc w:val="center"/>
            </w:pPr>
            <w:r>
              <w:rPr>
                <w:rFonts w:ascii="宋体" w:hAnsi="宋体" w:eastAsia="宋体"/>
                <w:sz w:val="16"/>
              </w:rPr>
              <w:t>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A522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9233D">
            <w:pPr>
              <w:jc w:val="center"/>
            </w:pPr>
            <w:r>
              <w:rPr>
                <w:rFonts w:ascii="宋体" w:hAnsi="宋体" w:eastAsia="宋体"/>
                <w:sz w:val="16"/>
              </w:rPr>
              <w:t>53.03%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E834">
            <w:pPr>
              <w:jc w:val="center"/>
            </w:pPr>
            <w:r>
              <w:rPr>
                <w:rFonts w:ascii="宋体" w:hAnsi="宋体" w:eastAsia="宋体"/>
                <w:sz w:val="16"/>
              </w:rPr>
              <w:t>0.00</w:t>
            </w:r>
          </w:p>
        </w:tc>
      </w:tr>
      <w:tr w14:paraId="17261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FB1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FD51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DC1BD">
            <w:pPr>
              <w:jc w:val="center"/>
            </w:pPr>
            <w:r>
              <w:rPr>
                <w:rFonts w:ascii="宋体" w:hAnsi="宋体" w:eastAsia="宋体"/>
                <w:sz w:val="16"/>
              </w:rPr>
              <w:t>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7FE82">
            <w:pPr>
              <w:jc w:val="center"/>
            </w:pPr>
            <w:r>
              <w:rPr>
                <w:rFonts w:ascii="宋体" w:hAnsi="宋体" w:eastAsia="宋体"/>
                <w:sz w:val="16"/>
              </w:rPr>
              <w:t>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DBB24">
            <w:pPr>
              <w:jc w:val="center"/>
            </w:pPr>
            <w:r>
              <w:rPr>
                <w:rFonts w:ascii="宋体" w:hAnsi="宋体" w:eastAsia="宋体"/>
                <w:sz w:val="16"/>
              </w:rPr>
              <w:t>4.72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0D8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A2C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8A99">
            <w:pPr>
              <w:jc w:val="center"/>
            </w:pPr>
            <w:r>
              <w:rPr>
                <w:rFonts w:ascii="宋体" w:hAnsi="宋体" w:eastAsia="宋体"/>
                <w:sz w:val="16"/>
              </w:rPr>
              <w:t>—</w:t>
            </w:r>
          </w:p>
        </w:tc>
      </w:tr>
      <w:tr w14:paraId="2EEF9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5E4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E51B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DD0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2D4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06B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CA2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55A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9F02">
            <w:pPr>
              <w:jc w:val="center"/>
            </w:pPr>
            <w:r>
              <w:rPr>
                <w:rFonts w:ascii="宋体" w:hAnsi="宋体" w:eastAsia="宋体"/>
                <w:sz w:val="16"/>
              </w:rPr>
              <w:t>—</w:t>
            </w:r>
          </w:p>
        </w:tc>
      </w:tr>
      <w:tr w14:paraId="5D821F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437B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52A2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CF6589">
            <w:pPr>
              <w:jc w:val="center"/>
            </w:pPr>
            <w:r>
              <w:rPr>
                <w:rFonts w:ascii="宋体" w:hAnsi="宋体" w:eastAsia="宋体"/>
                <w:sz w:val="16"/>
              </w:rPr>
              <w:t>实际完成情况</w:t>
            </w:r>
          </w:p>
        </w:tc>
      </w:tr>
      <w:tr w14:paraId="4CC2D0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4960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13D2B8">
            <w:pPr>
              <w:jc w:val="both"/>
            </w:pPr>
            <w:r>
              <w:rPr>
                <w:rFonts w:ascii="宋体" w:hAnsi="宋体" w:eastAsia="宋体"/>
                <w:sz w:val="16"/>
              </w:rPr>
              <w:t>全州40个“三网一员”宏观点不断优化布局，加强测报网络动态管理，每季度对全州地震宏观观测点进行一次全覆盖电话抽查，开展宏观异常核实工作，做到异常核实不过夜。二是加强宏观观测员能力提升，督促各县市以集中培训、上门送学等方式对辖区内宏观观测员观测水平、震情灾情上报效率开展培训，对不能胜任工作、责任心不强的人员及时进行调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D6CA67">
            <w:pPr>
              <w:jc w:val="both"/>
            </w:pPr>
            <w:r>
              <w:rPr>
                <w:rFonts w:hint="eastAsia" w:ascii="宋体" w:hAnsi="宋体"/>
                <w:sz w:val="16"/>
                <w:lang w:eastAsia="zh-CN"/>
              </w:rPr>
              <w:t>截至</w:t>
            </w:r>
            <w:r>
              <w:rPr>
                <w:rFonts w:ascii="宋体" w:hAnsi="宋体" w:eastAsia="宋体"/>
                <w:sz w:val="16"/>
              </w:rPr>
              <w:t>2025年8月31日，支出4.72万元，执行率为53.03%，完成全州40个“三网一员”宏观点不断优化布局，加强测报网络动态管理，每季度对全州地震宏观观测点进行一次全覆盖电话抽查，开展宏观异常核实工作，做到异常核实不过夜。二是加强宏观观测员能力提升，督促各县市以集中培训、上门送学等方式对辖区内宏观观测员观测水平、震情灾情上报效率开展培训，对不能胜任工作、责任心不强的人员及时进行调整。</w:t>
            </w:r>
          </w:p>
        </w:tc>
      </w:tr>
      <w:tr w14:paraId="664716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21BC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91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13E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FE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FF80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A950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90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CE0D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2D1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C42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0B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957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518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E216D">
            <w:pPr>
              <w:jc w:val="center"/>
            </w:pPr>
            <w:r>
              <w:rPr>
                <w:rFonts w:ascii="宋体" w:hAnsi="宋体" w:eastAsia="宋体"/>
                <w:sz w:val="16"/>
              </w:rPr>
              <w:t>偏差原因分析及改进措施</w:t>
            </w:r>
          </w:p>
        </w:tc>
      </w:tr>
      <w:tr w14:paraId="69B649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320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3FC6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D17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9D62">
            <w:pPr>
              <w:jc w:val="center"/>
            </w:pPr>
            <w:r>
              <w:rPr>
                <w:rFonts w:ascii="宋体" w:hAnsi="宋体" w:eastAsia="宋体"/>
                <w:sz w:val="16"/>
              </w:rPr>
              <w:t>地震灾情速报员人数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59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CE2E">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97CE8">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56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B4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AA0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5B9C">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33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15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ABCA">
            <w:pPr>
              <w:jc w:val="center"/>
            </w:pPr>
          </w:p>
        </w:tc>
      </w:tr>
      <w:tr w14:paraId="6215D0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983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893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50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1701">
            <w:pPr>
              <w:jc w:val="center"/>
            </w:pPr>
            <w:r>
              <w:rPr>
                <w:rFonts w:ascii="宋体" w:hAnsi="宋体" w:eastAsia="宋体"/>
                <w:sz w:val="16"/>
              </w:rPr>
              <w:t>经费使用准确率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7BB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70E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5CE3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33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C8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836A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990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4BC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B1E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4982">
            <w:pPr>
              <w:jc w:val="center"/>
            </w:pPr>
          </w:p>
        </w:tc>
      </w:tr>
      <w:tr w14:paraId="6D0B7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B87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862B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BF6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82ED3">
            <w:pPr>
              <w:jc w:val="center"/>
            </w:pPr>
            <w:r>
              <w:rPr>
                <w:rFonts w:ascii="宋体" w:hAnsi="宋体" w:eastAsia="宋体"/>
                <w:sz w:val="16"/>
              </w:rPr>
              <w:t>资金使用及时率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44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5E8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8A6A">
            <w:pPr>
              <w:jc w:val="center"/>
            </w:pPr>
            <w:r>
              <w:rPr>
                <w:rFonts w:ascii="宋体" w:hAnsi="宋体" w:eastAsia="宋体"/>
                <w:sz w:val="16"/>
              </w:rPr>
              <w:t>=53.03%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651F5">
            <w:pPr>
              <w:jc w:val="center"/>
            </w:pPr>
            <w:r>
              <w:rPr>
                <w:rFonts w:ascii="宋体" w:hAnsi="宋体" w:eastAsia="宋体"/>
                <w:sz w:val="16"/>
              </w:rPr>
              <w:t>55.82%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19F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876E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A6F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52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F2F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C614">
            <w:pPr>
              <w:jc w:val="center"/>
            </w:pPr>
            <w:r>
              <w:rPr>
                <w:rFonts w:ascii="宋体" w:hAnsi="宋体" w:eastAsia="宋体"/>
                <w:sz w:val="16"/>
              </w:rPr>
              <w:t>偏差原因：由于申报流程改变，不能进行支付，未按各节点完成资金支付。改进措施：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01DC69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90D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E0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79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27641">
            <w:pPr>
              <w:jc w:val="center"/>
            </w:pPr>
            <w:r>
              <w:rPr>
                <w:rFonts w:ascii="宋体" w:hAnsi="宋体" w:eastAsia="宋体"/>
                <w:sz w:val="16"/>
              </w:rPr>
              <w:t>地震应急响应时间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86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BFB23">
            <w:pPr>
              <w:jc w:val="center"/>
            </w:pPr>
            <w:r>
              <w:rPr>
                <w:rFonts w:ascii="宋体" w:hAnsi="宋体" w:eastAsia="宋体"/>
                <w:sz w:val="16"/>
              </w:rPr>
              <w:t>&lt;=20分钟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C7AEC">
            <w:pPr>
              <w:jc w:val="center"/>
            </w:pPr>
            <w:r>
              <w:rPr>
                <w:rFonts w:ascii="宋体" w:hAnsi="宋体" w:eastAsia="宋体"/>
                <w:sz w:val="16"/>
              </w:rPr>
              <w:t>&lt;=20分钟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238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75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842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9E244">
            <w:pPr>
              <w:jc w:val="center"/>
            </w:pPr>
            <w:r>
              <w:rPr>
                <w:rFonts w:ascii="宋体" w:hAnsi="宋体" w:eastAsia="宋体"/>
                <w:sz w:val="16"/>
              </w:rPr>
              <w:t>20分钟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D9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65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2F2EB">
            <w:pPr>
              <w:jc w:val="center"/>
            </w:pPr>
          </w:p>
        </w:tc>
      </w:tr>
      <w:tr w14:paraId="529ACA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2AFE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6147F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F73B6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52420">
            <w:pPr>
              <w:jc w:val="center"/>
            </w:pPr>
            <w:r>
              <w:rPr>
                <w:rFonts w:ascii="宋体" w:hAnsi="宋体" w:eastAsia="宋体"/>
                <w:sz w:val="16"/>
              </w:rPr>
              <w:t>三网一员工作经费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943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5B7D">
            <w:pPr>
              <w:jc w:val="center"/>
            </w:pPr>
            <w:r>
              <w:rPr>
                <w:rFonts w:ascii="宋体" w:hAnsi="宋体" w:eastAsia="宋体"/>
                <w:sz w:val="16"/>
              </w:rPr>
              <w:t>&lt;=3.8万元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AC4E5">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F9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B1B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2F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3F400">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801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B25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96D60">
            <w:pPr>
              <w:jc w:val="center"/>
            </w:pPr>
          </w:p>
        </w:tc>
      </w:tr>
      <w:tr w14:paraId="1AF731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F0E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238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74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DAC7">
            <w:pPr>
              <w:jc w:val="center"/>
            </w:pPr>
            <w:r>
              <w:rPr>
                <w:rFonts w:ascii="宋体" w:hAnsi="宋体" w:eastAsia="宋体"/>
                <w:sz w:val="16"/>
              </w:rPr>
              <w:t>购置办公设备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10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2949B">
            <w:pPr>
              <w:jc w:val="center"/>
            </w:pPr>
            <w:r>
              <w:rPr>
                <w:rFonts w:ascii="宋体" w:hAnsi="宋体" w:eastAsia="宋体"/>
                <w:sz w:val="16"/>
              </w:rPr>
              <w:t>&lt;=5.1万元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E8FFE">
            <w:pPr>
              <w:jc w:val="center"/>
            </w:pPr>
            <w:r>
              <w:rPr>
                <w:rFonts w:ascii="宋体" w:hAnsi="宋体" w:eastAsia="宋体"/>
                <w:sz w:val="16"/>
              </w:rPr>
              <w:t>=0.92万元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1DA3">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6A7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FF3E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A28B3">
            <w:pPr>
              <w:jc w:val="center"/>
            </w:pPr>
            <w:r>
              <w:rPr>
                <w:rFonts w:ascii="宋体" w:hAnsi="宋体" w:eastAsia="宋体"/>
                <w:sz w:val="16"/>
              </w:rPr>
              <w:t>5.1</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CD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D60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3D4DC">
            <w:pPr>
              <w:jc w:val="center"/>
            </w:pPr>
            <w:r>
              <w:rPr>
                <w:rFonts w:ascii="宋体" w:hAnsi="宋体" w:eastAsia="宋体"/>
                <w:sz w:val="16"/>
              </w:rPr>
              <w:t>偏差原因：多为办公设备购置，因单位领导变动，未按时执行完成。改进措施：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0DE34F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E7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15A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C9C2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55EF">
            <w:pPr>
              <w:jc w:val="center"/>
            </w:pPr>
            <w:r>
              <w:rPr>
                <w:rFonts w:ascii="宋体" w:hAnsi="宋体" w:eastAsia="宋体"/>
                <w:sz w:val="16"/>
              </w:rPr>
              <w:t>提升对灾情的上报的能力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C92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3A6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D1F9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27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85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C834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22D6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C3F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2A9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BA81">
            <w:pPr>
              <w:jc w:val="center"/>
            </w:pPr>
          </w:p>
        </w:tc>
      </w:tr>
      <w:tr w14:paraId="4D9563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20D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AB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7F2A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9972">
            <w:pPr>
              <w:jc w:val="center"/>
            </w:pPr>
            <w:r>
              <w:rPr>
                <w:rFonts w:ascii="宋体" w:hAnsi="宋体" w:eastAsia="宋体"/>
                <w:sz w:val="16"/>
              </w:rPr>
              <w:t>三网一员人员满意度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C08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C06F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3A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4FA6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8E00B">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A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3387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39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45A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B1AAA">
            <w:pPr>
              <w:jc w:val="center"/>
            </w:pPr>
            <w:r>
              <w:rPr>
                <w:rFonts w:ascii="宋体" w:hAnsi="宋体" w:eastAsia="宋体"/>
                <w:sz w:val="16"/>
              </w:rPr>
              <w:t>偏差原因：由于项目得到三网一员的一致满意，故产生偏差。改进措施：加强绩效关系，</w:t>
            </w:r>
            <w:r>
              <w:rPr>
                <w:rFonts w:hint="eastAsia" w:ascii="宋体" w:hAnsi="宋体"/>
                <w:sz w:val="16"/>
                <w:lang w:eastAsia="zh-CN"/>
              </w:rPr>
              <w:t>精准</w:t>
            </w:r>
            <w:r>
              <w:rPr>
                <w:rFonts w:ascii="宋体" w:hAnsi="宋体" w:eastAsia="宋体"/>
                <w:sz w:val="16"/>
              </w:rPr>
              <w:t>设置指标。</w:t>
            </w:r>
          </w:p>
        </w:tc>
      </w:tr>
      <w:tr w14:paraId="19691EF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F26BA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396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F053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3DA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9F52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850B">
            <w:pPr>
              <w:jc w:val="center"/>
            </w:pPr>
            <w:r>
              <w:rPr>
                <w:rFonts w:ascii="宋体" w:hAnsi="宋体" w:eastAsia="宋体"/>
                <w:sz w:val="16"/>
              </w:rPr>
              <w:t>68.89分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0F5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83B6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56AF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BAC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5DE2AD"/>
        </w:tc>
      </w:tr>
    </w:tbl>
    <w:p w14:paraId="2D99E980">
      <w:r>
        <w:br w:type="page"/>
      </w:r>
    </w:p>
    <w:p w14:paraId="103AD876">
      <w:pPr>
        <w:spacing w:line="640" w:lineRule="exact"/>
        <w:ind w:firstLine="640"/>
        <w:jc w:val="both"/>
        <w:outlineLvl w:val="2"/>
      </w:pPr>
      <w:r>
        <w:rPr>
          <w:rFonts w:ascii="黑体" w:hAnsi="黑体" w:eastAsia="黑体"/>
          <w:sz w:val="32"/>
        </w:rPr>
        <w:t>十二、其他需说明的事项</w:t>
      </w:r>
    </w:p>
    <w:p w14:paraId="6C5BCBEF">
      <w:pPr>
        <w:spacing w:line="580" w:lineRule="exact"/>
        <w:ind w:firstLine="640"/>
        <w:jc w:val="both"/>
      </w:pPr>
      <w:r>
        <w:rPr>
          <w:rFonts w:ascii="仿宋_GB2312" w:hAnsi="仿宋_GB2312" w:eastAsia="仿宋_GB2312"/>
          <w:b w:val="0"/>
          <w:sz w:val="32"/>
        </w:rPr>
        <w:t>本单位无其他需说明的事项。</w:t>
      </w:r>
    </w:p>
    <w:p w14:paraId="1CB56C77">
      <w:r>
        <w:br w:type="page"/>
      </w:r>
    </w:p>
    <w:p w14:paraId="1CD9BF25">
      <w:pPr>
        <w:spacing w:line="240" w:lineRule="auto"/>
        <w:jc w:val="center"/>
        <w:outlineLvl w:val="1"/>
      </w:pPr>
      <w:r>
        <w:rPr>
          <w:rFonts w:ascii="黑体" w:hAnsi="黑体" w:eastAsia="黑体"/>
          <w:sz w:val="32"/>
        </w:rPr>
        <w:t>第三部分 专业名词解释</w:t>
      </w:r>
    </w:p>
    <w:p w14:paraId="4354461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970567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A3686C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EBF78D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E55BAD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4E2BDE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3FD458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22B728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AD591B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5C1E8B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270193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C5155B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85BA1B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7E4233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A30B284">
      <w:r>
        <w:br w:type="page"/>
      </w:r>
    </w:p>
    <w:p w14:paraId="39589489">
      <w:pPr>
        <w:spacing w:line="240" w:lineRule="auto"/>
        <w:jc w:val="center"/>
        <w:outlineLvl w:val="1"/>
      </w:pPr>
      <w:r>
        <w:rPr>
          <w:rFonts w:ascii="黑体" w:hAnsi="黑体" w:eastAsia="黑体"/>
          <w:sz w:val="32"/>
        </w:rPr>
        <w:t>第四部分 部门决算报表（见附表）</w:t>
      </w:r>
    </w:p>
    <w:p w14:paraId="5BAF981C">
      <w:pPr>
        <w:spacing w:line="240" w:lineRule="auto"/>
        <w:ind w:firstLine="640"/>
        <w:jc w:val="both"/>
      </w:pPr>
      <w:r>
        <w:rPr>
          <w:rFonts w:ascii="仿宋_GB2312" w:hAnsi="仿宋_GB2312" w:eastAsia="仿宋_GB2312"/>
          <w:b w:val="0"/>
          <w:sz w:val="32"/>
        </w:rPr>
        <w:t>一、《收入支出决算总表》</w:t>
      </w:r>
    </w:p>
    <w:p w14:paraId="1ED41BE9">
      <w:pPr>
        <w:spacing w:line="240" w:lineRule="auto"/>
        <w:ind w:firstLine="640"/>
        <w:jc w:val="both"/>
      </w:pPr>
      <w:r>
        <w:rPr>
          <w:rFonts w:ascii="仿宋_GB2312" w:hAnsi="仿宋_GB2312" w:eastAsia="仿宋_GB2312"/>
          <w:b w:val="0"/>
          <w:sz w:val="32"/>
        </w:rPr>
        <w:t>二、《收入决算表》</w:t>
      </w:r>
    </w:p>
    <w:p w14:paraId="4D163BA8">
      <w:pPr>
        <w:spacing w:line="240" w:lineRule="auto"/>
        <w:ind w:firstLine="640"/>
        <w:jc w:val="both"/>
      </w:pPr>
      <w:r>
        <w:rPr>
          <w:rFonts w:ascii="仿宋_GB2312" w:hAnsi="仿宋_GB2312" w:eastAsia="仿宋_GB2312"/>
          <w:b w:val="0"/>
          <w:sz w:val="32"/>
        </w:rPr>
        <w:t>三、《支出决算表》</w:t>
      </w:r>
    </w:p>
    <w:p w14:paraId="01AE3A25">
      <w:pPr>
        <w:spacing w:line="240" w:lineRule="auto"/>
        <w:ind w:firstLine="640"/>
        <w:jc w:val="both"/>
      </w:pPr>
      <w:r>
        <w:rPr>
          <w:rFonts w:ascii="仿宋_GB2312" w:hAnsi="仿宋_GB2312" w:eastAsia="仿宋_GB2312"/>
          <w:b w:val="0"/>
          <w:sz w:val="32"/>
        </w:rPr>
        <w:t>四、《财政拨款收入支出决算总表》</w:t>
      </w:r>
    </w:p>
    <w:p w14:paraId="2D3C7423">
      <w:pPr>
        <w:spacing w:line="240" w:lineRule="auto"/>
        <w:ind w:firstLine="640"/>
        <w:jc w:val="both"/>
      </w:pPr>
      <w:r>
        <w:rPr>
          <w:rFonts w:ascii="仿宋_GB2312" w:hAnsi="仿宋_GB2312" w:eastAsia="仿宋_GB2312"/>
          <w:b w:val="0"/>
          <w:sz w:val="32"/>
        </w:rPr>
        <w:t>五、《一般公共预算财政拨款支出决算表》</w:t>
      </w:r>
    </w:p>
    <w:p w14:paraId="23D94E4D">
      <w:pPr>
        <w:spacing w:line="240" w:lineRule="auto"/>
        <w:ind w:firstLine="640"/>
        <w:jc w:val="both"/>
      </w:pPr>
      <w:r>
        <w:rPr>
          <w:rFonts w:ascii="仿宋_GB2312" w:hAnsi="仿宋_GB2312" w:eastAsia="仿宋_GB2312"/>
          <w:b w:val="0"/>
          <w:sz w:val="32"/>
        </w:rPr>
        <w:t>六、《一般公共预算财政拨款基本支出决算表》</w:t>
      </w:r>
    </w:p>
    <w:p w14:paraId="589DD7B3">
      <w:pPr>
        <w:spacing w:line="240" w:lineRule="auto"/>
        <w:ind w:firstLine="640"/>
        <w:jc w:val="both"/>
      </w:pPr>
      <w:r>
        <w:rPr>
          <w:rFonts w:ascii="仿宋_GB2312" w:hAnsi="仿宋_GB2312" w:eastAsia="仿宋_GB2312"/>
          <w:b w:val="0"/>
          <w:sz w:val="32"/>
        </w:rPr>
        <w:t>七、《政府性基金预算财政拨款收入支出决算表》</w:t>
      </w:r>
    </w:p>
    <w:p w14:paraId="21F4998F">
      <w:pPr>
        <w:spacing w:line="240" w:lineRule="auto"/>
        <w:ind w:firstLine="640"/>
        <w:jc w:val="both"/>
      </w:pPr>
      <w:r>
        <w:rPr>
          <w:rFonts w:ascii="仿宋_GB2312" w:hAnsi="仿宋_GB2312" w:eastAsia="仿宋_GB2312"/>
          <w:b w:val="0"/>
          <w:sz w:val="32"/>
        </w:rPr>
        <w:t>八、《国有资本经营预算财政拨款收入支出决算表》</w:t>
      </w:r>
    </w:p>
    <w:p w14:paraId="3328F6CF">
      <w:pPr>
        <w:spacing w:line="240" w:lineRule="auto"/>
        <w:ind w:firstLine="640"/>
        <w:jc w:val="both"/>
      </w:pPr>
      <w:r>
        <w:rPr>
          <w:rFonts w:ascii="仿宋_GB2312" w:hAnsi="仿宋_GB2312" w:eastAsia="仿宋_GB2312"/>
          <w:b w:val="0"/>
          <w:sz w:val="32"/>
        </w:rPr>
        <w:t>九、《财政拨款“三公”经费支出决算表》</w:t>
      </w:r>
    </w:p>
    <w:p w14:paraId="269568B3">
      <w:pPr>
        <w:spacing w:line="240" w:lineRule="auto"/>
        <w:ind w:firstLine="640"/>
        <w:jc w:val="both"/>
      </w:pPr>
    </w:p>
    <w:p w14:paraId="213A08CE">
      <w:pPr>
        <w:spacing w:line="240" w:lineRule="auto"/>
        <w:ind w:firstLine="640"/>
        <w:jc w:val="both"/>
      </w:pPr>
    </w:p>
    <w:p w14:paraId="11D8C61B">
      <w:pPr>
        <w:spacing w:line="240" w:lineRule="auto"/>
        <w:ind w:firstLine="640"/>
        <w:jc w:val="both"/>
      </w:pPr>
    </w:p>
    <w:p w14:paraId="1E651B69">
      <w:pPr>
        <w:spacing w:line="240" w:lineRule="auto"/>
        <w:ind w:firstLine="640"/>
        <w:jc w:val="both"/>
      </w:pPr>
    </w:p>
    <w:p w14:paraId="25154A3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D7E6C5-4432-47EE-8B8A-39F3EB523F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E0D522A-C867-47A5-BE26-AC3F9164D39E}"/>
  </w:font>
  <w:font w:name="仿宋_GB2312">
    <w:altName w:val="仿宋"/>
    <w:panose1 w:val="02010609030101010101"/>
    <w:charset w:val="86"/>
    <w:family w:val="modern"/>
    <w:pitch w:val="default"/>
    <w:sig w:usb0="00000000" w:usb1="00000000" w:usb2="00000000" w:usb3="00000000" w:csb0="00040000" w:csb1="00000000"/>
    <w:embedRegular r:id="rId3" w:fontKey="{4C454D47-E92C-4822-8154-BFD3F367AB1E}"/>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A74BF087-4D2E-4B90-B720-2EC7C8B07AC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A623EBB"/>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67D4D2D"/>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5463</Words>
  <Characters>6215</Characters>
  <Lines>0</Lines>
  <Paragraphs>0</Paragraphs>
  <TotalTime>6</TotalTime>
  <ScaleCrop>false</ScaleCrop>
  <LinksUpToDate>false</LinksUpToDate>
  <CharactersWithSpaces>6223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2025-10-15T03:44:56Z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