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昌吉回族自治州党员教育中心（昌吉回族自治州党员干部远程教育工作办公室）2024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9372338">
      <w:r>
        <w:br w:type="page"/>
      </w:r>
    </w:p>
    <w:p w14:paraId="7D6C120E">
      <w:pPr>
        <w:spacing w:line="640" w:lineRule="exact"/>
        <w:jc w:val="center"/>
        <w:outlineLvl w:val="1"/>
      </w:pPr>
      <w:r>
        <w:rPr>
          <w:rFonts w:ascii="黑体" w:hAnsi="黑体" w:eastAsia="黑体"/>
          <w:sz w:val="32"/>
        </w:rPr>
        <w:t>第一部分 单位概况</w:t>
      </w:r>
    </w:p>
    <w:p w14:paraId="3CEBB7EC">
      <w:pPr>
        <w:spacing w:line="640" w:lineRule="exact"/>
        <w:ind w:firstLine="640"/>
        <w:jc w:val="both"/>
        <w:outlineLvl w:val="2"/>
      </w:pPr>
      <w:r>
        <w:rPr>
          <w:rFonts w:ascii="黑体" w:hAnsi="黑体" w:eastAsia="黑体"/>
          <w:sz w:val="32"/>
        </w:rPr>
        <w:t>一、主要职能</w:t>
      </w:r>
    </w:p>
    <w:p w14:paraId="734E14AC">
      <w:pPr>
        <w:spacing w:line="580" w:lineRule="exact"/>
        <w:ind w:firstLine="640"/>
        <w:jc w:val="both"/>
        <w:rPr>
          <w:rFonts w:hint="eastAsia" w:eastAsia="仿宋_GB2312"/>
          <w:lang w:eastAsia="zh-CN"/>
        </w:rPr>
      </w:pPr>
      <w:r>
        <w:rPr>
          <w:rFonts w:ascii="仿宋_GB2312" w:hAnsi="仿宋_GB2312" w:eastAsia="仿宋_GB2312"/>
          <w:sz w:val="32"/>
        </w:rPr>
        <w:t>昌吉回族自治州党员教育中心（昌吉回族自治州党员干部远程教育工作办公室）主要职责是</w:t>
      </w:r>
      <w:r>
        <w:rPr>
          <w:rFonts w:hint="eastAsia" w:ascii="仿宋_GB2312" w:hAnsi="仿宋_GB2312" w:eastAsia="仿宋_GB2312"/>
          <w:sz w:val="32"/>
          <w:lang w:eastAsia="zh-CN"/>
        </w:rPr>
        <w:t>：</w:t>
      </w:r>
    </w:p>
    <w:p w14:paraId="6CDE5B7C">
      <w:pPr>
        <w:spacing w:line="580" w:lineRule="exact"/>
        <w:ind w:firstLine="640"/>
        <w:jc w:val="both"/>
      </w:pPr>
      <w:r>
        <w:rPr>
          <w:rFonts w:ascii="仿宋_GB2312" w:hAnsi="仿宋_GB2312" w:eastAsia="仿宋_GB2312"/>
          <w:sz w:val="32"/>
        </w:rPr>
        <w:t>（一）负责研究提出自治州党员教育工作规划和计划并组织实施，开展党员教育工作的调查研究并提出意见建议。</w:t>
      </w:r>
    </w:p>
    <w:p w14:paraId="4A7BE501">
      <w:pPr>
        <w:spacing w:line="580" w:lineRule="exact"/>
        <w:ind w:firstLine="640"/>
        <w:jc w:val="both"/>
      </w:pPr>
      <w:r>
        <w:rPr>
          <w:rFonts w:ascii="仿宋_GB2312" w:hAnsi="仿宋_GB2312" w:eastAsia="仿宋_GB2312"/>
          <w:sz w:val="32"/>
        </w:rPr>
        <w:t>（二）负责自治州党员教育、远程教育工作的指导协调和督促落实。</w:t>
      </w:r>
    </w:p>
    <w:p w14:paraId="1536FE62">
      <w:pPr>
        <w:spacing w:line="580" w:lineRule="exact"/>
        <w:ind w:firstLine="640"/>
        <w:jc w:val="both"/>
      </w:pPr>
      <w:r>
        <w:rPr>
          <w:rFonts w:ascii="仿宋_GB2312" w:hAnsi="仿宋_GB2312" w:eastAsia="仿宋_GB2312"/>
          <w:sz w:val="32"/>
        </w:rPr>
        <w:t>（三）承担自治州党员集中培训和经常性</w:t>
      </w:r>
      <w:r>
        <w:rPr>
          <w:rFonts w:hint="eastAsia" w:ascii="仿宋_GB2312" w:hAnsi="仿宋_GB2312" w:eastAsia="仿宋_GB2312"/>
          <w:sz w:val="32"/>
          <w:lang w:eastAsia="zh-CN"/>
        </w:rPr>
        <w:t>学习</w:t>
      </w:r>
      <w:r>
        <w:rPr>
          <w:rFonts w:ascii="仿宋_GB2312" w:hAnsi="仿宋_GB2312" w:eastAsia="仿宋_GB2312"/>
          <w:sz w:val="32"/>
        </w:rPr>
        <w:t>教育有关具体事务；会同州直有关部门和县市（园区）组织实施党员教育培训重点工作。</w:t>
      </w:r>
    </w:p>
    <w:p w14:paraId="14AD5F0B">
      <w:pPr>
        <w:spacing w:line="580" w:lineRule="exact"/>
        <w:ind w:firstLine="640"/>
        <w:jc w:val="both"/>
      </w:pPr>
      <w:r>
        <w:rPr>
          <w:rFonts w:ascii="仿宋_GB2312" w:hAnsi="仿宋_GB2312" w:eastAsia="仿宋_GB2312"/>
          <w:sz w:val="32"/>
        </w:rPr>
        <w:t>（四）承担党员教育教学资源制作、精品资源展播、课件开发管理和使用，以及教学资源的引进、审查、分类编目、评价和交流等工作。</w:t>
      </w:r>
    </w:p>
    <w:p w14:paraId="1E40978B">
      <w:pPr>
        <w:spacing w:line="580" w:lineRule="exact"/>
        <w:ind w:firstLine="640"/>
        <w:jc w:val="both"/>
      </w:pPr>
      <w:r>
        <w:rPr>
          <w:rFonts w:ascii="仿宋_GB2312" w:hAnsi="仿宋_GB2312" w:eastAsia="仿宋_GB2312"/>
          <w:sz w:val="32"/>
        </w:rPr>
        <w:t>（五）承担昌吉党建网（博格达网）、新疆党员教育服务管理系统（党员&lt;远程&gt;教育站点）、昌吉州党员干部在线学习考试智能管理系统、博格达视野微信公众号（视频号）、党员（远程）</w:t>
      </w:r>
      <w:r>
        <w:rPr>
          <w:rFonts w:ascii="仿宋_GB2312" w:hAnsi="仿宋_GB2312" w:eastAsia="仿宋_GB2312"/>
          <w:w w:val="97"/>
          <w:sz w:val="32"/>
        </w:rPr>
        <w:t>教育站点视联网视频会议系统等平台的运行管理和安全维护工作。</w:t>
      </w:r>
    </w:p>
    <w:p w14:paraId="1349DB7D">
      <w:pPr>
        <w:spacing w:line="580" w:lineRule="exact"/>
        <w:ind w:firstLine="640"/>
        <w:jc w:val="both"/>
      </w:pPr>
      <w:r>
        <w:rPr>
          <w:rFonts w:ascii="仿宋_GB2312" w:hAnsi="仿宋_GB2312" w:eastAsia="仿宋_GB2312"/>
          <w:sz w:val="32"/>
        </w:rPr>
        <w:t>（六）完成中共昌吉回族自治州委员会组织部部务会交办的其他任务。</w:t>
      </w:r>
    </w:p>
    <w:p w14:paraId="04CCCD7A">
      <w:pPr>
        <w:spacing w:line="640" w:lineRule="exact"/>
        <w:ind w:firstLine="640"/>
        <w:jc w:val="both"/>
        <w:outlineLvl w:val="2"/>
      </w:pPr>
      <w:r>
        <w:rPr>
          <w:rFonts w:ascii="黑体" w:hAnsi="黑体" w:eastAsia="黑体"/>
          <w:sz w:val="32"/>
        </w:rPr>
        <w:t>二、机构设置及人员情况</w:t>
      </w:r>
    </w:p>
    <w:p w14:paraId="58EF3A79">
      <w:pPr>
        <w:spacing w:line="580" w:lineRule="exact"/>
        <w:ind w:firstLine="640"/>
        <w:jc w:val="both"/>
      </w:pPr>
      <w:r>
        <w:rPr>
          <w:rFonts w:ascii="仿宋_GB2312" w:hAnsi="仿宋_GB2312" w:eastAsia="仿宋_GB2312"/>
          <w:sz w:val="32"/>
        </w:rPr>
        <w:t>昌吉回族自治州党员教育中心（昌吉回族自治州党员干部远程教育工作办公室）2024年度，实有人数10人，其中：在职人员10人，增加2人；离休人员0人，增加0人；退休人员0人,增加0人。</w:t>
      </w:r>
    </w:p>
    <w:p w14:paraId="25AB31D7">
      <w:pPr>
        <w:spacing w:line="580" w:lineRule="exact"/>
        <w:ind w:firstLine="640"/>
        <w:jc w:val="both"/>
      </w:pPr>
      <w:r>
        <w:rPr>
          <w:rFonts w:ascii="仿宋_GB2312" w:hAnsi="仿宋_GB2312" w:eastAsia="仿宋_GB2312"/>
          <w:sz w:val="32"/>
        </w:rPr>
        <w:t>昌吉回族自治州党员教育中心（昌吉回族自治州党员干部远程教育工作办公室）无下属预算单位，下设3个科室，分别是：培训科、教学资源科、综合科。</w:t>
      </w:r>
    </w:p>
    <w:p w14:paraId="4FA2F646">
      <w:r>
        <w:br w:type="page"/>
      </w:r>
    </w:p>
    <w:p w14:paraId="2F052E64">
      <w:pPr>
        <w:spacing w:line="240" w:lineRule="auto"/>
        <w:jc w:val="center"/>
        <w:outlineLvl w:val="1"/>
      </w:pPr>
      <w:r>
        <w:rPr>
          <w:rFonts w:ascii="黑体" w:hAnsi="黑体" w:eastAsia="黑体"/>
          <w:sz w:val="32"/>
        </w:rPr>
        <w:t>第二部分 部门决算情况说明</w:t>
      </w:r>
    </w:p>
    <w:p w14:paraId="658175E2">
      <w:pPr>
        <w:spacing w:line="640" w:lineRule="exact"/>
        <w:ind w:firstLine="640"/>
        <w:jc w:val="both"/>
        <w:outlineLvl w:val="2"/>
      </w:pPr>
      <w:r>
        <w:rPr>
          <w:rFonts w:ascii="黑体" w:hAnsi="黑体" w:eastAsia="黑体"/>
          <w:sz w:val="32"/>
        </w:rPr>
        <w:t>一、收入支出决算总体情况说明</w:t>
      </w:r>
    </w:p>
    <w:p w14:paraId="238105A3">
      <w:pPr>
        <w:spacing w:line="580" w:lineRule="exact"/>
        <w:ind w:firstLine="640"/>
        <w:jc w:val="both"/>
      </w:pPr>
      <w:r>
        <w:rPr>
          <w:rFonts w:ascii="仿宋_GB2312" w:hAnsi="仿宋_GB2312" w:eastAsia="仿宋_GB2312"/>
          <w:b/>
          <w:sz w:val="32"/>
        </w:rPr>
        <w:t>2024年度收入总计255.94万元，</w:t>
      </w:r>
      <w:r>
        <w:rPr>
          <w:rFonts w:ascii="仿宋_GB2312" w:hAnsi="仿宋_GB2312" w:eastAsia="仿宋_GB2312"/>
          <w:b w:val="0"/>
          <w:sz w:val="32"/>
        </w:rPr>
        <w:t>其中：本年收入合计254.90万元，使用非财政拨款结余（含专用结余）0.00万元，年初结转和结余1.04万元。</w:t>
      </w:r>
    </w:p>
    <w:p w14:paraId="4AC3A9BD">
      <w:pPr>
        <w:spacing w:line="580" w:lineRule="exact"/>
        <w:ind w:firstLine="640"/>
        <w:jc w:val="both"/>
      </w:pPr>
      <w:r>
        <w:rPr>
          <w:rFonts w:ascii="仿宋_GB2312" w:hAnsi="仿宋_GB2312" w:eastAsia="仿宋_GB2312"/>
          <w:b/>
          <w:sz w:val="32"/>
        </w:rPr>
        <w:t>2024年度支出总计255.94万元，</w:t>
      </w:r>
      <w:r>
        <w:rPr>
          <w:rFonts w:ascii="仿宋_GB2312" w:hAnsi="仿宋_GB2312" w:eastAsia="仿宋_GB2312"/>
          <w:b w:val="0"/>
          <w:sz w:val="32"/>
        </w:rPr>
        <w:t>其中：本年支出合计254.91万元，结余分配0.00万元，年末结转和结余1.03万元。</w:t>
      </w:r>
    </w:p>
    <w:p w14:paraId="7A89205C">
      <w:pPr>
        <w:spacing w:line="580" w:lineRule="exact"/>
        <w:ind w:firstLine="640"/>
        <w:jc w:val="both"/>
      </w:pPr>
      <w:r>
        <w:rPr>
          <w:rFonts w:ascii="仿宋_GB2312" w:hAnsi="仿宋_GB2312" w:eastAsia="仿宋_GB2312"/>
          <w:b w:val="0"/>
          <w:sz w:val="32"/>
        </w:rPr>
        <w:t>收入支出总体与上年相比，减少292.68万元，下降53.35%，主要原因是：本年减少视联网视频会议系统建设项目费用。</w:t>
      </w:r>
    </w:p>
    <w:p w14:paraId="75230F6F">
      <w:pPr>
        <w:spacing w:line="640" w:lineRule="exact"/>
        <w:ind w:firstLine="640"/>
        <w:jc w:val="both"/>
        <w:outlineLvl w:val="2"/>
      </w:pPr>
      <w:r>
        <w:rPr>
          <w:rFonts w:ascii="黑体" w:hAnsi="黑体" w:eastAsia="黑体"/>
          <w:sz w:val="32"/>
        </w:rPr>
        <w:t>二、收入决算情况说明</w:t>
      </w:r>
    </w:p>
    <w:p w14:paraId="04A66984">
      <w:pPr>
        <w:spacing w:line="580" w:lineRule="exact"/>
        <w:ind w:firstLine="640"/>
        <w:jc w:val="both"/>
      </w:pPr>
      <w:r>
        <w:rPr>
          <w:rFonts w:ascii="仿宋_GB2312" w:hAnsi="仿宋_GB2312" w:eastAsia="仿宋_GB2312"/>
          <w:b/>
          <w:sz w:val="32"/>
        </w:rPr>
        <w:t>本年收入254.90万元，</w:t>
      </w:r>
      <w:r>
        <w:rPr>
          <w:rFonts w:ascii="仿宋_GB2312" w:hAnsi="仿宋_GB2312" w:eastAsia="仿宋_GB2312"/>
          <w:b w:val="0"/>
          <w:sz w:val="32"/>
        </w:rPr>
        <w:t>其中：财政拨款收入254.56万元，占99.87%；上级补助收入0.00万元，占0.00%；事业收入0.00万元，占0.00%；经营收入0.00万元，占0.00%；附属单位上缴收入0.00万元，占0.00%；其他收入0.35万元，占0.14%。</w:t>
      </w:r>
    </w:p>
    <w:p w14:paraId="35B7930F">
      <w:pPr>
        <w:spacing w:line="640" w:lineRule="exact"/>
        <w:ind w:firstLine="640"/>
        <w:jc w:val="both"/>
        <w:outlineLvl w:val="2"/>
      </w:pPr>
      <w:r>
        <w:rPr>
          <w:rFonts w:ascii="黑体" w:hAnsi="黑体" w:eastAsia="黑体"/>
          <w:sz w:val="32"/>
        </w:rPr>
        <w:t>三、支出决算情况说明</w:t>
      </w:r>
    </w:p>
    <w:p w14:paraId="764E2837">
      <w:pPr>
        <w:spacing w:line="580" w:lineRule="exact"/>
        <w:ind w:firstLine="640"/>
        <w:jc w:val="both"/>
      </w:pPr>
      <w:r>
        <w:rPr>
          <w:rFonts w:ascii="仿宋_GB2312" w:hAnsi="仿宋_GB2312" w:eastAsia="仿宋_GB2312"/>
          <w:b/>
          <w:sz w:val="32"/>
        </w:rPr>
        <w:t>本年支出254.91万元，</w:t>
      </w:r>
      <w:r>
        <w:rPr>
          <w:rFonts w:ascii="仿宋_GB2312" w:hAnsi="仿宋_GB2312" w:eastAsia="仿宋_GB2312"/>
          <w:b w:val="0"/>
          <w:sz w:val="32"/>
        </w:rPr>
        <w:t>其中：基本支出203.87万元，占79.98%；项目支出51.04万元，占20.02%；上缴上级支出0.00万元，占0.00%；经营支出0.00万元，占0.00%；对附属单位补助支出0.00万元，占0.00%。</w:t>
      </w:r>
    </w:p>
    <w:p w14:paraId="020E0A4C">
      <w:pPr>
        <w:spacing w:line="640" w:lineRule="exact"/>
        <w:ind w:firstLine="640"/>
        <w:jc w:val="both"/>
        <w:outlineLvl w:val="2"/>
      </w:pPr>
      <w:r>
        <w:rPr>
          <w:rFonts w:ascii="黑体" w:hAnsi="黑体" w:eastAsia="黑体"/>
          <w:sz w:val="32"/>
        </w:rPr>
        <w:t>四、财政拨款收入支出决算总体情况说明</w:t>
      </w:r>
    </w:p>
    <w:p w14:paraId="37F44264">
      <w:pPr>
        <w:spacing w:line="580" w:lineRule="exact"/>
        <w:ind w:firstLine="640"/>
        <w:jc w:val="both"/>
      </w:pPr>
      <w:r>
        <w:rPr>
          <w:rFonts w:ascii="仿宋_GB2312" w:hAnsi="仿宋_GB2312" w:eastAsia="仿宋_GB2312"/>
          <w:b/>
          <w:sz w:val="32"/>
        </w:rPr>
        <w:t>2024年度财政拨款收入总计254.56万元，</w:t>
      </w:r>
      <w:r>
        <w:rPr>
          <w:rFonts w:ascii="仿宋_GB2312" w:hAnsi="仿宋_GB2312" w:eastAsia="仿宋_GB2312"/>
          <w:b w:val="0"/>
          <w:sz w:val="32"/>
        </w:rPr>
        <w:t>其中：年初财政拨款结转和结余0.00万元，本年财政拨款收入254.56万元。</w:t>
      </w:r>
      <w:r>
        <w:rPr>
          <w:rFonts w:ascii="仿宋_GB2312" w:hAnsi="仿宋_GB2312" w:eastAsia="仿宋_GB2312"/>
          <w:b/>
          <w:sz w:val="32"/>
        </w:rPr>
        <w:t>财政拨款支出总计254.56万元，</w:t>
      </w:r>
      <w:r>
        <w:rPr>
          <w:rFonts w:ascii="仿宋_GB2312" w:hAnsi="仿宋_GB2312" w:eastAsia="仿宋_GB2312"/>
          <w:b w:val="0"/>
          <w:sz w:val="32"/>
        </w:rPr>
        <w:t>其中：年末财政拨款结转和结余0.00万元，本年财政拨款支出254.56万元。</w:t>
      </w:r>
    </w:p>
    <w:p w14:paraId="5AD3950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减少227.89万元，下降47.24%，主要原因是：本年减少视联网视频会议系统建设项目费用。</w:t>
      </w:r>
      <w:r>
        <w:rPr>
          <w:rFonts w:ascii="仿宋_GB2312" w:hAnsi="仿宋_GB2312" w:eastAsia="仿宋_GB2312"/>
          <w:b/>
          <w:sz w:val="32"/>
        </w:rPr>
        <w:t>与年初预算相比，</w:t>
      </w:r>
      <w:r>
        <w:rPr>
          <w:rFonts w:ascii="仿宋_GB2312" w:hAnsi="仿宋_GB2312" w:eastAsia="仿宋_GB2312"/>
          <w:b w:val="0"/>
          <w:sz w:val="32"/>
        </w:rPr>
        <w:t>年初预算数211.59万元，决算数254.56万元，预决算差异率20.31%，主要原因是：本年在职人员增加，年中追加人员经费及人员工资、社保、公积金基数调增部分资金，导致预决算存在差异。</w:t>
      </w:r>
    </w:p>
    <w:p w14:paraId="2E6FFB76">
      <w:pPr>
        <w:spacing w:line="640" w:lineRule="exact"/>
        <w:ind w:firstLine="640"/>
        <w:jc w:val="both"/>
        <w:outlineLvl w:val="2"/>
      </w:pPr>
      <w:r>
        <w:rPr>
          <w:rFonts w:ascii="黑体" w:hAnsi="黑体" w:eastAsia="黑体"/>
          <w:sz w:val="32"/>
        </w:rPr>
        <w:t>五、一般公共预算财政拨款支出决算情况说明</w:t>
      </w:r>
    </w:p>
    <w:p w14:paraId="42871462">
      <w:pPr>
        <w:spacing w:line="640" w:lineRule="exact"/>
        <w:ind w:firstLine="640"/>
        <w:jc w:val="both"/>
        <w:outlineLvl w:val="3"/>
      </w:pPr>
      <w:r>
        <w:rPr>
          <w:rFonts w:ascii="楷体_GB2312" w:hAnsi="楷体_GB2312" w:eastAsia="楷体_GB2312"/>
          <w:b/>
          <w:sz w:val="32"/>
        </w:rPr>
        <w:t>（一）一般公共预算财政拨款支出决算总体情况</w:t>
      </w:r>
    </w:p>
    <w:p w14:paraId="067E69F6">
      <w:pPr>
        <w:spacing w:line="580" w:lineRule="exact"/>
        <w:ind w:firstLine="640"/>
        <w:jc w:val="both"/>
      </w:pPr>
      <w:r>
        <w:rPr>
          <w:rFonts w:ascii="仿宋_GB2312" w:hAnsi="仿宋_GB2312" w:eastAsia="仿宋_GB2312"/>
          <w:b/>
          <w:sz w:val="32"/>
        </w:rPr>
        <w:t>2024年度一般公共预算财政拨款支出254.56万元，</w:t>
      </w:r>
      <w:r>
        <w:rPr>
          <w:rFonts w:ascii="仿宋_GB2312" w:hAnsi="仿宋_GB2312" w:eastAsia="仿宋_GB2312"/>
          <w:b w:val="0"/>
          <w:sz w:val="32"/>
        </w:rPr>
        <w:t>占本年支出合计的99.86%。</w:t>
      </w:r>
      <w:r>
        <w:rPr>
          <w:rFonts w:ascii="仿宋_GB2312" w:hAnsi="仿宋_GB2312" w:eastAsia="仿宋_GB2312"/>
          <w:b/>
          <w:sz w:val="32"/>
        </w:rPr>
        <w:t>与上年相比，</w:t>
      </w:r>
      <w:r>
        <w:rPr>
          <w:rFonts w:ascii="仿宋_GB2312" w:hAnsi="仿宋_GB2312" w:eastAsia="仿宋_GB2312"/>
          <w:b w:val="0"/>
          <w:sz w:val="32"/>
        </w:rPr>
        <w:t>减少227.89万元，下降47.24%，主要原因是：本年减少视联网视频会议系统建设项目费用。</w:t>
      </w:r>
      <w:r>
        <w:rPr>
          <w:rFonts w:ascii="仿宋_GB2312" w:hAnsi="仿宋_GB2312" w:eastAsia="仿宋_GB2312"/>
          <w:b/>
          <w:sz w:val="32"/>
        </w:rPr>
        <w:t>与年初预算相比,</w:t>
      </w:r>
      <w:r>
        <w:rPr>
          <w:rFonts w:ascii="仿宋_GB2312" w:hAnsi="仿宋_GB2312" w:eastAsia="仿宋_GB2312"/>
          <w:b w:val="0"/>
          <w:sz w:val="32"/>
        </w:rPr>
        <w:t>年初预算数211.59万元，决算数254.56万元，预决算差异率20.31%，主要原因是：本年在职人员增加，年中追加人员经费及人员工资、社保、公积金基数调增部分资金，导致预决算存在差异。</w:t>
      </w:r>
    </w:p>
    <w:p w14:paraId="3B305D33">
      <w:pPr>
        <w:spacing w:line="640" w:lineRule="exact"/>
        <w:ind w:firstLine="640"/>
        <w:jc w:val="both"/>
        <w:outlineLvl w:val="3"/>
      </w:pPr>
      <w:r>
        <w:rPr>
          <w:rFonts w:ascii="楷体_GB2312" w:hAnsi="楷体_GB2312" w:eastAsia="楷体_GB2312"/>
          <w:b/>
          <w:sz w:val="32"/>
        </w:rPr>
        <w:t>（二）一般公共预算财政拨款支出决算结构情况</w:t>
      </w:r>
    </w:p>
    <w:p w14:paraId="61F7AF73">
      <w:pPr>
        <w:spacing w:line="580" w:lineRule="exact"/>
        <w:ind w:firstLine="640"/>
        <w:jc w:val="both"/>
      </w:pPr>
      <w:r>
        <w:rPr>
          <w:rFonts w:ascii="仿宋_GB2312" w:hAnsi="仿宋_GB2312" w:eastAsia="仿宋_GB2312"/>
          <w:b w:val="0"/>
          <w:sz w:val="32"/>
        </w:rPr>
        <w:t>1.一般公共服务支出(类)194.71万元,占76.49%。</w:t>
      </w:r>
    </w:p>
    <w:p w14:paraId="43253173">
      <w:pPr>
        <w:spacing w:line="580" w:lineRule="exact"/>
        <w:ind w:firstLine="640"/>
        <w:jc w:val="both"/>
      </w:pPr>
      <w:r>
        <w:rPr>
          <w:rFonts w:ascii="仿宋_GB2312" w:hAnsi="仿宋_GB2312" w:eastAsia="仿宋_GB2312"/>
          <w:b w:val="0"/>
          <w:sz w:val="32"/>
        </w:rPr>
        <w:t>2.社会保障和就业支出(类)27.71万元,占10.89%。</w:t>
      </w:r>
    </w:p>
    <w:p w14:paraId="6A8420C0">
      <w:pPr>
        <w:spacing w:line="580" w:lineRule="exact"/>
        <w:ind w:firstLine="640"/>
        <w:jc w:val="both"/>
      </w:pPr>
      <w:r>
        <w:rPr>
          <w:rFonts w:ascii="仿宋_GB2312" w:hAnsi="仿宋_GB2312" w:eastAsia="仿宋_GB2312"/>
          <w:b w:val="0"/>
          <w:sz w:val="32"/>
        </w:rPr>
        <w:t>3.卫生健康支出(类)9.91万元,占3.89%。</w:t>
      </w:r>
    </w:p>
    <w:p w14:paraId="38FEECD0">
      <w:pPr>
        <w:spacing w:line="580" w:lineRule="exact"/>
        <w:ind w:firstLine="640"/>
        <w:jc w:val="both"/>
      </w:pPr>
      <w:r>
        <w:rPr>
          <w:rFonts w:ascii="仿宋_GB2312" w:hAnsi="仿宋_GB2312" w:eastAsia="仿宋_GB2312"/>
          <w:b w:val="0"/>
          <w:sz w:val="32"/>
        </w:rPr>
        <w:t>4.住房保障支出(类)14.96万元,占5.88%。</w:t>
      </w:r>
    </w:p>
    <w:p w14:paraId="1AA1CE4D">
      <w:pPr>
        <w:spacing w:line="580" w:lineRule="exact"/>
        <w:ind w:firstLine="640"/>
        <w:jc w:val="both"/>
      </w:pPr>
      <w:r>
        <w:rPr>
          <w:rFonts w:ascii="仿宋_GB2312" w:hAnsi="仿宋_GB2312" w:eastAsia="仿宋_GB2312"/>
          <w:b w:val="0"/>
          <w:sz w:val="32"/>
        </w:rPr>
        <w:t>5.其他支出(类)7.27万元,占2.86%。</w:t>
      </w:r>
    </w:p>
    <w:p w14:paraId="2A2F39B1">
      <w:pPr>
        <w:spacing w:line="640" w:lineRule="exact"/>
        <w:ind w:firstLine="640"/>
        <w:jc w:val="both"/>
        <w:outlineLvl w:val="3"/>
      </w:pPr>
      <w:r>
        <w:rPr>
          <w:rFonts w:ascii="楷体_GB2312" w:hAnsi="楷体_GB2312" w:eastAsia="楷体_GB2312"/>
          <w:b/>
          <w:sz w:val="32"/>
        </w:rPr>
        <w:t>（三）一般公共预算财政拨款支出决算具体情况</w:t>
      </w:r>
    </w:p>
    <w:p w14:paraId="780CE279">
      <w:pPr>
        <w:spacing w:line="580" w:lineRule="exact"/>
        <w:ind w:firstLine="640"/>
        <w:jc w:val="both"/>
      </w:pPr>
      <w:r>
        <w:rPr>
          <w:rFonts w:ascii="仿宋_GB2312" w:hAnsi="仿宋_GB2312" w:eastAsia="仿宋_GB2312"/>
          <w:b w:val="0"/>
          <w:sz w:val="32"/>
        </w:rPr>
        <w:t>1.一般公共服务支出(类)组织事务(款)行政运行(项):支出决算数为143.67万元，比上年决算增加2.90万元，增长2.06%,主要原因是：本年新增在职人员，人员经费增加，导致经费较上年有所增加。</w:t>
      </w:r>
    </w:p>
    <w:p w14:paraId="1A35F786">
      <w:pPr>
        <w:spacing w:line="580" w:lineRule="exact"/>
        <w:ind w:firstLine="640"/>
        <w:jc w:val="both"/>
      </w:pPr>
      <w:r>
        <w:rPr>
          <w:rFonts w:ascii="仿宋_GB2312" w:hAnsi="仿宋_GB2312" w:eastAsia="仿宋_GB2312"/>
          <w:b w:val="0"/>
          <w:sz w:val="32"/>
        </w:rPr>
        <w:t>2.一般公共服务支出(类)组织事务(款)一般行政管理事务(项):支出决算数为51.04万元，比上年决算减少38.57万元，下降43.04%,主要原因是：本年党员教育运作保障经费项目支出减少。</w:t>
      </w:r>
    </w:p>
    <w:p w14:paraId="2D35128A">
      <w:pPr>
        <w:spacing w:line="580" w:lineRule="exact"/>
        <w:ind w:firstLine="640"/>
        <w:jc w:val="both"/>
      </w:pPr>
      <w:r>
        <w:rPr>
          <w:rFonts w:ascii="仿宋_GB2312" w:hAnsi="仿宋_GB2312" w:eastAsia="仿宋_GB2312"/>
          <w:b w:val="0"/>
          <w:sz w:val="32"/>
        </w:rPr>
        <w:t>3.一般公共服务支出(类)组织事务(款)其他组织事务支出(项):支出决算数为0.00万元，比上年决算减少205.90万元，下降100.00%,主要原因是：本年减少视联网视频会议系统建设项目费用。</w:t>
      </w:r>
    </w:p>
    <w:p w14:paraId="0C3A63A8">
      <w:pPr>
        <w:spacing w:line="580" w:lineRule="exact"/>
        <w:ind w:firstLine="640"/>
        <w:jc w:val="both"/>
      </w:pPr>
      <w:r>
        <w:rPr>
          <w:rFonts w:ascii="仿宋_GB2312" w:hAnsi="仿宋_GB2312" w:eastAsia="仿宋_GB2312"/>
          <w:b w:val="0"/>
          <w:sz w:val="32"/>
        </w:rPr>
        <w:t>4.一般公共服务支出(类)统战事务(款)宗教事务(项):支出决算数为0.00万元，比上年决算减少0.36万元，下降100.00%,主要原因是：本年驻村人员减少1名，相关人员补助经费减少。</w:t>
      </w:r>
    </w:p>
    <w:p w14:paraId="5707157E">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18.47万元，比上年决算增加2.28万元，增长14.08%,主要原因是：本年在职人员工资基数调增，养老缴费基数上涨，相应支出增加。</w:t>
      </w:r>
    </w:p>
    <w:p w14:paraId="1DE32C41">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6.社会保障和就业支出(类)行政事业单位养老支出(款)机关事业单位职业年金缴费支出(项):支出决算数为9.24万元，比上年决算增加1.14万元，增长14.07%,主要原因是：本年在职人员工资调增，职业年金缴费支出增加。</w:t>
      </w:r>
    </w:p>
    <w:p w14:paraId="27E8A754">
      <w:pPr>
        <w:spacing w:line="580" w:lineRule="exact"/>
        <w:ind w:firstLine="640"/>
        <w:jc w:val="both"/>
      </w:pPr>
      <w:r>
        <w:rPr>
          <w:rFonts w:ascii="仿宋_GB2312" w:hAnsi="仿宋_GB2312" w:eastAsia="仿宋_GB2312"/>
          <w:b w:val="0"/>
          <w:sz w:val="32"/>
        </w:rPr>
        <w:t>7.卫生健康支出(类)行政事业单位医疗(款)行政单位医疗(项):支出决算数为9.24万元，比上年决算增加1.01万元，增长12.27%,主要原因是：本年在职人员工资基数调增，医疗缴费基数上涨，相应支出增加。</w:t>
      </w:r>
    </w:p>
    <w:p w14:paraId="28FE31C7">
      <w:pPr>
        <w:spacing w:line="580" w:lineRule="exact"/>
        <w:ind w:firstLine="640"/>
        <w:jc w:val="both"/>
      </w:pPr>
      <w:r>
        <w:rPr>
          <w:rFonts w:ascii="仿宋_GB2312" w:hAnsi="仿宋_GB2312" w:eastAsia="仿宋_GB2312"/>
          <w:b w:val="0"/>
          <w:sz w:val="32"/>
        </w:rPr>
        <w:t>8.卫生健康支出(类)行政事业单位医疗(款)公务员医疗补助(项):支出决算数为0.58万元，比上年决算增加0.07万元，增长13.73%,主要原因是：本年在职人员工资基数调增，医疗缴费基数上涨，相应支出增加。</w:t>
      </w:r>
    </w:p>
    <w:p w14:paraId="02AFDD4B">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9.卫生健康支出(类)行政事业单位医疗(款)其他行政事业单位医疗支出(项):支出决算数为0.09万元，比上年决算增加0.03万元，增长50.00%,主要原因是：本年在职人员工资基数调增，医疗缴费基数上涨，相应支出增加。</w:t>
      </w:r>
    </w:p>
    <w:p w14:paraId="16D86025">
      <w:pPr>
        <w:spacing w:line="580" w:lineRule="exact"/>
        <w:ind w:firstLine="640"/>
        <w:jc w:val="both"/>
      </w:pPr>
      <w:r>
        <w:rPr>
          <w:rFonts w:ascii="仿宋_GB2312" w:hAnsi="仿宋_GB2312" w:eastAsia="仿宋_GB2312"/>
          <w:b w:val="0"/>
          <w:sz w:val="32"/>
        </w:rPr>
        <w:t>10.住房保障支出(类)住房改革支出(款)住房公积金(项):支出决算数为14.96万元，比上年决算增加2.24万元，增长17.61%,主要原因是：本年在职人员工资基数调增，公积金缴费基数上涨，相应支出增加。</w:t>
      </w:r>
    </w:p>
    <w:p w14:paraId="012659D2">
      <w:pPr>
        <w:spacing w:line="580" w:lineRule="exact"/>
        <w:ind w:firstLine="640"/>
        <w:jc w:val="both"/>
      </w:pPr>
      <w:r>
        <w:rPr>
          <w:rFonts w:ascii="仿宋_GB2312" w:hAnsi="仿宋_GB2312" w:eastAsia="仿宋_GB2312"/>
          <w:b w:val="0"/>
          <w:sz w:val="32"/>
        </w:rPr>
        <w:t>11.其他支出(类)其他支出(款)其他支出(项):支出决算数为7.27万元，比上年决算增加7.27万元，增长100.00%,主要原因是：本年增加党员教育活动经费。</w:t>
      </w:r>
    </w:p>
    <w:p w14:paraId="7ABF511D">
      <w:pPr>
        <w:spacing w:line="640" w:lineRule="exact"/>
        <w:ind w:firstLine="640"/>
        <w:jc w:val="both"/>
        <w:outlineLvl w:val="2"/>
      </w:pPr>
      <w:r>
        <w:rPr>
          <w:rFonts w:ascii="黑体" w:hAnsi="黑体" w:eastAsia="黑体"/>
          <w:sz w:val="32"/>
        </w:rPr>
        <w:t>六、一般公共预算财政拨款基本支出决算情况说明</w:t>
      </w:r>
    </w:p>
    <w:p w14:paraId="734B38F2">
      <w:pPr>
        <w:spacing w:line="580" w:lineRule="exact"/>
        <w:ind w:firstLine="640"/>
        <w:jc w:val="both"/>
      </w:pPr>
      <w:r>
        <w:rPr>
          <w:rFonts w:ascii="仿宋_GB2312" w:hAnsi="仿宋_GB2312" w:eastAsia="仿宋_GB2312"/>
          <w:b w:val="0"/>
          <w:sz w:val="32"/>
        </w:rPr>
        <w:t>2024年度一般公共预算财政拨款基本支出203.52万元，其中：</w:t>
      </w:r>
      <w:r>
        <w:rPr>
          <w:rFonts w:ascii="仿宋_GB2312" w:hAnsi="仿宋_GB2312" w:eastAsia="仿宋_GB2312"/>
          <w:b/>
          <w:sz w:val="32"/>
        </w:rPr>
        <w:t>人员经费188.56万元，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包括：基本工资、津贴补贴、奖金、机关事业单位基本养老保险缴费、职业年金缴费、职工基本医疗保险缴费、公务员医疗补助缴费、其他社会保障缴费、住房公积金、医疗费。</w:t>
      </w:r>
    </w:p>
    <w:p w14:paraId="25C855C0">
      <w:pPr>
        <w:spacing w:line="580" w:lineRule="exact"/>
        <w:ind w:firstLine="640"/>
        <w:jc w:val="both"/>
      </w:pPr>
      <w:r>
        <w:rPr>
          <w:rFonts w:ascii="仿宋_GB2312" w:hAnsi="仿宋_GB2312" w:eastAsia="仿宋_GB2312"/>
          <w:b/>
          <w:sz w:val="32"/>
        </w:rPr>
        <w:t>公用经费14.95万元，</w:t>
      </w:r>
      <w:r>
        <w:rPr>
          <w:rFonts w:ascii="仿宋_GB2312" w:hAnsi="仿宋_GB2312" w:eastAsia="仿宋_GB2312"/>
          <w:b w:val="0"/>
          <w:sz w:val="32"/>
        </w:rPr>
        <w:t>包括：办公费、印刷费、水费、电费、邮电费、取暖费、差旅费、工会经费、福利费、其他商品和服务支出。</w:t>
      </w:r>
    </w:p>
    <w:p w14:paraId="48E18B0A">
      <w:pPr>
        <w:spacing w:line="640" w:lineRule="exact"/>
        <w:ind w:firstLine="640"/>
        <w:jc w:val="both"/>
        <w:outlineLvl w:val="2"/>
      </w:pPr>
      <w:r>
        <w:rPr>
          <w:rFonts w:ascii="黑体" w:hAnsi="黑体" w:eastAsia="黑体"/>
          <w:sz w:val="32"/>
        </w:rPr>
        <w:t>七、政府性基金预算财政拨款收入支出决算情况说明</w:t>
      </w:r>
    </w:p>
    <w:p w14:paraId="1E29DA4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1C3A9C6">
      <w:pPr>
        <w:spacing w:line="640" w:lineRule="exact"/>
        <w:ind w:firstLine="640"/>
        <w:jc w:val="both"/>
        <w:outlineLvl w:val="2"/>
      </w:pPr>
      <w:r>
        <w:rPr>
          <w:rFonts w:ascii="黑体" w:hAnsi="黑体" w:eastAsia="黑体"/>
          <w:sz w:val="32"/>
        </w:rPr>
        <w:t>八、国有资本经营预算财政拨款收入支出决算情况说明</w:t>
      </w:r>
    </w:p>
    <w:p w14:paraId="34F477A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4BFCB6B">
      <w:pPr>
        <w:spacing w:line="640" w:lineRule="exact"/>
        <w:ind w:firstLine="640"/>
        <w:jc w:val="both"/>
        <w:outlineLvl w:val="2"/>
      </w:pPr>
      <w:r>
        <w:rPr>
          <w:rFonts w:ascii="黑体" w:hAnsi="黑体" w:eastAsia="黑体"/>
          <w:sz w:val="32"/>
        </w:rPr>
        <w:t>九、财政拨款“三公”经费支出决算情况说明</w:t>
      </w:r>
    </w:p>
    <w:p w14:paraId="0A7C488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2.10万元，下降100.00%，主要原因是：本单位公务用车划转至州组织部，本年无公务用车运行维护费。其中：因公出国（境）费支出0.00万元，占0.00%，比上年增加0.00万元，增长0.00%，主要原因是：2023年与2024年均未安排因公出国（境）费支出。公务用车购置及运行维护费支出0.00万元，占0.00%，比上年减少2.10万元，下降100.00%，主要原因是：本单位公务用车划转至州组织部，本年无公务用车运行维护费。公务接待费支出0.00万元，占0.00%，比上年增加0.00万元，增长0.00%，主要原因是：2023年与2024年均未安排公务接待费支出。</w:t>
      </w:r>
    </w:p>
    <w:p w14:paraId="61AE76CD">
      <w:pPr>
        <w:spacing w:line="580" w:lineRule="exact"/>
        <w:ind w:firstLine="640"/>
        <w:jc w:val="both"/>
      </w:pPr>
      <w:r>
        <w:rPr>
          <w:rFonts w:ascii="仿宋_GB2312" w:hAnsi="仿宋_GB2312" w:eastAsia="仿宋_GB2312"/>
          <w:b/>
          <w:sz w:val="32"/>
        </w:rPr>
        <w:t>具体情况如下：</w:t>
      </w:r>
    </w:p>
    <w:p w14:paraId="1337BA8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A4FDEB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C0435A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4896B6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33AC97E">
      <w:pPr>
        <w:spacing w:line="640" w:lineRule="exact"/>
        <w:ind w:firstLine="640"/>
        <w:jc w:val="both"/>
        <w:outlineLvl w:val="2"/>
      </w:pPr>
      <w:r>
        <w:rPr>
          <w:rFonts w:ascii="黑体" w:hAnsi="黑体" w:eastAsia="黑体"/>
          <w:sz w:val="32"/>
        </w:rPr>
        <w:t>十、其他重要事项的情况说明</w:t>
      </w:r>
    </w:p>
    <w:p w14:paraId="7F27B054">
      <w:pPr>
        <w:spacing w:line="640" w:lineRule="exact"/>
        <w:ind w:firstLine="640"/>
        <w:jc w:val="both"/>
        <w:outlineLvl w:val="3"/>
      </w:pPr>
      <w:r>
        <w:rPr>
          <w:rFonts w:ascii="楷体_GB2312" w:hAnsi="楷体_GB2312" w:eastAsia="楷体_GB2312"/>
          <w:b/>
          <w:sz w:val="32"/>
        </w:rPr>
        <w:t>（一）机关运行经费及公用经费支出情况</w:t>
      </w:r>
    </w:p>
    <w:p w14:paraId="7B73FA5B">
      <w:pPr>
        <w:spacing w:line="580" w:lineRule="exact"/>
        <w:ind w:firstLine="640"/>
        <w:jc w:val="both"/>
      </w:pPr>
      <w:r>
        <w:rPr>
          <w:rFonts w:ascii="仿宋_GB2312" w:hAnsi="仿宋_GB2312" w:eastAsia="仿宋_GB2312"/>
          <w:b w:val="0"/>
          <w:sz w:val="32"/>
        </w:rPr>
        <w:t>2024年度昌吉回族自治州党员教育中心（昌吉回族自治州党员干部远程教育工作办公室）（行政单位和参照公务员法管理事业单位）机关运行经费支出14.95万元，比上年减少5.81万元，下降27.99%，主要原因是：本年减少外出培训，交通费及差旅费经费减少，导致机关运行经费减少。</w:t>
      </w:r>
    </w:p>
    <w:p w14:paraId="74F2FD3D">
      <w:pPr>
        <w:spacing w:line="640" w:lineRule="exact"/>
        <w:ind w:firstLine="640"/>
        <w:jc w:val="both"/>
        <w:outlineLvl w:val="3"/>
      </w:pPr>
      <w:r>
        <w:rPr>
          <w:rFonts w:ascii="楷体_GB2312" w:hAnsi="楷体_GB2312" w:eastAsia="楷体_GB2312"/>
          <w:b/>
          <w:sz w:val="32"/>
        </w:rPr>
        <w:t>（二）政府采购情况</w:t>
      </w:r>
    </w:p>
    <w:p w14:paraId="6B0FDE2A">
      <w:pPr>
        <w:spacing w:line="580" w:lineRule="exact"/>
        <w:ind w:firstLine="640"/>
        <w:jc w:val="both"/>
      </w:pPr>
      <w:r>
        <w:rPr>
          <w:rFonts w:ascii="仿宋_GB2312" w:hAnsi="仿宋_GB2312" w:eastAsia="仿宋_GB2312"/>
          <w:b w:val="0"/>
          <w:sz w:val="32"/>
        </w:rPr>
        <w:t>2024年度政府采购支出总额0.34万元，其中：政府采购货物支出0.00万元、政府采购工程支出0.00万元、政府采购服务支出0.34万元。</w:t>
      </w:r>
    </w:p>
    <w:p w14:paraId="32FA8827">
      <w:pPr>
        <w:spacing w:line="580" w:lineRule="exact"/>
        <w:ind w:firstLine="640"/>
        <w:jc w:val="both"/>
      </w:pPr>
      <w:r>
        <w:rPr>
          <w:rFonts w:ascii="仿宋_GB2312" w:hAnsi="仿宋_GB2312" w:eastAsia="仿宋_GB2312"/>
          <w:b w:val="0"/>
          <w:sz w:val="32"/>
        </w:rPr>
        <w:t>授予中小企业合同金额0.34万元，占政府采购支出总额的100.00%，其中：授予小微企业合同金额0.34万元，占政府采购支出总额的100.00%。</w:t>
      </w:r>
    </w:p>
    <w:p w14:paraId="041DECFB">
      <w:pPr>
        <w:spacing w:line="640" w:lineRule="exact"/>
        <w:ind w:firstLine="640"/>
        <w:jc w:val="both"/>
        <w:outlineLvl w:val="3"/>
      </w:pPr>
      <w:r>
        <w:rPr>
          <w:rFonts w:ascii="楷体_GB2312" w:hAnsi="楷体_GB2312" w:eastAsia="楷体_GB2312"/>
          <w:b/>
          <w:sz w:val="32"/>
        </w:rPr>
        <w:t>（三）国有资产占用情况说明</w:t>
      </w:r>
    </w:p>
    <w:p w14:paraId="49F8F89D">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E0D7397">
      <w:pPr>
        <w:spacing w:line="640" w:lineRule="exact"/>
        <w:ind w:firstLine="640"/>
        <w:jc w:val="both"/>
        <w:outlineLvl w:val="2"/>
      </w:pPr>
      <w:r>
        <w:rPr>
          <w:rFonts w:ascii="黑体" w:hAnsi="黑体" w:eastAsia="黑体"/>
          <w:sz w:val="32"/>
        </w:rPr>
        <w:t>十一、预算绩效的情况说明</w:t>
      </w:r>
    </w:p>
    <w:p w14:paraId="1813D35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255.95万元，实际执行总额254.91万元；预算绩效评价项目2个，全年预算数51.04万元，全年执行数51.04万元。预算绩效管理取得的成效：一是有效控制了预算执行，使</w:t>
      </w:r>
      <w:r>
        <w:rPr>
          <w:rFonts w:hint="eastAsia" w:ascii="仿宋_GB2312" w:hAnsi="仿宋_GB2312" w:eastAsia="仿宋_GB2312"/>
          <w:b w:val="0"/>
          <w:sz w:val="32"/>
          <w:lang w:eastAsia="zh-CN"/>
        </w:rPr>
        <w:t>本单位</w:t>
      </w:r>
      <w:r>
        <w:rPr>
          <w:rFonts w:ascii="仿宋_GB2312" w:hAnsi="仿宋_GB2312" w:eastAsia="仿宋_GB2312"/>
          <w:b w:val="0"/>
          <w:sz w:val="32"/>
        </w:rPr>
        <w:t>在预算执行过程中，能够更好地使用项目资金，避免资金浪费；二是规范了流程，预算绩效管理让业务科室能够规范项目资金使用，简化了工作流程。发现的问题及原因：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发挥其综合价值。下一步改进措施：一是加强业务培训，由综合科牵头对各科室开展预算项目资金使用全流程进行培训；二是强化档案管理，在预算制定后做好相关进展情</w:t>
      </w:r>
      <w:r>
        <w:rPr>
          <w:rFonts w:hint="eastAsia" w:ascii="仿宋_GB2312" w:hAnsi="仿宋_GB2312" w:eastAsia="仿宋_GB2312"/>
          <w:b w:val="0"/>
          <w:sz w:val="32"/>
          <w:lang w:eastAsia="zh-CN"/>
        </w:rPr>
        <w:t>况和</w:t>
      </w:r>
      <w:r>
        <w:rPr>
          <w:rFonts w:ascii="仿宋_GB2312" w:hAnsi="仿宋_GB2312" w:eastAsia="仿宋_GB2312"/>
          <w:b w:val="0"/>
          <w:sz w:val="32"/>
        </w:rPr>
        <w:t>档案资料的收集，筹备做好印证资料的管理。具</w:t>
      </w:r>
      <w:bookmarkStart w:id="0" w:name="_GoBack"/>
      <w:r>
        <w:rPr>
          <w:rFonts w:ascii="仿宋_GB2312" w:hAnsi="仿宋_GB2312" w:eastAsia="仿宋_GB2312"/>
          <w:b w:val="0"/>
          <w:sz w:val="32"/>
        </w:rPr>
        <w:t>体附整体支出绩效自评表，项目支出绩效自评表和评价报告。</w:t>
      </w:r>
    </w:p>
    <w:bookmarkEnd w:id="0"/>
    <w:p w14:paraId="3C05690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81"/>
        <w:gridCol w:w="785"/>
        <w:gridCol w:w="983"/>
        <w:gridCol w:w="983"/>
      </w:tblGrid>
      <w:tr w14:paraId="2243DCE0">
        <w:tblPrEx>
          <w:tblCellMar>
            <w:top w:w="0" w:type="dxa"/>
            <w:left w:w="108" w:type="dxa"/>
            <w:bottom w:w="0" w:type="dxa"/>
            <w:right w:w="108" w:type="dxa"/>
          </w:tblCellMar>
        </w:tblPrEx>
        <w:tc>
          <w:tcPr>
            <w:tcW w:w="8847" w:type="dxa"/>
            <w:gridSpan w:val="9"/>
            <w:vAlign w:val="center"/>
          </w:tcPr>
          <w:p w14:paraId="63D88688">
            <w:pPr>
              <w:jc w:val="center"/>
            </w:pPr>
            <w:r>
              <w:rPr>
                <w:rFonts w:ascii="宋体" w:hAnsi="宋体" w:eastAsia="宋体"/>
                <w:sz w:val="24"/>
              </w:rPr>
              <w:t>单位整体支出绩效自评表</w:t>
            </w:r>
          </w:p>
        </w:tc>
      </w:tr>
      <w:tr w14:paraId="4D0DE5DE">
        <w:tblPrEx>
          <w:tblCellMar>
            <w:top w:w="0" w:type="dxa"/>
            <w:left w:w="108" w:type="dxa"/>
            <w:bottom w:w="0" w:type="dxa"/>
            <w:right w:w="108" w:type="dxa"/>
          </w:tblCellMar>
        </w:tblPrEx>
        <w:tc>
          <w:tcPr>
            <w:tcW w:w="8847" w:type="dxa"/>
            <w:gridSpan w:val="9"/>
            <w:vAlign w:val="center"/>
          </w:tcPr>
          <w:p w14:paraId="0924403F">
            <w:pPr>
              <w:jc w:val="center"/>
            </w:pPr>
            <w:r>
              <w:rPr>
                <w:rFonts w:ascii="宋体" w:hAnsi="宋体" w:eastAsia="宋体"/>
                <w:sz w:val="24"/>
              </w:rPr>
              <w:t>（2024年度）</w:t>
            </w:r>
          </w:p>
        </w:tc>
      </w:tr>
      <w:tr w14:paraId="253351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2FA5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E09B8F6">
            <w:pPr>
              <w:jc w:val="center"/>
            </w:pPr>
            <w:r>
              <w:rPr>
                <w:rFonts w:ascii="宋体" w:hAnsi="宋体" w:eastAsia="宋体"/>
                <w:sz w:val="16"/>
              </w:rPr>
              <w:t>昌吉回族自治州党员教育中心（昌吉回族自治州党员干部远程教育工作办公室）</w:t>
            </w:r>
          </w:p>
        </w:tc>
      </w:tr>
      <w:tr w14:paraId="349EE2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A475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9599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B248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7A32E">
            <w:pPr>
              <w:jc w:val="center"/>
            </w:pPr>
            <w:r>
              <w:rPr>
                <w:rFonts w:ascii="宋体" w:hAnsi="宋体" w:eastAsia="宋体"/>
                <w:sz w:val="16"/>
              </w:rPr>
              <w:t>全年预算数</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1828EFCA">
            <w:pPr>
              <w:jc w:val="center"/>
            </w:pPr>
            <w:r>
              <w:rPr>
                <w:rFonts w:ascii="宋体" w:hAnsi="宋体" w:eastAsia="宋体"/>
                <w:sz w:val="16"/>
              </w:rPr>
              <w:t>全年执行数</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47B3899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7B49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9A021">
            <w:pPr>
              <w:jc w:val="center"/>
            </w:pPr>
            <w:r>
              <w:rPr>
                <w:rFonts w:ascii="宋体" w:hAnsi="宋体" w:eastAsia="宋体"/>
                <w:sz w:val="16"/>
              </w:rPr>
              <w:t>得分</w:t>
            </w:r>
          </w:p>
        </w:tc>
      </w:tr>
      <w:tr w14:paraId="386314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3C2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5FBC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449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B1498">
            <w:pPr>
              <w:jc w:val="center"/>
            </w:pPr>
            <w:r>
              <w:rPr>
                <w:rFonts w:ascii="宋体" w:hAnsi="宋体" w:eastAsia="宋体"/>
                <w:sz w:val="16"/>
              </w:rPr>
              <w:t>0.00</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5620FBAC">
            <w:pPr>
              <w:jc w:val="center"/>
            </w:pPr>
            <w:r>
              <w:rPr>
                <w:rFonts w:ascii="宋体" w:hAnsi="宋体" w:eastAsia="宋体"/>
                <w:sz w:val="16"/>
              </w:rPr>
              <w:t>0.00</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273D07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403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09328">
            <w:pPr>
              <w:jc w:val="center"/>
            </w:pPr>
            <w:r>
              <w:rPr>
                <w:rFonts w:ascii="宋体" w:hAnsi="宋体" w:eastAsia="宋体"/>
                <w:sz w:val="16"/>
              </w:rPr>
              <w:t>-</w:t>
            </w:r>
          </w:p>
        </w:tc>
      </w:tr>
      <w:tr w14:paraId="5BF15F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42B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C16C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BB7E4">
            <w:pPr>
              <w:jc w:val="center"/>
            </w:pPr>
            <w:r>
              <w:rPr>
                <w:rFonts w:ascii="宋体" w:hAnsi="宋体" w:eastAsia="宋体"/>
                <w:sz w:val="16"/>
              </w:rPr>
              <w:t>239.59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8554D">
            <w:pPr>
              <w:jc w:val="center"/>
            </w:pPr>
            <w:r>
              <w:rPr>
                <w:rFonts w:ascii="宋体" w:hAnsi="宋体" w:eastAsia="宋体"/>
                <w:sz w:val="16"/>
              </w:rPr>
              <w:t>255.95</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0763A0F7">
            <w:pPr>
              <w:jc w:val="center"/>
            </w:pPr>
            <w:r>
              <w:rPr>
                <w:rFonts w:ascii="宋体" w:hAnsi="宋体" w:eastAsia="宋体"/>
                <w:sz w:val="16"/>
              </w:rPr>
              <w:t>254.91</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0F1077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8E1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4EB1E">
            <w:pPr>
              <w:jc w:val="center"/>
            </w:pPr>
            <w:r>
              <w:rPr>
                <w:rFonts w:ascii="宋体" w:hAnsi="宋体" w:eastAsia="宋体"/>
                <w:sz w:val="16"/>
              </w:rPr>
              <w:t>-</w:t>
            </w:r>
          </w:p>
        </w:tc>
      </w:tr>
      <w:tr w14:paraId="18FF7A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6255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51E5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E0C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26D68">
            <w:pPr>
              <w:jc w:val="center"/>
            </w:pPr>
            <w:r>
              <w:rPr>
                <w:rFonts w:ascii="宋体" w:hAnsi="宋体" w:eastAsia="宋体"/>
                <w:sz w:val="16"/>
              </w:rPr>
              <w:t>0.00</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2C46A84A">
            <w:pPr>
              <w:jc w:val="center"/>
            </w:pPr>
            <w:r>
              <w:rPr>
                <w:rFonts w:ascii="宋体" w:hAnsi="宋体" w:eastAsia="宋体"/>
                <w:sz w:val="16"/>
              </w:rPr>
              <w:t>0.00</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6C5960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DB8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A4B6E">
            <w:pPr>
              <w:jc w:val="center"/>
            </w:pPr>
            <w:r>
              <w:rPr>
                <w:rFonts w:ascii="宋体" w:hAnsi="宋体" w:eastAsia="宋体"/>
                <w:sz w:val="16"/>
              </w:rPr>
              <w:t>-</w:t>
            </w:r>
          </w:p>
        </w:tc>
      </w:tr>
      <w:tr w14:paraId="759EB7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4E2D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F666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4CD57">
            <w:pPr>
              <w:jc w:val="center"/>
            </w:pPr>
            <w:r>
              <w:rPr>
                <w:rFonts w:ascii="宋体" w:hAnsi="宋体" w:eastAsia="宋体"/>
                <w:sz w:val="16"/>
              </w:rPr>
              <w:t>239.59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C2678">
            <w:pPr>
              <w:jc w:val="center"/>
            </w:pPr>
            <w:r>
              <w:rPr>
                <w:rFonts w:ascii="宋体" w:hAnsi="宋体" w:eastAsia="宋体"/>
                <w:sz w:val="16"/>
              </w:rPr>
              <w:t>255.95</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0983C104">
            <w:pPr>
              <w:jc w:val="center"/>
            </w:pPr>
            <w:r>
              <w:rPr>
                <w:rFonts w:ascii="宋体" w:hAnsi="宋体" w:eastAsia="宋体"/>
                <w:sz w:val="16"/>
              </w:rPr>
              <w:t>254.91</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79E84F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F9815">
            <w:pPr>
              <w:jc w:val="center"/>
            </w:pPr>
            <w:r>
              <w:rPr>
                <w:rFonts w:ascii="宋体" w:hAnsi="宋体" w:eastAsia="宋体"/>
                <w:sz w:val="16"/>
              </w:rPr>
              <w:t>99.59%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3B10A">
            <w:pPr>
              <w:jc w:val="center"/>
            </w:pPr>
            <w:r>
              <w:rPr>
                <w:rFonts w:ascii="宋体" w:hAnsi="宋体" w:eastAsia="宋体"/>
                <w:sz w:val="16"/>
              </w:rPr>
              <w:t>9.96</w:t>
            </w:r>
          </w:p>
        </w:tc>
      </w:tr>
      <w:tr w14:paraId="28C4F1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E16E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D653A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DD9F14">
            <w:pPr>
              <w:jc w:val="center"/>
            </w:pPr>
            <w:r>
              <w:rPr>
                <w:rFonts w:ascii="宋体" w:hAnsi="宋体" w:eastAsia="宋体"/>
                <w:sz w:val="16"/>
              </w:rPr>
              <w:t>实际完成情况</w:t>
            </w:r>
          </w:p>
        </w:tc>
      </w:tr>
      <w:tr w14:paraId="174C27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90A2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AF127F">
            <w:pPr>
              <w:jc w:val="both"/>
            </w:pPr>
            <w:r>
              <w:rPr>
                <w:rFonts w:ascii="宋体" w:hAnsi="宋体" w:eastAsia="宋体"/>
                <w:sz w:val="16"/>
              </w:rPr>
              <w:t>保障中心在职人员工资、社保及公积金等支出，确保人员工作正常运行。做好教学资源建设和党员教育培训工作，主要完成昌吉党建网和学考系统日常运行维护、教学资源建设、党员教育培训等项目。年内至少完成4部党员教育教学资源片拍摄制作、2期区州重点培训任务，提升党员培训人次，营造先进学习的浓厚氛围。</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F5648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全年预算数为255.95万元，全年执行数为254.91万元，总预算执行率为99.59%。2024年</w:t>
            </w:r>
            <w:r>
              <w:rPr>
                <w:rFonts w:hint="eastAsia" w:ascii="宋体" w:hAnsi="宋体"/>
                <w:sz w:val="16"/>
                <w:lang w:eastAsia="zh-CN"/>
              </w:rPr>
              <w:t>本单位</w:t>
            </w:r>
            <w:r>
              <w:rPr>
                <w:rFonts w:ascii="宋体" w:hAnsi="宋体" w:eastAsia="宋体"/>
                <w:sz w:val="16"/>
              </w:rPr>
              <w:t>完成以下工作内容：1.完成中心在职人员工资、社保及公积金等支出，确保人员工资正常运行。2.完成教学资源建设和党员教育培训工作，完成昌吉党建网和学号系统日常运行维护、教学资源建设、党员教育培训等项目。3.完成5部党员教育教学资源片拍摄制作、2期区州重点培训任务。通过以上工作的实施，党员教育工作水平不断提升。</w:t>
            </w:r>
          </w:p>
        </w:tc>
      </w:tr>
      <w:tr w14:paraId="3E658BE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88C3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CEFF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260B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D53A6">
            <w:pPr>
              <w:jc w:val="center"/>
            </w:pPr>
            <w:r>
              <w:rPr>
                <w:rFonts w:ascii="宋体" w:hAnsi="宋体" w:eastAsia="宋体"/>
                <w:sz w:val="16"/>
              </w:rPr>
              <w:t>预期指标值</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188B8B54">
            <w:pPr>
              <w:jc w:val="center"/>
            </w:pPr>
            <w:r>
              <w:rPr>
                <w:rFonts w:ascii="宋体" w:hAnsi="宋体" w:eastAsia="宋体"/>
                <w:sz w:val="16"/>
              </w:rPr>
              <w:t>指标值设定依据</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58124D0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B56E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03706">
            <w:pPr>
              <w:jc w:val="center"/>
            </w:pPr>
            <w:r>
              <w:rPr>
                <w:rFonts w:ascii="宋体" w:hAnsi="宋体" w:eastAsia="宋体"/>
                <w:sz w:val="16"/>
              </w:rPr>
              <w:t>得分</w:t>
            </w:r>
          </w:p>
        </w:tc>
      </w:tr>
      <w:tr w14:paraId="633DC73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B0CE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DB92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B0A7E">
            <w:pPr>
              <w:jc w:val="center"/>
            </w:pPr>
            <w:r>
              <w:rPr>
                <w:rFonts w:ascii="宋体" w:hAnsi="宋体" w:eastAsia="宋体"/>
                <w:sz w:val="16"/>
              </w:rPr>
              <w:t>做好党员教育工作完成区级示范培训班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51E50">
            <w:pPr>
              <w:jc w:val="center"/>
            </w:pPr>
            <w:r>
              <w:rPr>
                <w:rFonts w:ascii="宋体" w:hAnsi="宋体" w:eastAsia="宋体"/>
                <w:sz w:val="16"/>
              </w:rPr>
              <w:t>&gt;=1期</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10E6C3D0">
            <w:pPr>
              <w:jc w:val="center"/>
            </w:pPr>
            <w:r>
              <w:rPr>
                <w:rFonts w:ascii="宋体" w:hAnsi="宋体" w:eastAsia="宋体"/>
                <w:sz w:val="16"/>
              </w:rPr>
              <w:t>昌吉州党员教育中心2024年工作计划</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1632886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D770B">
            <w:pPr>
              <w:jc w:val="center"/>
            </w:pPr>
            <w:r>
              <w:rPr>
                <w:rFonts w:ascii="宋体" w:hAnsi="宋体" w:eastAsia="宋体"/>
                <w:sz w:val="16"/>
              </w:rPr>
              <w:t>=1期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25491">
            <w:pPr>
              <w:jc w:val="center"/>
            </w:pPr>
            <w:r>
              <w:rPr>
                <w:rFonts w:ascii="宋体" w:hAnsi="宋体" w:eastAsia="宋体"/>
                <w:sz w:val="16"/>
              </w:rPr>
              <w:t>20</w:t>
            </w:r>
          </w:p>
        </w:tc>
      </w:tr>
      <w:tr w14:paraId="61A46E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365B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3C0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134BC">
            <w:pPr>
              <w:jc w:val="center"/>
            </w:pPr>
            <w:r>
              <w:rPr>
                <w:rFonts w:ascii="宋体" w:hAnsi="宋体" w:eastAsia="宋体"/>
                <w:sz w:val="16"/>
              </w:rPr>
              <w:t>业务骨干培训次数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F1D5F">
            <w:pPr>
              <w:jc w:val="center"/>
            </w:pPr>
            <w:r>
              <w:rPr>
                <w:rFonts w:ascii="宋体" w:hAnsi="宋体" w:eastAsia="宋体"/>
                <w:sz w:val="16"/>
              </w:rPr>
              <w:t>=1次</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17E95B56">
            <w:pPr>
              <w:jc w:val="center"/>
            </w:pPr>
            <w:r>
              <w:rPr>
                <w:rFonts w:ascii="宋体" w:hAnsi="宋体" w:eastAsia="宋体"/>
                <w:sz w:val="16"/>
              </w:rPr>
              <w:t>昌吉州党员教育中心2024年工作计划</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1C267B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02D2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A3CD8">
            <w:pPr>
              <w:jc w:val="center"/>
            </w:pPr>
            <w:r>
              <w:rPr>
                <w:rFonts w:ascii="宋体" w:hAnsi="宋体" w:eastAsia="宋体"/>
                <w:sz w:val="16"/>
              </w:rPr>
              <w:t>15</w:t>
            </w:r>
          </w:p>
        </w:tc>
      </w:tr>
      <w:tr w14:paraId="25621E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9CC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A496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0A530">
            <w:pPr>
              <w:jc w:val="center"/>
            </w:pPr>
            <w:r>
              <w:rPr>
                <w:rFonts w:ascii="宋体" w:hAnsi="宋体" w:eastAsia="宋体"/>
                <w:sz w:val="16"/>
              </w:rPr>
              <w:t>教学资源电视片拍摄数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49249">
            <w:pPr>
              <w:jc w:val="center"/>
            </w:pPr>
            <w:r>
              <w:rPr>
                <w:rFonts w:ascii="宋体" w:hAnsi="宋体" w:eastAsia="宋体"/>
                <w:sz w:val="16"/>
              </w:rPr>
              <w:t>&gt;=5部</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79D01348">
            <w:pPr>
              <w:jc w:val="center"/>
            </w:pPr>
            <w:r>
              <w:rPr>
                <w:rFonts w:ascii="宋体" w:hAnsi="宋体" w:eastAsia="宋体"/>
                <w:sz w:val="16"/>
              </w:rPr>
              <w:t>昌吉州党员教育中心2024年工作计划</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0EEDB80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E25F7">
            <w:pPr>
              <w:jc w:val="center"/>
            </w:pPr>
            <w:r>
              <w:rPr>
                <w:rFonts w:ascii="宋体" w:hAnsi="宋体" w:eastAsia="宋体"/>
                <w:sz w:val="16"/>
              </w:rPr>
              <w:t>=5部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636CF">
            <w:pPr>
              <w:jc w:val="center"/>
            </w:pPr>
            <w:r>
              <w:rPr>
                <w:rFonts w:ascii="宋体" w:hAnsi="宋体" w:eastAsia="宋体"/>
                <w:sz w:val="16"/>
              </w:rPr>
              <w:t>20</w:t>
            </w:r>
          </w:p>
        </w:tc>
      </w:tr>
      <w:tr w14:paraId="04C80D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6DD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CC9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E6316">
            <w:pPr>
              <w:jc w:val="center"/>
            </w:pPr>
            <w:r>
              <w:rPr>
                <w:rFonts w:ascii="宋体" w:hAnsi="宋体" w:eastAsia="宋体"/>
                <w:sz w:val="16"/>
              </w:rPr>
              <w:t>完成农牧民党员专题培训班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21BDB">
            <w:pPr>
              <w:jc w:val="center"/>
            </w:pPr>
            <w:r>
              <w:rPr>
                <w:rFonts w:ascii="宋体" w:hAnsi="宋体" w:eastAsia="宋体"/>
                <w:sz w:val="16"/>
              </w:rPr>
              <w:t>&gt;=1期</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7221A70E">
            <w:pPr>
              <w:jc w:val="center"/>
            </w:pPr>
            <w:r>
              <w:rPr>
                <w:rFonts w:ascii="宋体" w:hAnsi="宋体" w:eastAsia="宋体"/>
                <w:sz w:val="16"/>
              </w:rPr>
              <w:t>昌吉州党员教育中心2024年工作计划</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25903C6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A4681">
            <w:pPr>
              <w:jc w:val="center"/>
            </w:pPr>
            <w:r>
              <w:rPr>
                <w:rFonts w:ascii="宋体" w:hAnsi="宋体" w:eastAsia="宋体"/>
                <w:sz w:val="16"/>
              </w:rPr>
              <w:t>=1期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315D8">
            <w:pPr>
              <w:jc w:val="center"/>
            </w:pPr>
            <w:r>
              <w:rPr>
                <w:rFonts w:ascii="宋体" w:hAnsi="宋体" w:eastAsia="宋体"/>
                <w:sz w:val="16"/>
              </w:rPr>
              <w:t>15</w:t>
            </w:r>
          </w:p>
        </w:tc>
      </w:tr>
      <w:tr w14:paraId="484C5D7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CFF96">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8FCB3">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C9AA3">
            <w:pPr>
              <w:jc w:val="center"/>
            </w:pPr>
            <w:r>
              <w:rPr>
                <w:rFonts w:ascii="宋体" w:hAnsi="宋体" w:eastAsia="宋体"/>
                <w:sz w:val="16"/>
              </w:rPr>
              <w:t>党员满意度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DF28D">
            <w:pPr>
              <w:jc w:val="center"/>
            </w:pPr>
            <w:r>
              <w:rPr>
                <w:rFonts w:ascii="宋体" w:hAnsi="宋体" w:eastAsia="宋体"/>
                <w:sz w:val="16"/>
              </w:rPr>
              <w:t>&gt;=95%</w:t>
            </w:r>
          </w:p>
        </w:tc>
        <w:tc>
          <w:tcPr>
            <w:tcW w:w="1181" w:type="dxa"/>
            <w:tcBorders>
              <w:top w:val="single" w:color="auto" w:sz="10" w:space="0"/>
              <w:left w:val="single" w:color="auto" w:sz="10" w:space="0"/>
              <w:bottom w:val="single" w:color="auto" w:sz="10" w:space="0"/>
              <w:right w:val="single" w:color="auto" w:sz="10" w:space="0"/>
              <w:insideV w:val="single" w:sz="10" w:space="0"/>
            </w:tcBorders>
            <w:vAlign w:val="center"/>
          </w:tcPr>
          <w:p w14:paraId="0C26D403">
            <w:pPr>
              <w:jc w:val="center"/>
            </w:pPr>
            <w:r>
              <w:rPr>
                <w:rFonts w:ascii="宋体" w:hAnsi="宋体" w:eastAsia="宋体"/>
                <w:sz w:val="16"/>
              </w:rPr>
              <w:t>昌吉州党员教育中心2024年工作计划</w:t>
            </w:r>
          </w:p>
        </w:tc>
        <w:tc>
          <w:tcPr>
            <w:tcW w:w="785" w:type="dxa"/>
            <w:tcBorders>
              <w:top w:val="single" w:color="auto" w:sz="10" w:space="0"/>
              <w:left w:val="single" w:color="auto" w:sz="10" w:space="0"/>
              <w:bottom w:val="single" w:color="auto" w:sz="10" w:space="0"/>
              <w:right w:val="single" w:color="auto" w:sz="10" w:space="0"/>
              <w:insideV w:val="single" w:sz="10" w:space="0"/>
            </w:tcBorders>
            <w:vAlign w:val="center"/>
          </w:tcPr>
          <w:p w14:paraId="3162A3A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7D42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E25AA">
            <w:pPr>
              <w:jc w:val="center"/>
            </w:pPr>
            <w:r>
              <w:rPr>
                <w:rFonts w:ascii="宋体" w:hAnsi="宋体" w:eastAsia="宋体"/>
                <w:sz w:val="16"/>
              </w:rPr>
              <w:t>20</w:t>
            </w:r>
          </w:p>
        </w:tc>
      </w:tr>
    </w:tbl>
    <w:p w14:paraId="2B52ABD2">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034716B5">
        <w:tc>
          <w:tcPr>
            <w:tcW w:w="8848" w:type="dxa"/>
            <w:gridSpan w:val="14"/>
            <w:vAlign w:val="center"/>
          </w:tcPr>
          <w:p w14:paraId="3C425EE5">
            <w:pPr>
              <w:jc w:val="center"/>
            </w:pPr>
            <w:r>
              <w:rPr>
                <w:rFonts w:ascii="宋体" w:hAnsi="宋体" w:eastAsia="宋体"/>
                <w:sz w:val="24"/>
              </w:rPr>
              <w:t>项目支出绩效自评表</w:t>
            </w:r>
          </w:p>
        </w:tc>
      </w:tr>
      <w:tr w14:paraId="07CF621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512DF8">
            <w:pPr>
              <w:jc w:val="center"/>
            </w:pPr>
            <w:r>
              <w:rPr>
                <w:rFonts w:ascii="宋体" w:hAnsi="宋体" w:eastAsia="宋体"/>
                <w:sz w:val="24"/>
              </w:rPr>
              <w:t>(2024年度)</w:t>
            </w:r>
          </w:p>
        </w:tc>
      </w:tr>
      <w:tr w14:paraId="4A2760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13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4572EA">
            <w:pPr>
              <w:jc w:val="center"/>
            </w:pPr>
            <w:r>
              <w:rPr>
                <w:rFonts w:ascii="宋体" w:hAnsi="宋体" w:eastAsia="宋体"/>
                <w:sz w:val="16"/>
              </w:rPr>
              <w:t>昌吉州党员教育运转保障经费</w:t>
            </w:r>
          </w:p>
        </w:tc>
      </w:tr>
      <w:tr w14:paraId="7A5864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42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28D277">
            <w:pPr>
              <w:jc w:val="center"/>
            </w:pPr>
            <w:r>
              <w:rPr>
                <w:rFonts w:hint="eastAsia"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1B0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105479">
            <w:pPr>
              <w:jc w:val="center"/>
            </w:pPr>
            <w:r>
              <w:rPr>
                <w:rFonts w:ascii="宋体" w:hAnsi="宋体" w:eastAsia="宋体"/>
                <w:sz w:val="16"/>
              </w:rPr>
              <w:t>昌吉回族自治州党员干部现代远程教育管理中心</w:t>
            </w:r>
          </w:p>
        </w:tc>
      </w:tr>
      <w:tr w14:paraId="0C6691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3E4B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A22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BC9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6C0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C79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66C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F50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FCA3">
            <w:pPr>
              <w:jc w:val="center"/>
            </w:pPr>
            <w:r>
              <w:rPr>
                <w:rFonts w:ascii="宋体" w:hAnsi="宋体" w:eastAsia="宋体"/>
                <w:sz w:val="16"/>
              </w:rPr>
              <w:t>得分</w:t>
            </w:r>
          </w:p>
        </w:tc>
      </w:tr>
      <w:tr w14:paraId="0E586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E98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98C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78C2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465D8">
            <w:pPr>
              <w:jc w:val="center"/>
            </w:pPr>
            <w:r>
              <w:rPr>
                <w:rFonts w:ascii="宋体" w:hAnsi="宋体" w:eastAsia="宋体"/>
                <w:sz w:val="16"/>
              </w:rPr>
              <w:t>33.04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1F441">
            <w:pPr>
              <w:jc w:val="center"/>
            </w:pPr>
            <w:r>
              <w:rPr>
                <w:rFonts w:ascii="宋体" w:hAnsi="宋体" w:eastAsia="宋体"/>
                <w:sz w:val="16"/>
              </w:rPr>
              <w:t>33.04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980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86DF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D2B9">
            <w:pPr>
              <w:jc w:val="center"/>
            </w:pPr>
            <w:r>
              <w:rPr>
                <w:rFonts w:ascii="宋体" w:hAnsi="宋体" w:eastAsia="宋体"/>
                <w:sz w:val="16"/>
              </w:rPr>
              <w:t>10.00</w:t>
            </w:r>
          </w:p>
        </w:tc>
      </w:tr>
      <w:tr w14:paraId="4C6A00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62A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9441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0B24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0784E">
            <w:pPr>
              <w:jc w:val="center"/>
            </w:pPr>
            <w:r>
              <w:rPr>
                <w:rFonts w:ascii="宋体" w:hAnsi="宋体" w:eastAsia="宋体"/>
                <w:sz w:val="16"/>
              </w:rPr>
              <w:t>33.04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77DFC">
            <w:pPr>
              <w:jc w:val="center"/>
            </w:pPr>
            <w:r>
              <w:rPr>
                <w:rFonts w:ascii="宋体" w:hAnsi="宋体" w:eastAsia="宋体"/>
                <w:sz w:val="16"/>
              </w:rPr>
              <w:t>33.04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AAE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A18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19750">
            <w:pPr>
              <w:jc w:val="center"/>
            </w:pPr>
            <w:r>
              <w:rPr>
                <w:rFonts w:ascii="宋体" w:hAnsi="宋体" w:eastAsia="宋体"/>
                <w:sz w:val="16"/>
              </w:rPr>
              <w:t>—</w:t>
            </w:r>
          </w:p>
        </w:tc>
      </w:tr>
      <w:tr w14:paraId="00C9B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0AA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1A4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995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022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383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505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02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0F69">
            <w:pPr>
              <w:jc w:val="center"/>
            </w:pPr>
            <w:r>
              <w:rPr>
                <w:rFonts w:ascii="宋体" w:hAnsi="宋体" w:eastAsia="宋体"/>
                <w:sz w:val="16"/>
              </w:rPr>
              <w:t>—</w:t>
            </w:r>
          </w:p>
        </w:tc>
      </w:tr>
      <w:tr w14:paraId="4B87CF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EE5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5BA8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0F991C">
            <w:pPr>
              <w:jc w:val="center"/>
            </w:pPr>
            <w:r>
              <w:rPr>
                <w:rFonts w:ascii="宋体" w:hAnsi="宋体" w:eastAsia="宋体"/>
                <w:sz w:val="16"/>
              </w:rPr>
              <w:t>实际完成情况</w:t>
            </w:r>
          </w:p>
        </w:tc>
      </w:tr>
      <w:tr w14:paraId="64227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D48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163D6">
            <w:pPr>
              <w:jc w:val="both"/>
            </w:pPr>
            <w:r>
              <w:rPr>
                <w:rFonts w:ascii="宋体" w:hAnsi="宋体" w:eastAsia="宋体"/>
                <w:sz w:val="16"/>
              </w:rPr>
              <w:t>做好教学资源建设和党员教育培训工作，主要完成昌吉党建网运维一次，财务业务咨询一次。学考系统日常运行维护、教学资源建设、党员教育培训等工作。确保党员教育系统安全稳定运行，更加高效</w:t>
            </w:r>
            <w:r>
              <w:rPr>
                <w:rFonts w:hint="eastAsia" w:ascii="宋体" w:hAnsi="宋体"/>
                <w:sz w:val="16"/>
                <w:lang w:eastAsia="zh-CN"/>
              </w:rPr>
              <w:t>地</w:t>
            </w:r>
            <w:r>
              <w:rPr>
                <w:rFonts w:ascii="宋体" w:hAnsi="宋体" w:eastAsia="宋体"/>
                <w:sz w:val="16"/>
              </w:rPr>
              <w:t>服务党员教育工作。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E4E4F8">
            <w:pPr>
              <w:jc w:val="both"/>
            </w:pPr>
            <w:r>
              <w:rPr>
                <w:rFonts w:hint="eastAsia" w:ascii="宋体" w:hAnsi="宋体"/>
                <w:sz w:val="16"/>
                <w:lang w:eastAsia="zh-CN"/>
              </w:rPr>
              <w:t>截至</w:t>
            </w:r>
            <w:r>
              <w:rPr>
                <w:rFonts w:ascii="宋体" w:hAnsi="宋体" w:eastAsia="宋体"/>
                <w:sz w:val="16"/>
              </w:rPr>
              <w:t>2024年12月31日，已完成教学资源建设和党员教育培训工作，完成昌吉党建网运维一次，财务业务咨询一次。学考系统日常运行维护、教学资源建设、党员教育培训等工作。确保党员教育系统安全稳定运行，更加高效</w:t>
            </w:r>
            <w:r>
              <w:rPr>
                <w:rFonts w:hint="eastAsia" w:ascii="宋体" w:hAnsi="宋体"/>
                <w:sz w:val="16"/>
                <w:lang w:eastAsia="zh-CN"/>
              </w:rPr>
              <w:t>地</w:t>
            </w:r>
            <w:r>
              <w:rPr>
                <w:rFonts w:ascii="宋体" w:hAnsi="宋体" w:eastAsia="宋体"/>
                <w:sz w:val="16"/>
              </w:rPr>
              <w:t>服务党员教育工作。</w:t>
            </w:r>
          </w:p>
        </w:tc>
      </w:tr>
      <w:tr w14:paraId="3CA2C6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D81D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318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77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7E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E6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B4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08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454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65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F57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9AD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3E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9E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BDF6">
            <w:pPr>
              <w:jc w:val="center"/>
            </w:pPr>
            <w:r>
              <w:rPr>
                <w:rFonts w:ascii="宋体" w:hAnsi="宋体" w:eastAsia="宋体"/>
                <w:sz w:val="16"/>
              </w:rPr>
              <w:t>偏差原因分析及改进措施</w:t>
            </w:r>
          </w:p>
        </w:tc>
      </w:tr>
      <w:tr w14:paraId="7ED15D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8EBF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D33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2B7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6138">
            <w:pPr>
              <w:jc w:val="center"/>
            </w:pPr>
            <w:r>
              <w:rPr>
                <w:rFonts w:ascii="宋体" w:hAnsi="宋体" w:eastAsia="宋体"/>
                <w:sz w:val="16"/>
              </w:rPr>
              <w:t>昌吉党建网运维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80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46F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E47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C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3B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11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49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19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37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B83E">
            <w:pPr>
              <w:jc w:val="center"/>
            </w:pPr>
          </w:p>
        </w:tc>
      </w:tr>
      <w:tr w14:paraId="5E9D6A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04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4AD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DBC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B7B9">
            <w:pPr>
              <w:jc w:val="center"/>
            </w:pPr>
            <w:r>
              <w:rPr>
                <w:rFonts w:ascii="宋体" w:hAnsi="宋体" w:eastAsia="宋体"/>
                <w:sz w:val="16"/>
              </w:rPr>
              <w:t>财务业务咨询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DC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86D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F4F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91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11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A8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4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D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6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1D8A">
            <w:pPr>
              <w:jc w:val="center"/>
            </w:pPr>
          </w:p>
        </w:tc>
      </w:tr>
      <w:tr w14:paraId="457D6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A5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55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42F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86891">
            <w:pPr>
              <w:jc w:val="center"/>
            </w:pPr>
            <w:r>
              <w:rPr>
                <w:rFonts w:ascii="宋体" w:hAnsi="宋体" w:eastAsia="宋体"/>
                <w:sz w:val="16"/>
              </w:rPr>
              <w:t>昌吉党建网全年网络安全事故率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89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871C3">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AE4D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B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E86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45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61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62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46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48B9">
            <w:pPr>
              <w:jc w:val="center"/>
            </w:pPr>
          </w:p>
        </w:tc>
      </w:tr>
      <w:tr w14:paraId="02254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B52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1C5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68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3DFF">
            <w:pPr>
              <w:jc w:val="center"/>
            </w:pPr>
            <w:r>
              <w:rPr>
                <w:rFonts w:ascii="宋体" w:hAnsi="宋体" w:eastAsia="宋体"/>
                <w:sz w:val="16"/>
              </w:rPr>
              <w:t>党员教育运转保障时限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90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08EE">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AFF0">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7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2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0B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A7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49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C0E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B14D">
            <w:pPr>
              <w:jc w:val="center"/>
            </w:pPr>
          </w:p>
        </w:tc>
      </w:tr>
      <w:tr w14:paraId="15992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17D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5E7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0F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9C81">
            <w:pPr>
              <w:jc w:val="center"/>
            </w:pPr>
            <w:r>
              <w:rPr>
                <w:rFonts w:ascii="宋体" w:hAnsi="宋体" w:eastAsia="宋体"/>
                <w:sz w:val="16"/>
              </w:rPr>
              <w:t>项目总支出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42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14E9F">
            <w:pPr>
              <w:jc w:val="center"/>
            </w:pPr>
            <w:r>
              <w:rPr>
                <w:rFonts w:ascii="宋体" w:hAnsi="宋体" w:eastAsia="宋体"/>
                <w:sz w:val="16"/>
              </w:rPr>
              <w:t>&lt;=33.04万元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52414">
            <w:pPr>
              <w:jc w:val="center"/>
            </w:pPr>
            <w:r>
              <w:rPr>
                <w:rFonts w:ascii="宋体" w:hAnsi="宋体" w:eastAsia="宋体"/>
                <w:sz w:val="16"/>
              </w:rPr>
              <w:t>=33.04万元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32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56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D4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C9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FD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D0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F034D">
            <w:pPr>
              <w:jc w:val="center"/>
            </w:pPr>
          </w:p>
        </w:tc>
      </w:tr>
      <w:tr w14:paraId="33FE4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F82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6F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53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D7C9">
            <w:pPr>
              <w:jc w:val="center"/>
            </w:pPr>
            <w:r>
              <w:rPr>
                <w:rFonts w:ascii="宋体" w:hAnsi="宋体" w:eastAsia="宋体"/>
                <w:sz w:val="16"/>
              </w:rPr>
              <w:t>党员教育培训质量不断提升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8F1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EEA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8642">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D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1B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AE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0B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7D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B6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53F2">
            <w:pPr>
              <w:jc w:val="center"/>
            </w:pPr>
          </w:p>
        </w:tc>
      </w:tr>
      <w:tr w14:paraId="0C35A0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B61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EA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31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6707">
            <w:pPr>
              <w:jc w:val="center"/>
            </w:pPr>
            <w:r>
              <w:rPr>
                <w:rFonts w:ascii="宋体" w:hAnsi="宋体" w:eastAsia="宋体"/>
                <w:sz w:val="16"/>
              </w:rPr>
              <w:t>各领域党员满意度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9D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C09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779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9BA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7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35A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43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24B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242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3E5D">
            <w:pPr>
              <w:jc w:val="center"/>
            </w:pPr>
          </w:p>
        </w:tc>
      </w:tr>
      <w:tr w14:paraId="06AC8A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9FF5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9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851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3DC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A3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9BA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78F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634C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3C3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08E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9B2D3"/>
        </w:tc>
      </w:tr>
    </w:tbl>
    <w:p w14:paraId="680AAFE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07954023">
        <w:tblPrEx>
          <w:tblCellMar>
            <w:top w:w="0" w:type="dxa"/>
            <w:left w:w="108" w:type="dxa"/>
            <w:bottom w:w="0" w:type="dxa"/>
            <w:right w:w="108" w:type="dxa"/>
          </w:tblCellMar>
        </w:tblPrEx>
        <w:tc>
          <w:tcPr>
            <w:tcW w:w="8848" w:type="dxa"/>
            <w:gridSpan w:val="14"/>
            <w:vAlign w:val="center"/>
          </w:tcPr>
          <w:p w14:paraId="1A44B2B7">
            <w:pPr>
              <w:jc w:val="center"/>
            </w:pPr>
            <w:r>
              <w:rPr>
                <w:rFonts w:ascii="宋体" w:hAnsi="宋体" w:eastAsia="宋体"/>
                <w:sz w:val="24"/>
              </w:rPr>
              <w:t>项目支出绩效自评表</w:t>
            </w:r>
          </w:p>
        </w:tc>
      </w:tr>
      <w:tr w14:paraId="5AF917A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CDB137">
            <w:pPr>
              <w:jc w:val="center"/>
            </w:pPr>
            <w:r>
              <w:rPr>
                <w:rFonts w:ascii="宋体" w:hAnsi="宋体" w:eastAsia="宋体"/>
                <w:sz w:val="24"/>
              </w:rPr>
              <w:t>(2024年度)</w:t>
            </w:r>
          </w:p>
        </w:tc>
      </w:tr>
      <w:tr w14:paraId="710D37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85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FD667C">
            <w:pPr>
              <w:jc w:val="center"/>
            </w:pPr>
            <w:r>
              <w:rPr>
                <w:rFonts w:ascii="宋体" w:hAnsi="宋体" w:eastAsia="宋体"/>
                <w:sz w:val="16"/>
              </w:rPr>
              <w:t>昌吉州党委组织部视联网视频会议系统运行维护服务保障项目</w:t>
            </w:r>
          </w:p>
        </w:tc>
      </w:tr>
      <w:tr w14:paraId="26C8C9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40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F218E">
            <w:pPr>
              <w:jc w:val="center"/>
            </w:pPr>
            <w:r>
              <w:rPr>
                <w:rFonts w:hint="eastAsia" w:ascii="宋体" w:hAnsi="宋体" w:eastAsia="宋体"/>
                <w:sz w:val="16"/>
              </w:rPr>
              <w:t>中共昌吉回族自治州委员会组织部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89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CFD242">
            <w:pPr>
              <w:jc w:val="center"/>
            </w:pPr>
            <w:r>
              <w:rPr>
                <w:rFonts w:ascii="宋体" w:hAnsi="宋体" w:eastAsia="宋体"/>
                <w:sz w:val="16"/>
              </w:rPr>
              <w:t>昌吉回族自治州党员干部现代远程教育管理中心</w:t>
            </w:r>
          </w:p>
        </w:tc>
      </w:tr>
      <w:tr w14:paraId="47A582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D861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604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AAA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E6A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243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798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12E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5F716">
            <w:pPr>
              <w:jc w:val="center"/>
            </w:pPr>
            <w:r>
              <w:rPr>
                <w:rFonts w:ascii="宋体" w:hAnsi="宋体" w:eastAsia="宋体"/>
                <w:sz w:val="16"/>
              </w:rPr>
              <w:t>得分</w:t>
            </w:r>
          </w:p>
        </w:tc>
      </w:tr>
      <w:tr w14:paraId="07077C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151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9A5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771DF">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A4017">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85BA3">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13F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774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48C1">
            <w:pPr>
              <w:jc w:val="center"/>
            </w:pPr>
            <w:r>
              <w:rPr>
                <w:rFonts w:ascii="宋体" w:hAnsi="宋体" w:eastAsia="宋体"/>
                <w:sz w:val="16"/>
              </w:rPr>
              <w:t>10.00</w:t>
            </w:r>
          </w:p>
        </w:tc>
      </w:tr>
      <w:tr w14:paraId="78C71C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A6D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989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99209">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8B26E">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70EBF">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E03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C7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60B9D">
            <w:pPr>
              <w:jc w:val="center"/>
            </w:pPr>
            <w:r>
              <w:rPr>
                <w:rFonts w:ascii="宋体" w:hAnsi="宋体" w:eastAsia="宋体"/>
                <w:sz w:val="16"/>
              </w:rPr>
              <w:t>—</w:t>
            </w:r>
          </w:p>
        </w:tc>
      </w:tr>
      <w:tr w14:paraId="3F0C22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52F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C701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AD1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611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B09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CED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55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AC48">
            <w:pPr>
              <w:jc w:val="center"/>
            </w:pPr>
            <w:r>
              <w:rPr>
                <w:rFonts w:ascii="宋体" w:hAnsi="宋体" w:eastAsia="宋体"/>
                <w:sz w:val="16"/>
              </w:rPr>
              <w:t>—</w:t>
            </w:r>
          </w:p>
        </w:tc>
      </w:tr>
      <w:tr w14:paraId="5D2C39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B9D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DD03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32BD3B">
            <w:pPr>
              <w:jc w:val="center"/>
            </w:pPr>
            <w:r>
              <w:rPr>
                <w:rFonts w:ascii="宋体" w:hAnsi="宋体" w:eastAsia="宋体"/>
                <w:sz w:val="16"/>
              </w:rPr>
              <w:t>实际完成情况</w:t>
            </w:r>
          </w:p>
        </w:tc>
      </w:tr>
      <w:tr w14:paraId="5C5C94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FB0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490E29">
            <w:pPr>
              <w:jc w:val="both"/>
            </w:pPr>
            <w:r>
              <w:rPr>
                <w:rFonts w:ascii="宋体" w:hAnsi="宋体" w:eastAsia="宋体"/>
                <w:sz w:val="16"/>
              </w:rPr>
              <w:t>通过购买视联网视频会议系统运维服务，保障系统的安全稳定运行。包含昌吉州党委一楼会议室、州党委组织部三楼会议室、州党委后院四楼会议室、州党员教育中心会议室和全州各县（市</w:t>
            </w:r>
            <w:r>
              <w:rPr>
                <w:rFonts w:hint="eastAsia" w:ascii="宋体" w:hAnsi="宋体"/>
                <w:sz w:val="16"/>
                <w:lang w:eastAsia="zh-CN"/>
              </w:rPr>
              <w:t>）党</w:t>
            </w:r>
            <w:r>
              <w:rPr>
                <w:rFonts w:ascii="宋体" w:hAnsi="宋体" w:eastAsia="宋体"/>
                <w:sz w:val="16"/>
              </w:rPr>
              <w:t>委组织部，79个乡镇（街道）会议室、598个村（社区）基层党员（远程）站点视联网视频会议的软硬件安装、设备调试、软件适配、操作培训、技术咨询、运行维护、服务保障等。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A365B6">
            <w:pPr>
              <w:jc w:val="both"/>
            </w:pPr>
            <w:r>
              <w:rPr>
                <w:rFonts w:ascii="宋体" w:hAnsi="宋体" w:eastAsia="宋体"/>
                <w:sz w:val="16"/>
              </w:rPr>
              <w:t>截至2024年12月31日，已完成开展运维情况抽查2次，全年未出现重大事故，系统正常运行率97.6%，故障问题处置响应均在2小时内解决，通过购买视联网视频会议系统运维服务，实现了视联网视频会议系统安全稳定运行，党员教育信息化水平不断提升，受众满意度98.6%。通过项目实施有效确保了全州基层党员（远程）站点（包含昌吉州党委一楼会议室、州党委组织部三楼会议室、州党委后院四楼会议室、州党员教育中心会议室和全州各县市委组织部，79个乡镇街道会议室、598个村、社区站点）视联网视频会议系统的安全稳定运行。</w:t>
            </w:r>
          </w:p>
        </w:tc>
      </w:tr>
      <w:tr w14:paraId="639A26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0B4B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D0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55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B7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3D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7F7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AB9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ED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BCD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B3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2E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FF2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54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2C3C">
            <w:pPr>
              <w:jc w:val="center"/>
            </w:pPr>
            <w:r>
              <w:rPr>
                <w:rFonts w:ascii="宋体" w:hAnsi="宋体" w:eastAsia="宋体"/>
                <w:sz w:val="16"/>
              </w:rPr>
              <w:t>偏差原因分析及改进措施</w:t>
            </w:r>
          </w:p>
        </w:tc>
      </w:tr>
      <w:tr w14:paraId="00C49C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76942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7297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FA8F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CC1F">
            <w:pPr>
              <w:jc w:val="center"/>
            </w:pPr>
            <w:r>
              <w:rPr>
                <w:rFonts w:ascii="宋体" w:hAnsi="宋体" w:eastAsia="宋体"/>
                <w:sz w:val="16"/>
              </w:rPr>
              <w:t>开展运维情况抽查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87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9E1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CF8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2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08E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23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731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4B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52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BE7E">
            <w:pPr>
              <w:jc w:val="center"/>
            </w:pPr>
          </w:p>
        </w:tc>
      </w:tr>
      <w:tr w14:paraId="78626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7BE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6C5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23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B8F5">
            <w:pPr>
              <w:jc w:val="center"/>
            </w:pPr>
            <w:r>
              <w:rPr>
                <w:rFonts w:ascii="宋体" w:hAnsi="宋体" w:eastAsia="宋体"/>
                <w:sz w:val="16"/>
              </w:rPr>
              <w:t>重大事故出现次数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784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65D2">
            <w:pPr>
              <w:jc w:val="center"/>
            </w:pPr>
            <w:r>
              <w:rPr>
                <w:rFonts w:ascii="宋体" w:hAnsi="宋体" w:eastAsia="宋体"/>
                <w:sz w:val="16"/>
              </w:rPr>
              <w:t>&lt;1次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CE8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3F4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4A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A0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C12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07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49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6E8B">
            <w:pPr>
              <w:jc w:val="center"/>
            </w:pPr>
          </w:p>
        </w:tc>
      </w:tr>
      <w:tr w14:paraId="20B59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F0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E54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E86A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FD66">
            <w:pPr>
              <w:jc w:val="center"/>
            </w:pPr>
            <w:r>
              <w:rPr>
                <w:rFonts w:ascii="宋体" w:hAnsi="宋体" w:eastAsia="宋体"/>
                <w:sz w:val="16"/>
              </w:rPr>
              <w:t>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17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EB2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6A0C">
            <w:pPr>
              <w:jc w:val="center"/>
            </w:pPr>
            <w:r>
              <w:rPr>
                <w:rFonts w:ascii="宋体" w:hAnsi="宋体" w:eastAsia="宋体"/>
                <w:sz w:val="16"/>
              </w:rPr>
              <w:t>=97.6%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1535">
            <w:pPr>
              <w:jc w:val="center"/>
            </w:pPr>
            <w:r>
              <w:rPr>
                <w:rFonts w:ascii="宋体" w:hAnsi="宋体" w:eastAsia="宋体"/>
                <w:sz w:val="16"/>
              </w:rPr>
              <w:t>102.7%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0D7C">
            <w:pPr>
              <w:jc w:val="center"/>
            </w:pPr>
            <w:r>
              <w:rPr>
                <w:rFonts w:ascii="宋体" w:hAnsi="宋体" w:eastAsia="宋体"/>
                <w:sz w:val="16"/>
              </w:rPr>
              <w:t>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8C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DC6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49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5B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3301">
            <w:pPr>
              <w:jc w:val="center"/>
            </w:pPr>
            <w:r>
              <w:rPr>
                <w:rFonts w:ascii="宋体" w:hAnsi="宋体" w:eastAsia="宋体"/>
                <w:sz w:val="16"/>
              </w:rPr>
              <w:t>在设置绩效指标中低估了系统正常运行率，因而有所偏差</w:t>
            </w:r>
          </w:p>
        </w:tc>
      </w:tr>
      <w:tr w14:paraId="3B7B9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05A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74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29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A5C4">
            <w:pPr>
              <w:jc w:val="center"/>
            </w:pPr>
            <w:r>
              <w:rPr>
                <w:rFonts w:ascii="宋体" w:hAnsi="宋体" w:eastAsia="宋体"/>
                <w:sz w:val="16"/>
              </w:rPr>
              <w:t>故障问题处置响应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3D7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3B2BC">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CC6AC">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BE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D2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39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DA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F4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2B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0943">
            <w:pPr>
              <w:jc w:val="center"/>
            </w:pPr>
          </w:p>
        </w:tc>
      </w:tr>
      <w:tr w14:paraId="27C3F8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4DF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3CC1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EBC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D6B2">
            <w:pPr>
              <w:jc w:val="center"/>
            </w:pPr>
            <w:r>
              <w:rPr>
                <w:rFonts w:ascii="宋体" w:hAnsi="宋体" w:eastAsia="宋体"/>
                <w:sz w:val="16"/>
              </w:rPr>
              <w:t>视联网视频会议系统安全稳定运行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92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0A48">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C1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EFF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76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F1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24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D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52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8A77">
            <w:pPr>
              <w:jc w:val="center"/>
            </w:pPr>
          </w:p>
        </w:tc>
      </w:tr>
      <w:tr w14:paraId="34281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26C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A6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6B8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ABF6">
            <w:pPr>
              <w:jc w:val="center"/>
            </w:pPr>
            <w:r>
              <w:rPr>
                <w:rFonts w:ascii="宋体" w:hAnsi="宋体" w:eastAsia="宋体"/>
                <w:sz w:val="16"/>
              </w:rPr>
              <w:t>党员教育信息化水平不断提升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BE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2814">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F3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5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9F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AF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F1B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45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57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1E36">
            <w:pPr>
              <w:jc w:val="center"/>
            </w:pPr>
          </w:p>
        </w:tc>
      </w:tr>
      <w:tr w14:paraId="4C788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DDF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B7B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68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1FF7">
            <w:pPr>
              <w:jc w:val="center"/>
            </w:pPr>
            <w:r>
              <w:rPr>
                <w:rFonts w:ascii="宋体" w:hAnsi="宋体" w:eastAsia="宋体"/>
                <w:sz w:val="16"/>
              </w:rPr>
              <w:t>受众满意度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8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4A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31D9">
            <w:pPr>
              <w:jc w:val="center"/>
            </w:pPr>
            <w:r>
              <w:rPr>
                <w:rFonts w:ascii="宋体" w:hAnsi="宋体" w:eastAsia="宋体"/>
                <w:sz w:val="16"/>
              </w:rPr>
              <w:t>=98.6%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152B">
            <w:pPr>
              <w:jc w:val="center"/>
            </w:pPr>
            <w:r>
              <w:rPr>
                <w:rFonts w:ascii="宋体" w:hAnsi="宋体" w:eastAsia="宋体"/>
                <w:sz w:val="16"/>
              </w:rPr>
              <w:t>103.7%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0A50">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052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8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F7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06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59A8">
            <w:pPr>
              <w:jc w:val="center"/>
            </w:pPr>
            <w:r>
              <w:rPr>
                <w:rFonts w:ascii="宋体" w:hAnsi="宋体" w:eastAsia="宋体"/>
                <w:sz w:val="16"/>
              </w:rPr>
              <w:t>在设置绩效指标中低估了受众满意度预期值，因而有所偏差</w:t>
            </w:r>
          </w:p>
        </w:tc>
      </w:tr>
      <w:tr w14:paraId="077AA7F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A7F3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A1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F4F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D0C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991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F46E">
            <w:pPr>
              <w:jc w:val="center"/>
            </w:pPr>
            <w:r>
              <w:rPr>
                <w:rFonts w:ascii="宋体" w:hAnsi="宋体" w:eastAsia="宋体"/>
                <w:sz w:val="16"/>
              </w:rPr>
              <w:t>99.36分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A5A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D91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985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E84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BA09D"/>
        </w:tc>
      </w:tr>
    </w:tbl>
    <w:p w14:paraId="1072D283">
      <w:r>
        <w:br w:type="page"/>
      </w:r>
    </w:p>
    <w:p w14:paraId="51B6A7A1">
      <w:pPr>
        <w:spacing w:line="640" w:lineRule="exact"/>
        <w:ind w:firstLine="640"/>
        <w:jc w:val="both"/>
        <w:outlineLvl w:val="2"/>
      </w:pPr>
      <w:r>
        <w:rPr>
          <w:rFonts w:ascii="黑体" w:hAnsi="黑体" w:eastAsia="黑体"/>
          <w:sz w:val="32"/>
        </w:rPr>
        <w:t>十二、其他需说明的事项</w:t>
      </w:r>
    </w:p>
    <w:p w14:paraId="6D450B9F">
      <w:pPr>
        <w:spacing w:line="580" w:lineRule="exact"/>
        <w:ind w:firstLine="640"/>
        <w:jc w:val="both"/>
      </w:pPr>
      <w:r>
        <w:rPr>
          <w:rFonts w:ascii="仿宋_GB2312" w:hAnsi="仿宋_GB2312" w:eastAsia="仿宋_GB2312"/>
          <w:b w:val="0"/>
          <w:sz w:val="32"/>
        </w:rPr>
        <w:t>本单位无其他需说明的事项。</w:t>
      </w:r>
    </w:p>
    <w:p w14:paraId="4E0A95E5">
      <w:r>
        <w:br w:type="page"/>
      </w:r>
    </w:p>
    <w:p w14:paraId="059D4D69">
      <w:pPr>
        <w:spacing w:line="240" w:lineRule="auto"/>
        <w:jc w:val="center"/>
        <w:outlineLvl w:val="1"/>
      </w:pPr>
      <w:r>
        <w:rPr>
          <w:rFonts w:ascii="黑体" w:hAnsi="黑体" w:eastAsia="黑体"/>
          <w:sz w:val="32"/>
        </w:rPr>
        <w:t>第三部分 专业名词解释</w:t>
      </w:r>
    </w:p>
    <w:p w14:paraId="5188FF2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2C058E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8DBD5D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AD827C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62E71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623AD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A15F7C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0B2DC3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10A7B8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76CCB4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AFA587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83EF24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36EFEE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597F13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30241DC">
      <w:r>
        <w:br w:type="page"/>
      </w:r>
    </w:p>
    <w:p w14:paraId="5CA042D9">
      <w:pPr>
        <w:spacing w:line="240" w:lineRule="auto"/>
        <w:jc w:val="center"/>
        <w:outlineLvl w:val="1"/>
      </w:pPr>
      <w:r>
        <w:rPr>
          <w:rFonts w:ascii="黑体" w:hAnsi="黑体" w:eastAsia="黑体"/>
          <w:sz w:val="32"/>
        </w:rPr>
        <w:t>第四部分 部门决算报表（见附表）</w:t>
      </w:r>
    </w:p>
    <w:p w14:paraId="23EBD54B">
      <w:pPr>
        <w:spacing w:line="240" w:lineRule="auto"/>
        <w:ind w:firstLine="640"/>
        <w:jc w:val="both"/>
      </w:pPr>
      <w:r>
        <w:rPr>
          <w:rFonts w:ascii="仿宋_GB2312" w:hAnsi="仿宋_GB2312" w:eastAsia="仿宋_GB2312"/>
          <w:b w:val="0"/>
          <w:sz w:val="32"/>
        </w:rPr>
        <w:t>一、《收入支出决算总表》</w:t>
      </w:r>
    </w:p>
    <w:p w14:paraId="45D2176D">
      <w:pPr>
        <w:spacing w:line="240" w:lineRule="auto"/>
        <w:ind w:firstLine="640"/>
        <w:jc w:val="both"/>
      </w:pPr>
      <w:r>
        <w:rPr>
          <w:rFonts w:ascii="仿宋_GB2312" w:hAnsi="仿宋_GB2312" w:eastAsia="仿宋_GB2312"/>
          <w:b w:val="0"/>
          <w:sz w:val="32"/>
        </w:rPr>
        <w:t>二、《收入决算表》</w:t>
      </w:r>
    </w:p>
    <w:p w14:paraId="49AED5E3">
      <w:pPr>
        <w:spacing w:line="240" w:lineRule="auto"/>
        <w:ind w:firstLine="640"/>
        <w:jc w:val="both"/>
      </w:pPr>
      <w:r>
        <w:rPr>
          <w:rFonts w:ascii="仿宋_GB2312" w:hAnsi="仿宋_GB2312" w:eastAsia="仿宋_GB2312"/>
          <w:b w:val="0"/>
          <w:sz w:val="32"/>
        </w:rPr>
        <w:t>三、《支出决算表》</w:t>
      </w:r>
    </w:p>
    <w:p w14:paraId="330ED92D">
      <w:pPr>
        <w:spacing w:line="240" w:lineRule="auto"/>
        <w:ind w:firstLine="640"/>
        <w:jc w:val="both"/>
      </w:pPr>
      <w:r>
        <w:rPr>
          <w:rFonts w:ascii="仿宋_GB2312" w:hAnsi="仿宋_GB2312" w:eastAsia="仿宋_GB2312"/>
          <w:b w:val="0"/>
          <w:sz w:val="32"/>
        </w:rPr>
        <w:t>四、《财政拨款收入支出决算总表》</w:t>
      </w:r>
    </w:p>
    <w:p w14:paraId="46BA9D5F">
      <w:pPr>
        <w:spacing w:line="240" w:lineRule="auto"/>
        <w:ind w:firstLine="640"/>
        <w:jc w:val="both"/>
      </w:pPr>
      <w:r>
        <w:rPr>
          <w:rFonts w:ascii="仿宋_GB2312" w:hAnsi="仿宋_GB2312" w:eastAsia="仿宋_GB2312"/>
          <w:b w:val="0"/>
          <w:sz w:val="32"/>
        </w:rPr>
        <w:t>五、《一般公共预算财政拨款支出决算表》</w:t>
      </w:r>
    </w:p>
    <w:p w14:paraId="6AC7E62A">
      <w:pPr>
        <w:spacing w:line="240" w:lineRule="auto"/>
        <w:ind w:firstLine="640"/>
        <w:jc w:val="both"/>
      </w:pPr>
      <w:r>
        <w:rPr>
          <w:rFonts w:ascii="仿宋_GB2312" w:hAnsi="仿宋_GB2312" w:eastAsia="仿宋_GB2312"/>
          <w:b w:val="0"/>
          <w:sz w:val="32"/>
        </w:rPr>
        <w:t>六、《一般公共预算财政拨款基本支出决算表》</w:t>
      </w:r>
    </w:p>
    <w:p w14:paraId="6C3D589B">
      <w:pPr>
        <w:spacing w:line="240" w:lineRule="auto"/>
        <w:ind w:firstLine="640"/>
        <w:jc w:val="both"/>
      </w:pPr>
      <w:r>
        <w:rPr>
          <w:rFonts w:ascii="仿宋_GB2312" w:hAnsi="仿宋_GB2312" w:eastAsia="仿宋_GB2312"/>
          <w:b w:val="0"/>
          <w:sz w:val="32"/>
        </w:rPr>
        <w:t>七、《政府性基金预算财政拨款收入支出决算表》</w:t>
      </w:r>
    </w:p>
    <w:p w14:paraId="24838E28">
      <w:pPr>
        <w:spacing w:line="240" w:lineRule="auto"/>
        <w:ind w:firstLine="640"/>
        <w:jc w:val="both"/>
      </w:pPr>
      <w:r>
        <w:rPr>
          <w:rFonts w:ascii="仿宋_GB2312" w:hAnsi="仿宋_GB2312" w:eastAsia="仿宋_GB2312"/>
          <w:b w:val="0"/>
          <w:sz w:val="32"/>
        </w:rPr>
        <w:t>八、《国有资本经营预算财政拨款收入支出决算表》</w:t>
      </w:r>
    </w:p>
    <w:p w14:paraId="06406358">
      <w:pPr>
        <w:spacing w:line="240" w:lineRule="auto"/>
        <w:ind w:firstLine="640"/>
        <w:jc w:val="both"/>
      </w:pPr>
      <w:r>
        <w:rPr>
          <w:rFonts w:ascii="仿宋_GB2312" w:hAnsi="仿宋_GB2312" w:eastAsia="仿宋_GB2312"/>
          <w:b w:val="0"/>
          <w:sz w:val="32"/>
        </w:rPr>
        <w:t>九、《财政拨款“三公”经费支出决算表》</w:t>
      </w:r>
    </w:p>
    <w:p w14:paraId="5F81A138">
      <w:pPr>
        <w:spacing w:line="240" w:lineRule="auto"/>
        <w:ind w:firstLine="640"/>
        <w:jc w:val="both"/>
      </w:pPr>
    </w:p>
    <w:p w14:paraId="46D92501">
      <w:pPr>
        <w:spacing w:line="240" w:lineRule="auto"/>
        <w:ind w:firstLine="640"/>
        <w:jc w:val="both"/>
      </w:pPr>
    </w:p>
    <w:p w14:paraId="00BC189A">
      <w:pPr>
        <w:spacing w:line="240" w:lineRule="auto"/>
        <w:ind w:firstLine="640"/>
        <w:jc w:val="both"/>
      </w:pPr>
    </w:p>
    <w:p w14:paraId="2B1D251C">
      <w:pPr>
        <w:spacing w:line="240" w:lineRule="auto"/>
        <w:ind w:firstLine="640"/>
        <w:jc w:val="both"/>
      </w:pPr>
    </w:p>
    <w:p w14:paraId="48AD136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0C2D98-D28B-4C5E-AED2-670BAD2D8C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764C18C-839A-4DD3-8243-0653FD79301F}"/>
  </w:font>
  <w:font w:name="仿宋_GB2312">
    <w:altName w:val="仿宋"/>
    <w:panose1 w:val="02010609030101010101"/>
    <w:charset w:val="86"/>
    <w:family w:val="modern"/>
    <w:pitch w:val="default"/>
    <w:sig w:usb0="00000000" w:usb1="00000000" w:usb2="00000000" w:usb3="00000000" w:csb0="00040000" w:csb1="00000000"/>
    <w:embedRegular r:id="rId3" w:fontKey="{8AADA360-EA6A-4B08-AC0D-A850765798F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E5C9D93-03D8-40C6-8393-A766562F310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99097A"/>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636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5030</Words>
  <Characters>5731</Characters>
  <Lines>0</Lines>
  <Paragraphs>0</Paragraphs>
  <TotalTime>10</TotalTime>
  <ScaleCrop>false</ScaleCrop>
  <LinksUpToDate>false</LinksUpToDate>
  <CharactersWithSpaces>5739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