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昌吉回族自治州财政局2024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2FFDA20">
      <w:r>
        <w:br w:type="page"/>
      </w:r>
    </w:p>
    <w:p w14:paraId="4AB55F92">
      <w:pPr>
        <w:spacing w:line="640" w:lineRule="exact"/>
        <w:jc w:val="center"/>
        <w:outlineLvl w:val="1"/>
      </w:pPr>
      <w:r>
        <w:rPr>
          <w:rFonts w:ascii="黑体" w:hAnsi="黑体" w:eastAsia="黑体"/>
          <w:sz w:val="32"/>
        </w:rPr>
        <w:t>第一部分 单位概况</w:t>
      </w:r>
    </w:p>
    <w:p w14:paraId="106A4058">
      <w:pPr>
        <w:spacing w:line="640" w:lineRule="exact"/>
        <w:ind w:firstLine="640"/>
        <w:jc w:val="both"/>
        <w:outlineLvl w:val="2"/>
      </w:pPr>
      <w:r>
        <w:rPr>
          <w:rFonts w:ascii="黑体" w:hAnsi="黑体" w:eastAsia="黑体"/>
          <w:sz w:val="32"/>
        </w:rPr>
        <w:t>一、主要职能</w:t>
      </w:r>
    </w:p>
    <w:p w14:paraId="6AB6D4FC">
      <w:pPr>
        <w:spacing w:line="580" w:lineRule="exact"/>
        <w:ind w:firstLine="640"/>
        <w:jc w:val="both"/>
      </w:pPr>
      <w:r>
        <w:rPr>
          <w:rFonts w:ascii="仿宋_GB2312" w:hAnsi="仿宋_GB2312" w:eastAsia="仿宋_GB2312"/>
          <w:sz w:val="32"/>
        </w:rPr>
        <w:t>1.根据自治州国民经济和社会发展战略，拟订自治州财政发展战略、中长期财政规划和改革方案并组织实施；分析预测宏观经济形势，参与制定宏观经济政策，提出运用财税政策实施宏观经济调控和综合平衡社会财力的建议；拟订自治州与各县（市）、财政与企业的分配政策，制定调节收入分配的财税政策，完善促进社会事业发展的财税政策。</w:t>
      </w:r>
    </w:p>
    <w:p w14:paraId="1B511720">
      <w:pPr>
        <w:spacing w:line="580" w:lineRule="exact"/>
        <w:ind w:firstLine="640"/>
        <w:jc w:val="both"/>
      </w:pPr>
      <w:r>
        <w:rPr>
          <w:rFonts w:ascii="仿宋_GB2312" w:hAnsi="仿宋_GB2312" w:eastAsia="仿宋_GB2312"/>
          <w:sz w:val="32"/>
        </w:rPr>
        <w:t>2.承担自治州各项财政收支管理责任；负责编制自治州本级预决算草案并组织执行；受自治州人民政府委托向自治州人民代表大会报告自治州级和全州预算及其执行情况，向自治州人大常委会报告决算；组织制定经费开支标准、定额、年度预算，负责财政预决算工作；完善自治州对下转移支付制度。</w:t>
      </w:r>
    </w:p>
    <w:p w14:paraId="75620819">
      <w:pPr>
        <w:spacing w:line="580" w:lineRule="exact"/>
        <w:ind w:firstLine="640"/>
        <w:jc w:val="both"/>
      </w:pPr>
      <w:r>
        <w:rPr>
          <w:rFonts w:ascii="仿宋_GB2312" w:hAnsi="仿宋_GB2312" w:eastAsia="仿宋_GB2312"/>
          <w:sz w:val="32"/>
        </w:rPr>
        <w:t>3.负责组织起草地方性行政法规草案及实施细则；按照管理权限拟订减免税上报事项和对自治州预算影响较大的临时和特殊的地方税减免事项；负责政府非税收入和政府性基金管理；参与拟订行政事业性收费标准；贯彻执行彩票管理政策和有关办法，按规定管理彩票资金。</w:t>
      </w:r>
    </w:p>
    <w:p w14:paraId="7D4981BA">
      <w:pPr>
        <w:spacing w:line="580" w:lineRule="exact"/>
        <w:ind w:firstLine="640"/>
        <w:jc w:val="both"/>
      </w:pPr>
      <w:r>
        <w:rPr>
          <w:rFonts w:ascii="仿宋_GB2312" w:hAnsi="仿宋_GB2312" w:eastAsia="仿宋_GB2312"/>
          <w:sz w:val="32"/>
        </w:rPr>
        <w:t>4.制定自治州国库管理制度、国库集中收付制度，按规定开展自治州国库现金管理工作，监督管理地方国库资金缴拨使用；负责制定自治州政府采购制度并监督管理；研究制定政府购买服务制度和政策并组织实施；管理自治州财政统一发放工资工作。</w:t>
      </w:r>
    </w:p>
    <w:p w14:paraId="11B91778">
      <w:pPr>
        <w:spacing w:line="580" w:lineRule="exact"/>
        <w:ind w:firstLine="640"/>
        <w:jc w:val="both"/>
      </w:pPr>
      <w:r>
        <w:rPr>
          <w:rFonts w:ascii="仿宋_GB2312" w:hAnsi="仿宋_GB2312" w:eastAsia="仿宋_GB2312"/>
          <w:sz w:val="32"/>
        </w:rPr>
        <w:t>5.</w:t>
      </w:r>
      <w:r>
        <w:rPr>
          <w:rFonts w:hint="eastAsia" w:ascii="仿宋_GB2312" w:hAnsi="仿宋_GB2312" w:eastAsia="仿宋_GB2312"/>
          <w:sz w:val="32"/>
          <w:lang w:eastAsia="zh-CN"/>
        </w:rPr>
        <w:t>拟订</w:t>
      </w:r>
      <w:r>
        <w:rPr>
          <w:rFonts w:ascii="仿宋_GB2312" w:hAnsi="仿宋_GB2312" w:eastAsia="仿宋_GB2312"/>
          <w:sz w:val="32"/>
        </w:rPr>
        <w:t>和执行地方政府性债务管理制度和办法；按规定开展地方政府债券管理工作，防范财政风险；负责管理政府外债，组织实施外国政府、国际金融组织贷款项目</w:t>
      </w:r>
      <w:r>
        <w:rPr>
          <w:rFonts w:hint="eastAsia" w:ascii="仿宋_GB2312" w:hAnsi="仿宋_GB2312" w:eastAsia="仿宋_GB2312"/>
          <w:sz w:val="32"/>
          <w:lang w:eastAsia="zh-CN"/>
        </w:rPr>
        <w:t>的</w:t>
      </w:r>
      <w:r>
        <w:rPr>
          <w:rFonts w:ascii="仿宋_GB2312" w:hAnsi="仿宋_GB2312" w:eastAsia="仿宋_GB2312"/>
          <w:sz w:val="32"/>
        </w:rPr>
        <w:t>审核、申报、转贷、签订贷款协定以及资金管理工作。</w:t>
      </w:r>
    </w:p>
    <w:p w14:paraId="0B6E1B0F">
      <w:pPr>
        <w:spacing w:line="580" w:lineRule="exact"/>
        <w:ind w:firstLine="640"/>
        <w:jc w:val="both"/>
      </w:pPr>
      <w:r>
        <w:rPr>
          <w:rFonts w:ascii="仿宋_GB2312" w:hAnsi="仿宋_GB2312" w:eastAsia="仿宋_GB2312"/>
          <w:sz w:val="32"/>
        </w:rPr>
        <w:t>6.参与</w:t>
      </w:r>
      <w:r>
        <w:rPr>
          <w:rFonts w:hint="eastAsia" w:ascii="仿宋_GB2312" w:hAnsi="仿宋_GB2312" w:eastAsia="仿宋_GB2312"/>
          <w:sz w:val="32"/>
          <w:lang w:eastAsia="zh-CN"/>
        </w:rPr>
        <w:t>拟订</w:t>
      </w:r>
      <w:r>
        <w:rPr>
          <w:rFonts w:ascii="仿宋_GB2312" w:hAnsi="仿宋_GB2312" w:eastAsia="仿宋_GB2312"/>
          <w:sz w:val="32"/>
        </w:rPr>
        <w:t>自治州建设投资的有关政策，制定自治州基本建设财务管理制度，负责中央、自治区和自治州政府性投资项目财政资金管理工作；制定自治州政府和社会资本合作（PPP）有关政策制度，承担相关规范管理工作；承担有关政策性补贴管理和专项储备资金管理财政工作；管理各项扶贫资金。</w:t>
      </w:r>
    </w:p>
    <w:p w14:paraId="767677AB">
      <w:pPr>
        <w:spacing w:line="580" w:lineRule="exact"/>
        <w:ind w:firstLine="640"/>
        <w:jc w:val="both"/>
      </w:pPr>
      <w:r>
        <w:rPr>
          <w:rFonts w:ascii="仿宋_GB2312" w:hAnsi="仿宋_GB2312" w:eastAsia="仿宋_GB2312"/>
          <w:sz w:val="32"/>
        </w:rPr>
        <w:t>7.贯彻执行国家行政事业单位国有资产管理法规、制度和方针政策，制定自治州行政事业单位国有资产管理政策制度并组织实施，按规定管理行政事业单位国有资产，履行行政事业单位国有资产购置、使用、处置监督审核职责；牵头编制自治州国有资产管理情况报告，</w:t>
      </w:r>
      <w:r>
        <w:rPr>
          <w:rFonts w:hint="eastAsia" w:ascii="仿宋_GB2312" w:hAnsi="仿宋_GB2312" w:eastAsia="仿宋_GB2312"/>
          <w:sz w:val="32"/>
          <w:lang w:eastAsia="zh-CN"/>
        </w:rPr>
        <w:t>拟订</w:t>
      </w:r>
      <w:r>
        <w:rPr>
          <w:rFonts w:ascii="仿宋_GB2312" w:hAnsi="仿宋_GB2312" w:eastAsia="仿宋_GB2312"/>
          <w:sz w:val="32"/>
        </w:rPr>
        <w:t>和执行需要全州统一规定的开支标准和支出政策；负责自治州州属国有文化资产监督工作。</w:t>
      </w:r>
    </w:p>
    <w:p w14:paraId="37C823B9">
      <w:pPr>
        <w:spacing w:line="580" w:lineRule="exact"/>
        <w:ind w:firstLine="640"/>
        <w:jc w:val="both"/>
      </w:pPr>
      <w:r>
        <w:rPr>
          <w:rFonts w:ascii="仿宋_GB2312" w:hAnsi="仿宋_GB2312" w:eastAsia="仿宋_GB2312"/>
          <w:sz w:val="32"/>
        </w:rPr>
        <w:t>8.会同有关部门管理中央、自治区和自治州财政社会保障和就业及医疗卫生资金管理工作，会同自治州有关部门研究制定社会保障资金（基金）政策和有关的财务管理制度，编制自治州社会保障预决算草案。</w:t>
      </w:r>
    </w:p>
    <w:p w14:paraId="61DCAED2">
      <w:pPr>
        <w:spacing w:line="580" w:lineRule="exact"/>
        <w:ind w:firstLine="640"/>
        <w:jc w:val="both"/>
      </w:pPr>
      <w:r>
        <w:rPr>
          <w:rFonts w:ascii="仿宋_GB2312" w:hAnsi="仿宋_GB2312" w:eastAsia="仿宋_GB2312"/>
          <w:sz w:val="32"/>
        </w:rPr>
        <w:t>9.负责审核和汇总编制</w:t>
      </w:r>
      <w:bookmarkStart w:id="0" w:name="_GoBack"/>
      <w:r>
        <w:rPr>
          <w:rFonts w:ascii="仿宋_GB2312" w:hAnsi="仿宋_GB2312" w:eastAsia="仿宋_GB2312"/>
          <w:sz w:val="32"/>
        </w:rPr>
        <w:t>国有资本经营预决算</w:t>
      </w:r>
      <w:bookmarkEnd w:id="0"/>
      <w:r>
        <w:rPr>
          <w:rFonts w:ascii="仿宋_GB2312" w:hAnsi="仿宋_GB2312" w:eastAsia="仿宋_GB2312"/>
          <w:sz w:val="32"/>
        </w:rPr>
        <w:t>草案，制定国有资本经营预算的制度和办法，收取自治州本级企业国有资本收益；组织实施企业财务制度，参与制定企业国有资产管理相关制度。</w:t>
      </w:r>
    </w:p>
    <w:p w14:paraId="5150F43D">
      <w:pPr>
        <w:spacing w:line="580" w:lineRule="exact"/>
        <w:ind w:firstLine="640"/>
        <w:jc w:val="both"/>
      </w:pPr>
      <w:r>
        <w:rPr>
          <w:rFonts w:ascii="仿宋_GB2312" w:hAnsi="仿宋_GB2312" w:eastAsia="仿宋_GB2312"/>
          <w:sz w:val="32"/>
        </w:rPr>
        <w:t>10.管理和指导全州会计工作，规范会计行为；组织执行国家统一的会计制度，制定补充规定并贯彻执行；组织管理会计人员的业务培训；配合自治区财政厅指导和监督注册会计师和会计师事务所业务；依法管理资产评估工作；指导和管理社会审计。</w:t>
      </w:r>
    </w:p>
    <w:p w14:paraId="51BE7687">
      <w:pPr>
        <w:spacing w:line="580" w:lineRule="exact"/>
        <w:ind w:firstLine="640"/>
        <w:jc w:val="both"/>
      </w:pPr>
      <w:r>
        <w:rPr>
          <w:rFonts w:ascii="仿宋_GB2312" w:hAnsi="仿宋_GB2312" w:eastAsia="仿宋_GB2312"/>
          <w:sz w:val="32"/>
        </w:rPr>
        <w:t>11.监督检查财税法规、政策的执行情况，反映财政收支管理中的重大问题，提出加强财政管理的政策建议；贯彻落实财政绩效管理相关政策制度，组织指导自治州本级和各县市（园区）预算绩效管理工作；组织实施专项资金绩效考核工作；研究建立财政支出绩效评价制度和评价体系并组织实施；负责自治州财政系统信息化建设规划并组织实施。</w:t>
      </w:r>
    </w:p>
    <w:p w14:paraId="747CB529">
      <w:pPr>
        <w:spacing w:line="580" w:lineRule="exact"/>
        <w:ind w:firstLine="640"/>
        <w:jc w:val="both"/>
      </w:pPr>
      <w:r>
        <w:rPr>
          <w:rFonts w:ascii="仿宋_GB2312" w:hAnsi="仿宋_GB2312" w:eastAsia="仿宋_GB2312"/>
          <w:sz w:val="32"/>
        </w:rPr>
        <w:t>12.贯彻落实国家有关金融宏观调控政策，研究提出促进地方金融发展的财政政策措施。根据自治州人民政府授权，履行自治州国有金融资本出资人职责，负责国有金融资本集中统一管理；负责拟订全州统一的国有金融资本管理规章制度；承担地方金融企业的国有资产和财务的监管工作；依法依规履行国有金融资本管理职责，负责组织基础管理、经营预算、绩效考核、负责人薪酬管理工作。</w:t>
      </w:r>
    </w:p>
    <w:p w14:paraId="307B6DEE">
      <w:pPr>
        <w:spacing w:line="580" w:lineRule="exact"/>
        <w:ind w:firstLine="640"/>
        <w:jc w:val="both"/>
      </w:pPr>
      <w:r>
        <w:rPr>
          <w:rFonts w:ascii="仿宋_GB2312" w:hAnsi="仿宋_GB2312" w:eastAsia="仿宋_GB2312"/>
          <w:sz w:val="32"/>
        </w:rPr>
        <w:t>13.完成自治州党委、自治州人民政府交办的其他任务。</w:t>
      </w:r>
    </w:p>
    <w:p w14:paraId="2CE6D55A">
      <w:pPr>
        <w:spacing w:line="640" w:lineRule="exact"/>
        <w:ind w:firstLine="640"/>
        <w:jc w:val="both"/>
        <w:outlineLvl w:val="2"/>
      </w:pPr>
      <w:r>
        <w:rPr>
          <w:rFonts w:ascii="黑体" w:hAnsi="黑体" w:eastAsia="黑体"/>
          <w:sz w:val="32"/>
        </w:rPr>
        <w:t>二、机构设置及人员情况</w:t>
      </w:r>
    </w:p>
    <w:p w14:paraId="5F85BADA">
      <w:pPr>
        <w:spacing w:line="580" w:lineRule="exact"/>
        <w:ind w:firstLine="640"/>
        <w:jc w:val="both"/>
      </w:pPr>
      <w:r>
        <w:rPr>
          <w:rFonts w:ascii="仿宋_GB2312" w:hAnsi="仿宋_GB2312" w:eastAsia="仿宋_GB2312"/>
          <w:sz w:val="32"/>
        </w:rPr>
        <w:t>昌吉回族自治州财政局2024年度，实有人数139人，其中：在职人员74人，增加1人；离休人员0人，增加0人；退休人员65人,增加7人。</w:t>
      </w:r>
    </w:p>
    <w:p w14:paraId="4BBE4A5F">
      <w:pPr>
        <w:spacing w:line="580" w:lineRule="exact"/>
        <w:ind w:firstLine="640"/>
        <w:jc w:val="both"/>
      </w:pPr>
      <w:r>
        <w:rPr>
          <w:rFonts w:ascii="仿宋_GB2312" w:hAnsi="仿宋_GB2312" w:eastAsia="仿宋_GB2312"/>
          <w:sz w:val="32"/>
        </w:rPr>
        <w:t>昌吉回族自治州财政局无下属预算单位，下设14个科室，分别是：办公室、组织人事科、综合科、预算科、国库科、行政政法科、科教和文化科、经济建设科、农业农村科、社会保障科、政府采购和资产监督管理科、金融工作科、财政综合保障中心、财政公共服务中心。</w:t>
      </w:r>
    </w:p>
    <w:p w14:paraId="43614C12">
      <w:r>
        <w:br w:type="page"/>
      </w:r>
    </w:p>
    <w:p w14:paraId="42015AA8">
      <w:pPr>
        <w:spacing w:line="240" w:lineRule="auto"/>
        <w:jc w:val="center"/>
        <w:outlineLvl w:val="1"/>
      </w:pPr>
      <w:r>
        <w:rPr>
          <w:rFonts w:ascii="黑体" w:hAnsi="黑体" w:eastAsia="黑体"/>
          <w:sz w:val="32"/>
        </w:rPr>
        <w:t>第二部分 部门决算情况说明</w:t>
      </w:r>
    </w:p>
    <w:p w14:paraId="70816DBF">
      <w:pPr>
        <w:spacing w:line="640" w:lineRule="exact"/>
        <w:ind w:firstLine="640"/>
        <w:jc w:val="both"/>
        <w:outlineLvl w:val="2"/>
      </w:pPr>
      <w:r>
        <w:rPr>
          <w:rFonts w:ascii="黑体" w:hAnsi="黑体" w:eastAsia="黑体"/>
          <w:sz w:val="32"/>
        </w:rPr>
        <w:t>一、收入支出决算总体情况说明</w:t>
      </w:r>
    </w:p>
    <w:p w14:paraId="61EB38C0">
      <w:pPr>
        <w:spacing w:line="580" w:lineRule="exact"/>
        <w:ind w:firstLine="640"/>
        <w:jc w:val="both"/>
      </w:pPr>
      <w:r>
        <w:rPr>
          <w:rFonts w:ascii="仿宋_GB2312" w:hAnsi="仿宋_GB2312" w:eastAsia="仿宋_GB2312"/>
          <w:b/>
          <w:sz w:val="32"/>
        </w:rPr>
        <w:t>2024年度收入总计2,789.38万元，</w:t>
      </w:r>
      <w:r>
        <w:rPr>
          <w:rFonts w:ascii="仿宋_GB2312" w:hAnsi="仿宋_GB2312" w:eastAsia="仿宋_GB2312"/>
          <w:b w:val="0"/>
          <w:sz w:val="32"/>
        </w:rPr>
        <w:t>其中：本年收入合计2,472.32万元，使用非财政拨款结余（含专用结余）0.00万元，年初结转和结余317.06万元。</w:t>
      </w:r>
    </w:p>
    <w:p w14:paraId="3CA0A08B">
      <w:pPr>
        <w:spacing w:line="580" w:lineRule="exact"/>
        <w:ind w:firstLine="640"/>
        <w:jc w:val="both"/>
      </w:pPr>
      <w:r>
        <w:rPr>
          <w:rFonts w:ascii="仿宋_GB2312" w:hAnsi="仿宋_GB2312" w:eastAsia="仿宋_GB2312"/>
          <w:b/>
          <w:sz w:val="32"/>
        </w:rPr>
        <w:t>2024年度支出总计2,789.38万元，</w:t>
      </w:r>
      <w:r>
        <w:rPr>
          <w:rFonts w:ascii="仿宋_GB2312" w:hAnsi="仿宋_GB2312" w:eastAsia="仿宋_GB2312"/>
          <w:b w:val="0"/>
          <w:sz w:val="32"/>
        </w:rPr>
        <w:t>其中：本年支出合计2,497.29万元，结余分配0.00万元，年末结转和结余292.09万元。</w:t>
      </w:r>
    </w:p>
    <w:p w14:paraId="0B567750">
      <w:pPr>
        <w:spacing w:line="580" w:lineRule="exact"/>
        <w:ind w:firstLine="640"/>
        <w:jc w:val="both"/>
      </w:pPr>
      <w:r>
        <w:rPr>
          <w:rFonts w:ascii="仿宋_GB2312" w:hAnsi="仿宋_GB2312" w:eastAsia="仿宋_GB2312"/>
          <w:b w:val="0"/>
          <w:sz w:val="32"/>
        </w:rPr>
        <w:t>收入支出总体与上年相比，减少250.35万元，下降8.24%，主要原因是：本</w:t>
      </w:r>
      <w:r>
        <w:rPr>
          <w:rFonts w:hint="eastAsia" w:ascii="仿宋_GB2312" w:hAnsi="仿宋_GB2312" w:eastAsia="仿宋_GB2312"/>
          <w:b w:val="0"/>
          <w:sz w:val="32"/>
          <w:lang w:eastAsia="zh-CN"/>
        </w:rPr>
        <w:t>年度</w:t>
      </w:r>
      <w:r>
        <w:rPr>
          <w:rFonts w:ascii="仿宋_GB2312" w:hAnsi="仿宋_GB2312" w:eastAsia="仿宋_GB2312"/>
          <w:b w:val="0"/>
          <w:sz w:val="32"/>
        </w:rPr>
        <w:t>减少网络安全防御平台、视频会议室改造、中心机房安装视频监控及录像存储设备、更换中心机房UPS控制主机及电池组等项目；本年度拨入援疆工作经费和党建经费减少。</w:t>
      </w:r>
    </w:p>
    <w:p w14:paraId="3DD4703E">
      <w:pPr>
        <w:spacing w:line="640" w:lineRule="exact"/>
        <w:ind w:firstLine="640"/>
        <w:jc w:val="both"/>
        <w:outlineLvl w:val="2"/>
      </w:pPr>
      <w:r>
        <w:rPr>
          <w:rFonts w:ascii="黑体" w:hAnsi="黑体" w:eastAsia="黑体"/>
          <w:sz w:val="32"/>
        </w:rPr>
        <w:t>二、收入决算情况说明</w:t>
      </w:r>
    </w:p>
    <w:p w14:paraId="5E5D18AA">
      <w:pPr>
        <w:spacing w:line="580" w:lineRule="exact"/>
        <w:ind w:firstLine="640"/>
        <w:jc w:val="both"/>
      </w:pPr>
      <w:r>
        <w:rPr>
          <w:rFonts w:ascii="仿宋_GB2312" w:hAnsi="仿宋_GB2312" w:eastAsia="仿宋_GB2312"/>
          <w:b/>
          <w:sz w:val="32"/>
        </w:rPr>
        <w:t>本年收入2,472.32万元，</w:t>
      </w:r>
      <w:r>
        <w:rPr>
          <w:rFonts w:ascii="仿宋_GB2312" w:hAnsi="仿宋_GB2312" w:eastAsia="仿宋_GB2312"/>
          <w:b w:val="0"/>
          <w:sz w:val="32"/>
        </w:rPr>
        <w:t>其中：财政拨款收入2,429.10万元，占98.25%；上级补助收入0.00万元，占0.00%；事业收入0.00万元，占0.00%；经营收入0.00万元，占0.00%；附属单位上缴收入0.00万元，占0.00%；其他收入43.22万元，占1.75%。</w:t>
      </w:r>
    </w:p>
    <w:p w14:paraId="1AAAC4B0">
      <w:pPr>
        <w:spacing w:line="640" w:lineRule="exact"/>
        <w:ind w:firstLine="640"/>
        <w:jc w:val="both"/>
        <w:outlineLvl w:val="2"/>
      </w:pPr>
      <w:r>
        <w:rPr>
          <w:rFonts w:ascii="黑体" w:hAnsi="黑体" w:eastAsia="黑体"/>
          <w:sz w:val="32"/>
        </w:rPr>
        <w:t>三、支出决算情况说明</w:t>
      </w:r>
    </w:p>
    <w:p w14:paraId="7F1E8D45">
      <w:pPr>
        <w:spacing w:line="580" w:lineRule="exact"/>
        <w:ind w:firstLine="640"/>
        <w:jc w:val="both"/>
      </w:pPr>
      <w:r>
        <w:rPr>
          <w:rFonts w:ascii="仿宋_GB2312" w:hAnsi="仿宋_GB2312" w:eastAsia="仿宋_GB2312"/>
          <w:b/>
          <w:sz w:val="32"/>
        </w:rPr>
        <w:t>本年支出2,497.29万元，</w:t>
      </w:r>
      <w:r>
        <w:rPr>
          <w:rFonts w:ascii="仿宋_GB2312" w:hAnsi="仿宋_GB2312" w:eastAsia="仿宋_GB2312"/>
          <w:b w:val="0"/>
          <w:sz w:val="32"/>
        </w:rPr>
        <w:t>其中：基本支出1,589.18万元，占63.64%；项目支出908.11万元，占36.36%；上缴上级支出0.00万元，占0.00%；经营支出0.00万元，占0.00%；对附属单位补助支出0.00万元，占0.00%。</w:t>
      </w:r>
    </w:p>
    <w:p w14:paraId="2FF75DFC">
      <w:pPr>
        <w:spacing w:line="640" w:lineRule="exact"/>
        <w:ind w:firstLine="640"/>
        <w:jc w:val="both"/>
        <w:outlineLvl w:val="2"/>
      </w:pPr>
      <w:r>
        <w:rPr>
          <w:rFonts w:ascii="黑体" w:hAnsi="黑体" w:eastAsia="黑体"/>
          <w:sz w:val="32"/>
        </w:rPr>
        <w:t>四、财政拨款收入支出决算总体情况说明</w:t>
      </w:r>
    </w:p>
    <w:p w14:paraId="6E625986">
      <w:pPr>
        <w:spacing w:line="580" w:lineRule="exact"/>
        <w:ind w:firstLine="640"/>
        <w:jc w:val="both"/>
      </w:pPr>
      <w:r>
        <w:rPr>
          <w:rFonts w:ascii="仿宋_GB2312" w:hAnsi="仿宋_GB2312" w:eastAsia="仿宋_GB2312"/>
          <w:b/>
          <w:sz w:val="32"/>
        </w:rPr>
        <w:t>2024年度财政拨款收入总计2,429.10万元，</w:t>
      </w:r>
      <w:r>
        <w:rPr>
          <w:rFonts w:ascii="仿宋_GB2312" w:hAnsi="仿宋_GB2312" w:eastAsia="仿宋_GB2312"/>
          <w:b w:val="0"/>
          <w:sz w:val="32"/>
        </w:rPr>
        <w:t>其中：年初财政拨款结转和结余0.00万元，本年财政拨款收入2,429.10万元。</w:t>
      </w:r>
      <w:r>
        <w:rPr>
          <w:rFonts w:ascii="仿宋_GB2312" w:hAnsi="仿宋_GB2312" w:eastAsia="仿宋_GB2312"/>
          <w:b/>
          <w:sz w:val="32"/>
        </w:rPr>
        <w:t>财政拨款支出总计2,429.10万元，</w:t>
      </w:r>
      <w:r>
        <w:rPr>
          <w:rFonts w:ascii="仿宋_GB2312" w:hAnsi="仿宋_GB2312" w:eastAsia="仿宋_GB2312"/>
          <w:b w:val="0"/>
          <w:sz w:val="32"/>
        </w:rPr>
        <w:t>其中：年末财政拨款结转和结余0.00万元，本年财政拨款支出2,429.10万元。</w:t>
      </w:r>
    </w:p>
    <w:p w14:paraId="1513EF58">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减少209.95万元，下降7.96%，主要原因是：本年减少网络安全防御平台、视频会议室改造、中心机房安装视频监控及录像存储设备、更换中心机房UPS控制主机及电池组等项目。</w:t>
      </w:r>
      <w:r>
        <w:rPr>
          <w:rFonts w:ascii="仿宋_GB2312" w:hAnsi="仿宋_GB2312" w:eastAsia="仿宋_GB2312"/>
          <w:b/>
          <w:sz w:val="32"/>
        </w:rPr>
        <w:t>与年初预算相比，</w:t>
      </w:r>
      <w:r>
        <w:rPr>
          <w:rFonts w:ascii="仿宋_GB2312" w:hAnsi="仿宋_GB2312" w:eastAsia="仿宋_GB2312"/>
          <w:b w:val="0"/>
          <w:sz w:val="32"/>
        </w:rPr>
        <w:t>年初预算数2,285.54万元，决算数2,429.10万元，预决算差异率6.28%，主要原因是：年中追加人员工资、社保、公积金基数调增部分资金，追加年度考核奖、办公用房维修资金，导致预决算存在差异。</w:t>
      </w:r>
    </w:p>
    <w:p w14:paraId="0E0AC728">
      <w:pPr>
        <w:spacing w:line="640" w:lineRule="exact"/>
        <w:ind w:firstLine="640"/>
        <w:jc w:val="both"/>
        <w:outlineLvl w:val="2"/>
      </w:pPr>
      <w:r>
        <w:rPr>
          <w:rFonts w:ascii="黑体" w:hAnsi="黑体" w:eastAsia="黑体"/>
          <w:sz w:val="32"/>
        </w:rPr>
        <w:t>五、一般公共预算财政拨款支出决算情况说明</w:t>
      </w:r>
    </w:p>
    <w:p w14:paraId="6F1229FB">
      <w:pPr>
        <w:spacing w:line="640" w:lineRule="exact"/>
        <w:ind w:firstLine="640"/>
        <w:jc w:val="both"/>
        <w:outlineLvl w:val="3"/>
      </w:pPr>
      <w:r>
        <w:rPr>
          <w:rFonts w:ascii="楷体_GB2312" w:hAnsi="楷体_GB2312" w:eastAsia="楷体_GB2312"/>
          <w:b/>
          <w:sz w:val="32"/>
        </w:rPr>
        <w:t>（一）一般公共预算财政拨款支出决算总体情况</w:t>
      </w:r>
    </w:p>
    <w:p w14:paraId="3CDBB3AD">
      <w:pPr>
        <w:spacing w:line="580" w:lineRule="exact"/>
        <w:ind w:firstLine="640"/>
        <w:jc w:val="both"/>
      </w:pPr>
      <w:r>
        <w:rPr>
          <w:rFonts w:ascii="仿宋_GB2312" w:hAnsi="仿宋_GB2312" w:eastAsia="仿宋_GB2312"/>
          <w:b/>
          <w:sz w:val="32"/>
        </w:rPr>
        <w:t>2024年度一般公共预算财政拨款支出2,429.10万元，</w:t>
      </w:r>
      <w:r>
        <w:rPr>
          <w:rFonts w:ascii="仿宋_GB2312" w:hAnsi="仿宋_GB2312" w:eastAsia="仿宋_GB2312"/>
          <w:b w:val="0"/>
          <w:sz w:val="32"/>
        </w:rPr>
        <w:t>占本年支出合计的97.27%。</w:t>
      </w:r>
      <w:r>
        <w:rPr>
          <w:rFonts w:ascii="仿宋_GB2312" w:hAnsi="仿宋_GB2312" w:eastAsia="仿宋_GB2312"/>
          <w:b/>
          <w:sz w:val="32"/>
        </w:rPr>
        <w:t>与上年相比，</w:t>
      </w:r>
      <w:r>
        <w:rPr>
          <w:rFonts w:ascii="仿宋_GB2312" w:hAnsi="仿宋_GB2312" w:eastAsia="仿宋_GB2312"/>
          <w:b w:val="0"/>
          <w:sz w:val="32"/>
        </w:rPr>
        <w:t>减少209.95万元，下降7.96%，主要原因是：本年减少网络安全防御平台、视频会议室改造、中心机房安装视频监控及录像存储设备、更换中心机房UPS控制主机及电池组等项目。</w:t>
      </w:r>
      <w:r>
        <w:rPr>
          <w:rFonts w:ascii="仿宋_GB2312" w:hAnsi="仿宋_GB2312" w:eastAsia="仿宋_GB2312"/>
          <w:b/>
          <w:sz w:val="32"/>
        </w:rPr>
        <w:t>与年初预算相比,</w:t>
      </w:r>
      <w:r>
        <w:rPr>
          <w:rFonts w:ascii="仿宋_GB2312" w:hAnsi="仿宋_GB2312" w:eastAsia="仿宋_GB2312"/>
          <w:b w:val="0"/>
          <w:sz w:val="32"/>
        </w:rPr>
        <w:t>年初预算数2,285.54万元，决算数2,429.10万元，预决算差异率6.28%，主要原因是：年中追加人员工资、社保、公积金基数调增部分资金，追加年度考核奖、办公用房维修资金，导致预决算存在差异。</w:t>
      </w:r>
    </w:p>
    <w:p w14:paraId="2A88B735">
      <w:pPr>
        <w:spacing w:line="640" w:lineRule="exact"/>
        <w:ind w:firstLine="640"/>
        <w:jc w:val="both"/>
        <w:outlineLvl w:val="3"/>
      </w:pPr>
      <w:r>
        <w:rPr>
          <w:rFonts w:ascii="楷体_GB2312" w:hAnsi="楷体_GB2312" w:eastAsia="楷体_GB2312"/>
          <w:b/>
          <w:sz w:val="32"/>
        </w:rPr>
        <w:t>（二）一般公共预算财政拨款支出决算结构情况</w:t>
      </w:r>
    </w:p>
    <w:p w14:paraId="72947B9C">
      <w:pPr>
        <w:spacing w:line="580" w:lineRule="exact"/>
        <w:ind w:firstLine="640"/>
        <w:jc w:val="both"/>
      </w:pPr>
      <w:r>
        <w:rPr>
          <w:rFonts w:ascii="仿宋_GB2312" w:hAnsi="仿宋_GB2312" w:eastAsia="仿宋_GB2312"/>
          <w:b w:val="0"/>
          <w:sz w:val="32"/>
        </w:rPr>
        <w:t>1.一般公共服务支出(类)1,978.05万元,占81.43%。</w:t>
      </w:r>
    </w:p>
    <w:p w14:paraId="23D03FAF">
      <w:pPr>
        <w:spacing w:line="580" w:lineRule="exact"/>
        <w:ind w:firstLine="640"/>
        <w:jc w:val="both"/>
      </w:pPr>
      <w:r>
        <w:rPr>
          <w:rFonts w:ascii="仿宋_GB2312" w:hAnsi="仿宋_GB2312" w:eastAsia="仿宋_GB2312"/>
          <w:b w:val="0"/>
          <w:sz w:val="32"/>
        </w:rPr>
        <w:t>2.社会保障和就业支出(类)275.92万元,占11.36%。</w:t>
      </w:r>
    </w:p>
    <w:p w14:paraId="6C284DB5">
      <w:pPr>
        <w:spacing w:line="580" w:lineRule="exact"/>
        <w:ind w:firstLine="640"/>
        <w:jc w:val="both"/>
      </w:pPr>
      <w:r>
        <w:rPr>
          <w:rFonts w:ascii="仿宋_GB2312" w:hAnsi="仿宋_GB2312" w:eastAsia="仿宋_GB2312"/>
          <w:b w:val="0"/>
          <w:sz w:val="32"/>
        </w:rPr>
        <w:t>3.卫生健康支出(类)71.12万元,占2.93%。</w:t>
      </w:r>
    </w:p>
    <w:p w14:paraId="3986C056">
      <w:pPr>
        <w:spacing w:line="580" w:lineRule="exact"/>
        <w:ind w:firstLine="640"/>
        <w:jc w:val="both"/>
      </w:pPr>
      <w:r>
        <w:rPr>
          <w:rFonts w:ascii="仿宋_GB2312" w:hAnsi="仿宋_GB2312" w:eastAsia="仿宋_GB2312"/>
          <w:b w:val="0"/>
          <w:sz w:val="32"/>
        </w:rPr>
        <w:t>4.住房保障支出(类)103.58万元,占4.26%。</w:t>
      </w:r>
    </w:p>
    <w:p w14:paraId="5512EC6A">
      <w:pPr>
        <w:spacing w:line="580" w:lineRule="exact"/>
        <w:ind w:firstLine="640"/>
        <w:jc w:val="both"/>
      </w:pPr>
      <w:r>
        <w:rPr>
          <w:rFonts w:ascii="仿宋_GB2312" w:hAnsi="仿宋_GB2312" w:eastAsia="仿宋_GB2312"/>
          <w:b w:val="0"/>
          <w:sz w:val="32"/>
        </w:rPr>
        <w:t>5.其他支出(类)0.42万元,占0.02%。</w:t>
      </w:r>
    </w:p>
    <w:p w14:paraId="6D2952DE">
      <w:pPr>
        <w:spacing w:line="640" w:lineRule="exact"/>
        <w:ind w:firstLine="640"/>
        <w:jc w:val="both"/>
        <w:outlineLvl w:val="3"/>
      </w:pPr>
      <w:r>
        <w:rPr>
          <w:rFonts w:ascii="楷体_GB2312" w:hAnsi="楷体_GB2312" w:eastAsia="楷体_GB2312"/>
          <w:b/>
          <w:sz w:val="32"/>
        </w:rPr>
        <w:t>（三）一般公共预算财政拨款支出决算具体情况</w:t>
      </w:r>
    </w:p>
    <w:p w14:paraId="0E4997CB">
      <w:pPr>
        <w:spacing w:line="580" w:lineRule="exact"/>
        <w:ind w:firstLine="640"/>
        <w:jc w:val="both"/>
      </w:pPr>
      <w:r>
        <w:rPr>
          <w:rFonts w:ascii="仿宋_GB2312" w:hAnsi="仿宋_GB2312" w:eastAsia="仿宋_GB2312"/>
          <w:b w:val="0"/>
          <w:sz w:val="32"/>
        </w:rPr>
        <w:t>1.一般公共服务支出(类)财政事务(款)行政运行(项):支出决算数为795.80万元，比上年决算减少30.37万元，下降3.68%,主要原因是：本年功能科目调整，上年度部分职业年金缴费在本科目列支，本年全部在机关事业单位职业年金缴费支出科目列支，导致经费减少。</w:t>
      </w:r>
    </w:p>
    <w:p w14:paraId="5DBFF16B">
      <w:pPr>
        <w:spacing w:line="580" w:lineRule="exact"/>
        <w:ind w:firstLine="640"/>
        <w:jc w:val="both"/>
      </w:pPr>
      <w:r>
        <w:rPr>
          <w:rFonts w:ascii="仿宋_GB2312" w:hAnsi="仿宋_GB2312" w:eastAsia="仿宋_GB2312"/>
          <w:b w:val="0"/>
          <w:sz w:val="32"/>
        </w:rPr>
        <w:t>2.一般公共服务支出(类)财政事务(款)一般行政管理事务(项):支出决算数为657.77万元，比上年决算增加41.29万元，增长6.70%,主要原因是：本年增加办公楼维修改造经费、办公用房维修资金。</w:t>
      </w:r>
    </w:p>
    <w:p w14:paraId="01A173C3">
      <w:pPr>
        <w:spacing w:line="580" w:lineRule="exact"/>
        <w:ind w:firstLine="640"/>
        <w:jc w:val="both"/>
      </w:pPr>
      <w:r>
        <w:rPr>
          <w:rFonts w:ascii="仿宋_GB2312" w:hAnsi="仿宋_GB2312" w:eastAsia="仿宋_GB2312"/>
          <w:b w:val="0"/>
          <w:sz w:val="32"/>
        </w:rPr>
        <w:t>3.一般公共服务支出(类)财政事务(款)信息化建设(项):支出决算数为184.77万元，比上年决算减少285.59万元，下降60.72%,主要原因是：本年减少网络安全防御平台、视频会议室改造、中心机房安装视频监控及录像存储设备、更换中心机房UPS控制主机及电池组等项目。</w:t>
      </w:r>
    </w:p>
    <w:p w14:paraId="353FFCE3">
      <w:pPr>
        <w:spacing w:line="580" w:lineRule="exact"/>
        <w:ind w:firstLine="640"/>
        <w:jc w:val="both"/>
      </w:pPr>
      <w:r>
        <w:rPr>
          <w:rFonts w:ascii="仿宋_GB2312" w:hAnsi="仿宋_GB2312" w:eastAsia="仿宋_GB2312"/>
          <w:b w:val="0"/>
          <w:sz w:val="32"/>
        </w:rPr>
        <w:t>4.一般公共服务支出(类)财政事务(款)事业运行(项):支出决算数为333.36万元，比上年决算增加31.80万元，增长10.55%,主要原因是：本年在职人员工资调增，导致相关人员经费较上年有所增加。</w:t>
      </w:r>
    </w:p>
    <w:p w14:paraId="7CE616BC">
      <w:pPr>
        <w:spacing w:line="580" w:lineRule="exact"/>
        <w:ind w:firstLine="640"/>
        <w:jc w:val="both"/>
      </w:pPr>
      <w:r>
        <w:rPr>
          <w:rFonts w:ascii="仿宋_GB2312" w:hAnsi="仿宋_GB2312" w:eastAsia="仿宋_GB2312"/>
          <w:b w:val="0"/>
          <w:sz w:val="32"/>
        </w:rPr>
        <w:t>5.一般公共服务支出(类)财政事务(款)其他财政事务支出(项):支出决算数为6.35万元，比上年决算增加5.25万元，增长477.27%,主要原因是：本年度全区会计专业技术资格考试考务工作经费较上年增加。</w:t>
      </w:r>
    </w:p>
    <w:p w14:paraId="17A1688B">
      <w:pPr>
        <w:spacing w:line="580" w:lineRule="exact"/>
        <w:ind w:firstLine="640"/>
        <w:jc w:val="both"/>
      </w:pPr>
      <w:r>
        <w:rPr>
          <w:rFonts w:ascii="仿宋_GB2312" w:hAnsi="仿宋_GB2312" w:eastAsia="仿宋_GB2312"/>
          <w:b w:val="0"/>
          <w:sz w:val="32"/>
        </w:rPr>
        <w:t>6.一般公共服务支出(类)统战事务(款)其他统战事务支出(项):支出决算数为0.00万元，比上年决算减少0.77万元，下降100.00%,主要原因是：本年度减少</w:t>
      </w:r>
      <w:r>
        <w:rPr>
          <w:rFonts w:hint="eastAsia" w:ascii="仿宋_GB2312" w:hAnsi="仿宋_GB2312" w:eastAsia="仿宋_GB2312"/>
          <w:b w:val="0"/>
          <w:sz w:val="32"/>
          <w:lang w:eastAsia="zh-CN"/>
        </w:rPr>
        <w:t>驻寺</w:t>
      </w:r>
      <w:r>
        <w:rPr>
          <w:rFonts w:ascii="仿宋_GB2312" w:hAnsi="仿宋_GB2312" w:eastAsia="仿宋_GB2312"/>
          <w:b w:val="0"/>
          <w:sz w:val="32"/>
        </w:rPr>
        <w:t>工作人员经费。</w:t>
      </w:r>
    </w:p>
    <w:p w14:paraId="4070A20C">
      <w:pPr>
        <w:spacing w:line="580" w:lineRule="exact"/>
        <w:ind w:firstLine="640"/>
        <w:jc w:val="both"/>
      </w:pPr>
      <w:r>
        <w:rPr>
          <w:rFonts w:ascii="仿宋_GB2312" w:hAnsi="仿宋_GB2312" w:eastAsia="仿宋_GB2312"/>
          <w:b w:val="0"/>
          <w:sz w:val="32"/>
        </w:rPr>
        <w:t>7.社会保障和就业支出(类)行政事业单位养老支出(款)行政单位离退休(项):支出决算数为36.63万元，比上年决算增加13.76万元，增长60.17%,主要原因是：本年</w:t>
      </w:r>
      <w:r>
        <w:rPr>
          <w:rFonts w:hint="eastAsia" w:ascii="仿宋_GB2312" w:hAnsi="仿宋_GB2312" w:eastAsia="仿宋_GB2312"/>
          <w:b w:val="0"/>
          <w:sz w:val="32"/>
          <w:lang w:val="en-US" w:eastAsia="zh-CN"/>
        </w:rPr>
        <w:t>退休人员增加，</w:t>
      </w:r>
      <w:r>
        <w:rPr>
          <w:rFonts w:ascii="仿宋_GB2312" w:hAnsi="仿宋_GB2312" w:eastAsia="仿宋_GB2312"/>
          <w:b w:val="0"/>
          <w:sz w:val="32"/>
        </w:rPr>
        <w:t>增加退休人员基础绩效奖，退休费支出增加。</w:t>
      </w:r>
    </w:p>
    <w:p w14:paraId="2825AFED">
      <w:pPr>
        <w:spacing w:line="580" w:lineRule="exact"/>
        <w:ind w:firstLine="640"/>
        <w:jc w:val="both"/>
      </w:pPr>
      <w:r>
        <w:rPr>
          <w:rFonts w:ascii="仿宋_GB2312" w:hAnsi="仿宋_GB2312" w:eastAsia="仿宋_GB2312"/>
          <w:b w:val="0"/>
          <w:sz w:val="32"/>
        </w:rPr>
        <w:t>8.社会保障和就业支出(类)行政事业单位养老支出(款)机关事业单位基本养老保险缴费支出(项):支出决算数为126.57万元，比上年决算增加4.38万元，增长3.58%,主要原因是：本年在职人员工资基数调增，养老缴费基数上涨，相应支出增加。</w:t>
      </w:r>
    </w:p>
    <w:p w14:paraId="32C58EAD">
      <w:pPr>
        <w:spacing w:line="580" w:lineRule="exact"/>
        <w:ind w:firstLine="640"/>
        <w:jc w:val="both"/>
      </w:pPr>
      <w:r>
        <w:rPr>
          <w:rFonts w:ascii="仿宋_GB2312" w:hAnsi="仿宋_GB2312" w:eastAsia="仿宋_GB2312"/>
          <w:b w:val="0"/>
          <w:sz w:val="32"/>
        </w:rPr>
        <w:t>9.社会保障和就业支出(类)行政事业单位养老支出(款)机关事业单位职业年金缴费支出(项):支出决算数为112.72万元，比上年决算增加21.79万元，增长23.96%,主要原因是：本年新增退休人员，职业年金缴费支出增加；本年功能科目调整，上年度部分职业年金缴费在行政运行科目列支，本年全部在机关事业单位职业年金缴费支出科目列支，导致经费增加。</w:t>
      </w:r>
    </w:p>
    <w:p w14:paraId="08C0247F">
      <w:pPr>
        <w:spacing w:line="580" w:lineRule="exact"/>
        <w:ind w:firstLine="640"/>
        <w:jc w:val="both"/>
      </w:pPr>
      <w:r>
        <w:rPr>
          <w:rFonts w:ascii="仿宋_GB2312" w:hAnsi="仿宋_GB2312" w:eastAsia="仿宋_GB2312"/>
          <w:b w:val="0"/>
          <w:sz w:val="32"/>
        </w:rPr>
        <w:t>10.卫生健康支出(类)行政事业单位医疗(款)行政单位医疗(项):支出决算数为43.60万元，比上年决算增加0.45万元，增长1.04%,主要原因是：本年在职人员工资基数调增，医疗缴费基数上涨，相应支出增加。</w:t>
      </w:r>
    </w:p>
    <w:p w14:paraId="16AAAAFE">
      <w:pPr>
        <w:spacing w:line="580" w:lineRule="exact"/>
        <w:ind w:firstLine="640"/>
        <w:jc w:val="both"/>
      </w:pPr>
      <w:r>
        <w:rPr>
          <w:rFonts w:ascii="仿宋_GB2312" w:hAnsi="仿宋_GB2312" w:eastAsia="仿宋_GB2312"/>
          <w:b w:val="0"/>
          <w:sz w:val="32"/>
        </w:rPr>
        <w:t>11.卫生健康支出(类)行政事业单位医疗(款)事业单位医疗(项):支出决算数为22.89万元，比上年决算增加1.94万元，增长9.26%,主要原因是：本年在职人员工资基数调增，医疗缴费基数上涨，相应支出增加。</w:t>
      </w:r>
    </w:p>
    <w:p w14:paraId="291F334E">
      <w:pPr>
        <w:spacing w:line="580" w:lineRule="exact"/>
        <w:ind w:firstLine="640"/>
        <w:jc w:val="both"/>
      </w:pPr>
      <w:r>
        <w:rPr>
          <w:rFonts w:ascii="仿宋_GB2312" w:hAnsi="仿宋_GB2312" w:eastAsia="仿宋_GB2312"/>
          <w:b w:val="0"/>
          <w:sz w:val="32"/>
        </w:rPr>
        <w:t>12.卫生健康支出(类)行政事业单位医疗(款)公务员医疗补助(项):支出决算数为4.13万元，比上年决算增加0.18万元，增长4.56%,主要原因是：本年在职人员工资基数调增，医疗缴费基数上涨，相应支出增加。</w:t>
      </w:r>
    </w:p>
    <w:p w14:paraId="213A6FF9">
      <w:pPr>
        <w:spacing w:line="580" w:lineRule="exact"/>
        <w:ind w:firstLine="640"/>
        <w:jc w:val="both"/>
      </w:pPr>
      <w:r>
        <w:rPr>
          <w:rFonts w:ascii="仿宋_GB2312" w:hAnsi="仿宋_GB2312" w:eastAsia="仿宋_GB2312"/>
          <w:b w:val="0"/>
          <w:sz w:val="32"/>
        </w:rPr>
        <w:t>13.卫生健康支出(类)行政事业单位医疗(款)其他行政事业单位医疗支出(项):支出决算数为0.51万元，比上年决算增加0.05万元，增长10.87%,主要原因是：本年在职人员工资基数调增，医疗缴费基数上涨，相应支出增加。</w:t>
      </w:r>
    </w:p>
    <w:p w14:paraId="1AEEA085">
      <w:pPr>
        <w:spacing w:line="580" w:lineRule="exact"/>
        <w:ind w:firstLine="640"/>
        <w:jc w:val="both"/>
      </w:pPr>
      <w:r>
        <w:rPr>
          <w:rFonts w:ascii="仿宋_GB2312" w:hAnsi="仿宋_GB2312" w:eastAsia="仿宋_GB2312"/>
          <w:b w:val="0"/>
          <w:sz w:val="32"/>
        </w:rPr>
        <w:t>14.住房保障支出(类)住房改革支出(款)住房公积金(项):支出决算数为103.58万元，比上年决算增加3.79万元，增长3.80%,主要原因是：本年在职人员工资基数调增，公积金缴费基数上涨，相应支出增加。</w:t>
      </w:r>
    </w:p>
    <w:p w14:paraId="755F9CCE">
      <w:pPr>
        <w:spacing w:line="580" w:lineRule="exact"/>
        <w:ind w:firstLine="640"/>
        <w:jc w:val="both"/>
      </w:pPr>
      <w:r>
        <w:rPr>
          <w:rFonts w:ascii="仿宋_GB2312" w:hAnsi="仿宋_GB2312" w:eastAsia="仿宋_GB2312"/>
          <w:b w:val="0"/>
          <w:sz w:val="32"/>
        </w:rPr>
        <w:t>15.其他支出(类)其他支出(款)其他支出(项):支出决算数为0.42万元，比上年决算减少17.89万元，下降97.71%,主要原因是：本年度工作人员减少，为民办实事工作经费较上年减少。</w:t>
      </w:r>
    </w:p>
    <w:p w14:paraId="2043D5FF">
      <w:pPr>
        <w:spacing w:line="640" w:lineRule="exact"/>
        <w:ind w:firstLine="640"/>
        <w:jc w:val="both"/>
        <w:outlineLvl w:val="2"/>
      </w:pPr>
      <w:r>
        <w:rPr>
          <w:rFonts w:ascii="黑体" w:hAnsi="黑体" w:eastAsia="黑体"/>
          <w:sz w:val="32"/>
        </w:rPr>
        <w:t>六、一般公共预算财政拨款基本支出决算情况说明</w:t>
      </w:r>
    </w:p>
    <w:p w14:paraId="3870A90E">
      <w:pPr>
        <w:spacing w:line="580" w:lineRule="exact"/>
        <w:ind w:firstLine="640"/>
        <w:jc w:val="both"/>
      </w:pPr>
      <w:r>
        <w:rPr>
          <w:rFonts w:ascii="仿宋_GB2312" w:hAnsi="仿宋_GB2312" w:eastAsia="仿宋_GB2312"/>
          <w:b w:val="0"/>
          <w:sz w:val="32"/>
        </w:rPr>
        <w:t>2024年度一般公共预算财政拨款基本支出1,580.21万元，其中：</w:t>
      </w:r>
      <w:r>
        <w:rPr>
          <w:rFonts w:ascii="仿宋_GB2312" w:hAnsi="仿宋_GB2312" w:eastAsia="仿宋_GB2312"/>
          <w:b/>
          <w:sz w:val="32"/>
        </w:rPr>
        <w:t>人员经费1,429.17万元，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生活补助、奖励金、其他对个人和家庭的补助。</w:t>
      </w:r>
    </w:p>
    <w:p w14:paraId="6F452950">
      <w:pPr>
        <w:spacing w:line="580" w:lineRule="exact"/>
        <w:ind w:firstLine="640"/>
        <w:jc w:val="both"/>
      </w:pPr>
      <w:r>
        <w:rPr>
          <w:rFonts w:ascii="仿宋_GB2312" w:hAnsi="仿宋_GB2312" w:eastAsia="仿宋_GB2312"/>
          <w:b/>
          <w:sz w:val="32"/>
        </w:rPr>
        <w:t>公用经费151.04万元，</w:t>
      </w:r>
      <w:r>
        <w:rPr>
          <w:rFonts w:ascii="仿宋_GB2312" w:hAnsi="仿宋_GB2312" w:eastAsia="仿宋_GB2312"/>
          <w:b w:val="0"/>
          <w:sz w:val="32"/>
        </w:rPr>
        <w:t>包括：办公费、印刷费、水费、电费、邮电费、取暖费、差旅费、维修（护）费、公务接待费、劳务费、委托业务费、工会经费、福利费、公务用车运行维护费、其他交通费用、税金及附加费用、其他商品和服务支出。</w:t>
      </w:r>
    </w:p>
    <w:p w14:paraId="4079AC3D">
      <w:pPr>
        <w:spacing w:line="640" w:lineRule="exact"/>
        <w:ind w:firstLine="640"/>
        <w:jc w:val="both"/>
        <w:outlineLvl w:val="2"/>
      </w:pPr>
      <w:r>
        <w:rPr>
          <w:rFonts w:ascii="黑体" w:hAnsi="黑体" w:eastAsia="黑体"/>
          <w:sz w:val="32"/>
        </w:rPr>
        <w:t>七、政府性基金预算财政拨款收入支出决算情况说明</w:t>
      </w:r>
    </w:p>
    <w:p w14:paraId="77870A98">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BCC8EC4">
      <w:pPr>
        <w:spacing w:line="640" w:lineRule="exact"/>
        <w:ind w:firstLine="640"/>
        <w:jc w:val="both"/>
        <w:outlineLvl w:val="2"/>
      </w:pPr>
      <w:r>
        <w:rPr>
          <w:rFonts w:ascii="黑体" w:hAnsi="黑体" w:eastAsia="黑体"/>
          <w:sz w:val="32"/>
        </w:rPr>
        <w:t>八、国有资本经营预算财政拨款收入支出决算情况说明</w:t>
      </w:r>
    </w:p>
    <w:p w14:paraId="32A00A9E">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8D843A7">
      <w:pPr>
        <w:spacing w:line="640" w:lineRule="exact"/>
        <w:ind w:firstLine="640"/>
        <w:jc w:val="both"/>
        <w:outlineLvl w:val="2"/>
      </w:pPr>
      <w:r>
        <w:rPr>
          <w:rFonts w:ascii="黑体" w:hAnsi="黑体" w:eastAsia="黑体"/>
          <w:sz w:val="32"/>
        </w:rPr>
        <w:t>九、财政拨款“三公”经费支出决算情况说明</w:t>
      </w:r>
    </w:p>
    <w:p w14:paraId="769613FB">
      <w:pPr>
        <w:spacing w:line="580" w:lineRule="exact"/>
        <w:ind w:firstLine="640"/>
        <w:jc w:val="both"/>
      </w:pPr>
      <w:r>
        <w:rPr>
          <w:rFonts w:ascii="仿宋_GB2312" w:hAnsi="仿宋_GB2312" w:eastAsia="仿宋_GB2312"/>
          <w:b/>
          <w:sz w:val="32"/>
        </w:rPr>
        <w:t>2024年度财政拨款“三公”经费支出26.66万元，</w:t>
      </w:r>
      <w:r>
        <w:rPr>
          <w:rFonts w:ascii="仿宋_GB2312" w:hAnsi="仿宋_GB2312" w:eastAsia="仿宋_GB2312"/>
          <w:b w:val="0"/>
          <w:sz w:val="32"/>
        </w:rPr>
        <w:t>比上年减少6.27万元，下降19.03%，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25.66万元，占96.25%，比上年减少6.33万元，下降19.79%，主要原因是：严格落实中央八项规定精神，厉行节约，减少公务用车运行维护费。公务接待费支出1.01万元，占3.79%，比上年增加0.06万元，增长6.32%，主要原因是：本年度邀请自治区专家开展预算绩效培训，增加公务接待工作，导致公务接待费较上年增加。</w:t>
      </w:r>
    </w:p>
    <w:p w14:paraId="6044F289">
      <w:pPr>
        <w:spacing w:line="580" w:lineRule="exact"/>
        <w:ind w:firstLine="640"/>
        <w:jc w:val="both"/>
      </w:pPr>
      <w:r>
        <w:rPr>
          <w:rFonts w:ascii="仿宋_GB2312" w:hAnsi="仿宋_GB2312" w:eastAsia="仿宋_GB2312"/>
          <w:b/>
          <w:sz w:val="32"/>
        </w:rPr>
        <w:t>具体情况如下：</w:t>
      </w:r>
    </w:p>
    <w:p w14:paraId="06647624">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A1E25D2">
      <w:pPr>
        <w:spacing w:line="580" w:lineRule="exact"/>
        <w:ind w:firstLine="640"/>
        <w:jc w:val="both"/>
      </w:pPr>
      <w:r>
        <w:rPr>
          <w:rFonts w:ascii="仿宋_GB2312" w:hAnsi="仿宋_GB2312" w:eastAsia="仿宋_GB2312"/>
          <w:b w:val="0"/>
          <w:sz w:val="32"/>
        </w:rPr>
        <w:t>公务用车购置及运行维护费25.66万元，其中：公务用车购置费0.00万元，公务用车运行维护费25.66万元。公务用车运行维护费开支内容包括公务用车燃料费、维修费、停车费过路费、保险费等。公务用车购置数0辆，公务用车保有量8辆。国有资产占用情况中固定资产车辆5辆，与公务用车保有量差异原因是：借用其他单位车辆，车辆费用由本单位支付。</w:t>
      </w:r>
    </w:p>
    <w:p w14:paraId="1995FFF0">
      <w:pPr>
        <w:spacing w:line="580" w:lineRule="exact"/>
        <w:ind w:firstLine="640"/>
        <w:jc w:val="both"/>
      </w:pPr>
      <w:r>
        <w:rPr>
          <w:rFonts w:ascii="仿宋_GB2312" w:hAnsi="仿宋_GB2312" w:eastAsia="仿宋_GB2312"/>
          <w:b w:val="0"/>
          <w:sz w:val="32"/>
        </w:rPr>
        <w:t>公务接待费1.01万元，开支内容包括接待上级领导检查、调研及缴请专家开展预算绩效培训餐费。单位全年安排的国内公务接待10批次，188人次。</w:t>
      </w:r>
    </w:p>
    <w:p w14:paraId="4AEB26D3">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26.66万元，决算数26.66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25.66万元，决算数25.66万元，预决算差异率0.00%，主要原因是：严格按照预算执行，预决算无差异。公务接待费全年预算数1.01万元，决算数1.01万元，预决算差异率0.00%，主要原因是：严格按照预算执行，预决算无差异。</w:t>
      </w:r>
    </w:p>
    <w:p w14:paraId="7F6690EF">
      <w:pPr>
        <w:spacing w:line="640" w:lineRule="exact"/>
        <w:ind w:firstLine="640"/>
        <w:jc w:val="both"/>
        <w:outlineLvl w:val="2"/>
      </w:pPr>
      <w:r>
        <w:rPr>
          <w:rFonts w:ascii="黑体" w:hAnsi="黑体" w:eastAsia="黑体"/>
          <w:sz w:val="32"/>
        </w:rPr>
        <w:t>十、其他重要事项的情况说明</w:t>
      </w:r>
    </w:p>
    <w:p w14:paraId="2499C568">
      <w:pPr>
        <w:spacing w:line="640" w:lineRule="exact"/>
        <w:ind w:firstLine="640"/>
        <w:jc w:val="both"/>
        <w:outlineLvl w:val="3"/>
      </w:pPr>
      <w:r>
        <w:rPr>
          <w:rFonts w:ascii="楷体_GB2312" w:hAnsi="楷体_GB2312" w:eastAsia="楷体_GB2312"/>
          <w:b/>
          <w:sz w:val="32"/>
        </w:rPr>
        <w:t>（一）机关运行经费及公用经费支出情况</w:t>
      </w:r>
    </w:p>
    <w:p w14:paraId="79FE3A8B">
      <w:pPr>
        <w:spacing w:line="580" w:lineRule="exact"/>
        <w:ind w:firstLine="640"/>
        <w:jc w:val="both"/>
      </w:pPr>
      <w:r>
        <w:rPr>
          <w:rFonts w:ascii="仿宋_GB2312" w:hAnsi="仿宋_GB2312" w:eastAsia="仿宋_GB2312"/>
          <w:b w:val="0"/>
          <w:sz w:val="32"/>
        </w:rPr>
        <w:t>2024年度昌吉回族自治州财政局（行政单位和参照公务员法管理事业单位）机关运行经费支出151.04万元，比上年增加5.73万元，增长3.94%，主要原因是：本年度增加劳务派遣人员费用，机关运行经费支出较上年度增加。</w:t>
      </w:r>
    </w:p>
    <w:p w14:paraId="3A9D5000">
      <w:pPr>
        <w:spacing w:line="640" w:lineRule="exact"/>
        <w:ind w:firstLine="640"/>
        <w:jc w:val="both"/>
        <w:outlineLvl w:val="3"/>
      </w:pPr>
      <w:r>
        <w:rPr>
          <w:rFonts w:ascii="楷体_GB2312" w:hAnsi="楷体_GB2312" w:eastAsia="楷体_GB2312"/>
          <w:b/>
          <w:sz w:val="32"/>
        </w:rPr>
        <w:t>（二）政府采购情况</w:t>
      </w:r>
    </w:p>
    <w:p w14:paraId="50131D28">
      <w:pPr>
        <w:spacing w:line="580" w:lineRule="exact"/>
        <w:ind w:firstLine="640"/>
        <w:jc w:val="both"/>
      </w:pPr>
      <w:r>
        <w:rPr>
          <w:rFonts w:ascii="仿宋_GB2312" w:hAnsi="仿宋_GB2312" w:eastAsia="仿宋_GB2312"/>
          <w:b w:val="0"/>
          <w:sz w:val="32"/>
        </w:rPr>
        <w:t>2024年度政府采购支出总额641.57万元，其中：政府采购货物支出62.77万元、政府采购工程支出305.62万元、政府采购服务支出273.18万元。</w:t>
      </w:r>
    </w:p>
    <w:p w14:paraId="4E27BE7D">
      <w:pPr>
        <w:spacing w:line="580" w:lineRule="exact"/>
        <w:ind w:firstLine="640"/>
        <w:jc w:val="both"/>
      </w:pPr>
      <w:r>
        <w:rPr>
          <w:rFonts w:ascii="仿宋_GB2312" w:hAnsi="仿宋_GB2312" w:eastAsia="仿宋_GB2312"/>
          <w:b w:val="0"/>
          <w:sz w:val="32"/>
        </w:rPr>
        <w:t>授予中小企业合同金额561.02万元，占政府采购支出总额的87.44%，其中：授予小微企业合同金额151.37万元，占政府采购支出总额的23.59%。</w:t>
      </w:r>
    </w:p>
    <w:p w14:paraId="3EC3C0ED">
      <w:pPr>
        <w:spacing w:line="640" w:lineRule="exact"/>
        <w:ind w:firstLine="640"/>
        <w:jc w:val="both"/>
        <w:outlineLvl w:val="3"/>
      </w:pPr>
      <w:r>
        <w:rPr>
          <w:rFonts w:ascii="楷体_GB2312" w:hAnsi="楷体_GB2312" w:eastAsia="楷体_GB2312"/>
          <w:b/>
          <w:sz w:val="32"/>
        </w:rPr>
        <w:t>（三）国有资产占用情况说明</w:t>
      </w:r>
    </w:p>
    <w:p w14:paraId="7A786ABE">
      <w:pPr>
        <w:spacing w:line="580" w:lineRule="exact"/>
        <w:ind w:firstLine="640"/>
        <w:jc w:val="both"/>
      </w:pPr>
      <w:r>
        <w:rPr>
          <w:rFonts w:ascii="仿宋_GB2312" w:hAnsi="仿宋_GB2312" w:eastAsia="仿宋_GB2312"/>
          <w:b w:val="0"/>
          <w:sz w:val="32"/>
        </w:rPr>
        <w:t>截至2024年12月31日，房屋9,864.44平方米，价值1,507.70万元。车辆5辆，价值81.01万元，其中：副部（省）级及以上领导用车0辆、主要负责人用车0辆、机要通信用车0辆、应急保障用车0辆、执法执勤用车0辆、特种专业技术用车0辆、离退休干部服务用车0辆、其他用车5辆，其他用车主要是：一般公务用车。单价100万元（含）以上设备（不含车辆）3台（套）。</w:t>
      </w:r>
    </w:p>
    <w:p w14:paraId="3CB93103">
      <w:pPr>
        <w:spacing w:line="640" w:lineRule="exact"/>
        <w:ind w:firstLine="640"/>
        <w:jc w:val="both"/>
        <w:outlineLvl w:val="2"/>
      </w:pPr>
      <w:r>
        <w:rPr>
          <w:rFonts w:ascii="黑体" w:hAnsi="黑体" w:eastAsia="黑体"/>
          <w:sz w:val="32"/>
        </w:rPr>
        <w:t>十一、预算绩效的情况说明</w:t>
      </w:r>
    </w:p>
    <w:p w14:paraId="6EBD11C0">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2,789.38万元，实际执行总额2,497.29万元；预算绩效评价项目7个，全年预算数1,063.91万元，全年执行数995.08万元。预算绩效管理取得的成效：一是聚焦重点任务，推动项目工作落地落实。为有效推进项目工作开展，提高财政资金使用效益，项目相关科室进一步强化项目意识，对照计划全面梳理重点任务，仔细谋划、紧抓落实，理顺内部分工和工作流程，明确责任和时间节点，一项一项抓好具体落实，确保了项目按时保质完成，保障了项目效益发挥；二是坚持问题导向，加强执行监控，提高资金效益。紧抓预算执行动态监控，提高资金使用效益。坚持以问题为导向，以财政部门的绩效监控为契机，通过资料审核对资金执行进度及绩效目标实现程度开展审核，对绩效监控中发现的问题及时整改，强化资金使用过程管理，</w:t>
      </w:r>
      <w:r>
        <w:rPr>
          <w:rFonts w:hint="eastAsia" w:ascii="仿宋_GB2312" w:hAnsi="仿宋_GB2312" w:eastAsia="仿宋_GB2312"/>
          <w:b w:val="0"/>
          <w:sz w:val="32"/>
          <w:lang w:eastAsia="zh-CN"/>
        </w:rPr>
        <w:t>有效</w:t>
      </w:r>
      <w:r>
        <w:rPr>
          <w:rFonts w:ascii="仿宋_GB2312" w:hAnsi="仿宋_GB2312" w:eastAsia="仿宋_GB2312"/>
          <w:b w:val="0"/>
          <w:sz w:val="32"/>
        </w:rPr>
        <w:t>降低资金偏离政策目标的风险，提高了资金使用效益。发现的问题及原因：一是单位内部工作协同机制有待提高。科学的预算编制和高效的预算执行，需要财务部门和业务部门密切协作配合。在预算编制过程中，对上年度预算执行情况的分析和对新一年度业务需求的预判不够充分，对预算执行进度无法合理预计，就会造成预算执行与编制出现差异；二是绩效目标的可衡量性、相关性还需进一步提升。设置绩效目标时应考虑核心目标的可实现，做到目标的细化量化、明确清晰，预算绩效目标和指标值设定还不够科学，对绩效监控和绩效评价工作有一定影响。下一步改进措施：一是要提高预算编制工作质量。对预算科目进行科学细化，对每项预算的内容、数额、测算依据等进行明确，对项目预算采取滚动管理，及时清理项目库，进一步优化、细化，真正形成预算编制、预算执行、绩效评价等预算管理闭环；二是进一步加强制度建设，提升预算编制的准确性和预算执行的刚性约束，发挥好单位内部预算执行的常态化监控和跟踪，及时纠错纠偏。具体附整体支出绩效自评表，项目支出绩效自评表和评价报告。</w:t>
      </w:r>
    </w:p>
    <w:p w14:paraId="3A49D670">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EE87F56">
        <w:tblPrEx>
          <w:tblCellMar>
            <w:top w:w="0" w:type="dxa"/>
            <w:left w:w="108" w:type="dxa"/>
            <w:bottom w:w="0" w:type="dxa"/>
            <w:right w:w="108" w:type="dxa"/>
          </w:tblCellMar>
        </w:tblPrEx>
        <w:tc>
          <w:tcPr>
            <w:tcW w:w="8847" w:type="dxa"/>
            <w:gridSpan w:val="9"/>
            <w:vAlign w:val="center"/>
          </w:tcPr>
          <w:p w14:paraId="3D925404">
            <w:pPr>
              <w:jc w:val="center"/>
            </w:pPr>
            <w:r>
              <w:rPr>
                <w:rFonts w:ascii="宋体" w:hAnsi="宋体" w:eastAsia="宋体"/>
                <w:sz w:val="24"/>
              </w:rPr>
              <w:t>单位整体支出绩效自评表</w:t>
            </w:r>
          </w:p>
        </w:tc>
      </w:tr>
      <w:tr w14:paraId="636CFA2F">
        <w:tblPrEx>
          <w:tblCellMar>
            <w:top w:w="0" w:type="dxa"/>
            <w:left w:w="108" w:type="dxa"/>
            <w:bottom w:w="0" w:type="dxa"/>
            <w:right w:w="108" w:type="dxa"/>
          </w:tblCellMar>
        </w:tblPrEx>
        <w:tc>
          <w:tcPr>
            <w:tcW w:w="8847" w:type="dxa"/>
            <w:gridSpan w:val="9"/>
            <w:vAlign w:val="center"/>
          </w:tcPr>
          <w:p w14:paraId="1D2F70F5">
            <w:pPr>
              <w:jc w:val="center"/>
            </w:pPr>
            <w:r>
              <w:rPr>
                <w:rFonts w:ascii="宋体" w:hAnsi="宋体" w:eastAsia="宋体"/>
                <w:sz w:val="24"/>
              </w:rPr>
              <w:t>（2024年度）</w:t>
            </w:r>
          </w:p>
        </w:tc>
      </w:tr>
      <w:tr w14:paraId="3D51E98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8BFDCF">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642B25F">
            <w:pPr>
              <w:jc w:val="center"/>
            </w:pPr>
            <w:r>
              <w:rPr>
                <w:rFonts w:ascii="宋体" w:hAnsi="宋体" w:eastAsia="宋体"/>
                <w:sz w:val="16"/>
              </w:rPr>
              <w:t>昌吉回族自治州财政局</w:t>
            </w:r>
          </w:p>
        </w:tc>
      </w:tr>
      <w:tr w14:paraId="7E7CA42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D0D65B">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C4F6C9">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ED592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31C4C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CA055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F436A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368217">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F3CB27">
            <w:pPr>
              <w:jc w:val="center"/>
            </w:pPr>
            <w:r>
              <w:rPr>
                <w:rFonts w:ascii="宋体" w:hAnsi="宋体" w:eastAsia="宋体"/>
                <w:sz w:val="16"/>
              </w:rPr>
              <w:t>得分</w:t>
            </w:r>
          </w:p>
        </w:tc>
      </w:tr>
      <w:tr w14:paraId="5EDCD11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2C9C0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DC3CF">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9F0D1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EB351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A6B08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A66EF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B803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776D12">
            <w:pPr>
              <w:jc w:val="center"/>
            </w:pPr>
            <w:r>
              <w:rPr>
                <w:rFonts w:ascii="宋体" w:hAnsi="宋体" w:eastAsia="宋体"/>
                <w:sz w:val="16"/>
              </w:rPr>
              <w:t>-</w:t>
            </w:r>
          </w:p>
        </w:tc>
      </w:tr>
      <w:tr w14:paraId="2ABD7A5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333B2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5ACA7">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D70BBA">
            <w:pPr>
              <w:jc w:val="center"/>
            </w:pPr>
            <w:r>
              <w:rPr>
                <w:rFonts w:ascii="宋体" w:hAnsi="宋体" w:eastAsia="宋体"/>
                <w:sz w:val="16"/>
              </w:rPr>
              <w:t>2,285.54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9F5BF6">
            <w:pPr>
              <w:jc w:val="center"/>
            </w:pPr>
            <w:r>
              <w:rPr>
                <w:rFonts w:ascii="宋体" w:hAnsi="宋体" w:eastAsia="宋体"/>
                <w:sz w:val="16"/>
              </w:rPr>
              <w:t>2,429.10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B5F417">
            <w:pPr>
              <w:jc w:val="center"/>
            </w:pPr>
            <w:r>
              <w:rPr>
                <w:rFonts w:ascii="宋体" w:hAnsi="宋体" w:eastAsia="宋体"/>
                <w:sz w:val="16"/>
              </w:rPr>
              <w:t>2,429.10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4405E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E8CDD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DDD29">
            <w:pPr>
              <w:jc w:val="center"/>
            </w:pPr>
            <w:r>
              <w:rPr>
                <w:rFonts w:ascii="宋体" w:hAnsi="宋体" w:eastAsia="宋体"/>
                <w:sz w:val="16"/>
              </w:rPr>
              <w:t>-</w:t>
            </w:r>
          </w:p>
        </w:tc>
      </w:tr>
      <w:tr w14:paraId="3C9B270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35CF0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BD72C">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C62992">
            <w:pPr>
              <w:jc w:val="center"/>
            </w:pPr>
            <w:r>
              <w:rPr>
                <w:rFonts w:ascii="宋体" w:hAnsi="宋体" w:eastAsia="宋体"/>
                <w:sz w:val="16"/>
              </w:rPr>
              <w:t>115.00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6F2B0B">
            <w:pPr>
              <w:jc w:val="center"/>
            </w:pPr>
            <w:r>
              <w:rPr>
                <w:rFonts w:ascii="宋体" w:hAnsi="宋体" w:eastAsia="宋体"/>
                <w:sz w:val="16"/>
              </w:rPr>
              <w:t>360.28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08408">
            <w:pPr>
              <w:jc w:val="center"/>
            </w:pPr>
            <w:r>
              <w:rPr>
                <w:rFonts w:ascii="宋体" w:hAnsi="宋体" w:eastAsia="宋体"/>
                <w:sz w:val="16"/>
              </w:rPr>
              <w:t>68.19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AF16C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7BAB4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9CC383">
            <w:pPr>
              <w:jc w:val="center"/>
            </w:pPr>
            <w:r>
              <w:rPr>
                <w:rFonts w:ascii="宋体" w:hAnsi="宋体" w:eastAsia="宋体"/>
                <w:sz w:val="16"/>
              </w:rPr>
              <w:t>-</w:t>
            </w:r>
          </w:p>
        </w:tc>
      </w:tr>
      <w:tr w14:paraId="1A18C05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8398D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B6F1E">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946F07">
            <w:pPr>
              <w:jc w:val="center"/>
            </w:pPr>
            <w:r>
              <w:rPr>
                <w:rFonts w:ascii="宋体" w:hAnsi="宋体" w:eastAsia="宋体"/>
                <w:sz w:val="16"/>
              </w:rPr>
              <w:t>2,400.54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BE4581">
            <w:pPr>
              <w:jc w:val="center"/>
            </w:pPr>
            <w:r>
              <w:rPr>
                <w:rFonts w:ascii="宋体" w:hAnsi="宋体" w:eastAsia="宋体"/>
                <w:sz w:val="16"/>
              </w:rPr>
              <w:t>2,789.38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799BCF">
            <w:pPr>
              <w:jc w:val="center"/>
            </w:pPr>
            <w:r>
              <w:rPr>
                <w:rFonts w:ascii="宋体" w:hAnsi="宋体" w:eastAsia="宋体"/>
                <w:sz w:val="16"/>
              </w:rPr>
              <w:t>2,497.29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14CB1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82EEB1">
            <w:pPr>
              <w:jc w:val="center"/>
            </w:pPr>
            <w:r>
              <w:rPr>
                <w:rFonts w:ascii="宋体" w:hAnsi="宋体" w:eastAsia="宋体"/>
                <w:sz w:val="16"/>
              </w:rPr>
              <w:t>89.53%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1B9A08">
            <w:pPr>
              <w:jc w:val="center"/>
            </w:pPr>
            <w:r>
              <w:rPr>
                <w:rFonts w:ascii="宋体" w:hAnsi="宋体" w:eastAsia="宋体"/>
                <w:sz w:val="16"/>
              </w:rPr>
              <w:t>8.95</w:t>
            </w:r>
          </w:p>
        </w:tc>
      </w:tr>
      <w:tr w14:paraId="36D3B48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0F9D6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25A1B0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F4E383">
            <w:pPr>
              <w:jc w:val="center"/>
            </w:pPr>
            <w:r>
              <w:rPr>
                <w:rFonts w:ascii="宋体" w:hAnsi="宋体" w:eastAsia="宋体"/>
                <w:sz w:val="16"/>
              </w:rPr>
              <w:t>实际完成情况</w:t>
            </w:r>
          </w:p>
        </w:tc>
      </w:tr>
      <w:tr w14:paraId="4C97D6D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9C8FB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A6C90AE">
            <w:pPr>
              <w:jc w:val="both"/>
            </w:pPr>
            <w:r>
              <w:rPr>
                <w:rFonts w:ascii="宋体" w:hAnsi="宋体" w:eastAsia="宋体"/>
                <w:sz w:val="16"/>
              </w:rPr>
              <w:t>深入贯彻中央经济工作会议、全国财政工作会议精神，完整、准确、全面贯彻新发展理念，加快构建新发展格局，着力推动高质量发展，积极的财政政策要加力提效；完善减税降费措施，加强财政资源统筹，保持必要的支出强度；大力优化支出结构，加强国家和自治区、州重大战略任务财力保障，坚持党政机关过紧日子，兜牢基层“三保”底线，提高财政资源配置效率；加强财政承受能力评估，保障财政可持续和地方政府债务风险可控；健全现代预算制度，深化预算绩效管理，完善财政转移支付体系，深化财税体制改革，增强财政宏观调控效能，规范州县财政运行秩序，加强财会监督；加强机关内部管理，不断提升工作能力和水平；推动经济运行整体好转，实现质的有效提升和量的合理增长，为推进社会稳定和长治久安总目标落实提供有力支撑。</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D09BC30">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全年预算数为2789.38万元，全年部门整体支出2497.29万元，预算执行率为89.53%，其中：基本支出1589.18万元，项目支出908.11万元，全年预算执行率为89.53%。2024年</w:t>
            </w:r>
            <w:r>
              <w:rPr>
                <w:rFonts w:hint="eastAsia" w:ascii="宋体" w:hAnsi="宋体"/>
                <w:sz w:val="16"/>
                <w:lang w:eastAsia="zh-CN"/>
              </w:rPr>
              <w:t>本单位</w:t>
            </w:r>
            <w:r>
              <w:rPr>
                <w:rFonts w:ascii="宋体" w:hAnsi="宋体" w:eastAsia="宋体"/>
                <w:sz w:val="16"/>
              </w:rPr>
              <w:t>完成以下工作内容：1.认真贯彻落实中央和区州党委、政府部署要求，收支规模稳步增长，财政综合实力进一步提升；2.完善减税降费措施，加强财政资源统筹，保持必要的支出强度；3.大力优化支出结构，加强国家和自治区、州重大战略任务财力保障，坚持党政机关过紧日子，兜牢基层“三保”底线，提高财政资源配置效率</w:t>
            </w:r>
            <w:r>
              <w:rPr>
                <w:rFonts w:hint="eastAsia" w:ascii="宋体" w:hAnsi="宋体"/>
                <w:sz w:val="16"/>
                <w:lang w:eastAsia="zh-CN"/>
              </w:rPr>
              <w:t>；</w:t>
            </w:r>
            <w:r>
              <w:rPr>
                <w:rFonts w:ascii="宋体" w:hAnsi="宋体" w:eastAsia="宋体"/>
                <w:sz w:val="16"/>
              </w:rPr>
              <w:t>4.加强财政承受能力评估，保障财政可持续和地方政府债务风险可控；5.健全现代预算制度，深化预算绩效管理，完善财政转移支付体系，深化财税体制改革，增强财政宏观调控效能，规范州县财政运行秩序，加强财会监督</w:t>
            </w:r>
            <w:r>
              <w:rPr>
                <w:rFonts w:hint="eastAsia" w:ascii="宋体" w:hAnsi="宋体"/>
                <w:sz w:val="16"/>
                <w:lang w:eastAsia="zh-CN"/>
              </w:rPr>
              <w:t>；</w:t>
            </w:r>
            <w:r>
              <w:rPr>
                <w:rFonts w:ascii="宋体" w:hAnsi="宋体" w:eastAsia="宋体"/>
                <w:sz w:val="16"/>
              </w:rPr>
              <w:t>6.加强机关内部管理，不断提升工作能力和水平。通过以上工作的实施，推动经济运行整体好转，实现质的有效提升和量的合理增长，为推进社会稳定和长治久安总目标落实提供有力支撑。</w:t>
            </w:r>
          </w:p>
        </w:tc>
      </w:tr>
      <w:tr w14:paraId="333D23F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8F4E8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3CC44C">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DB2E3">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9B12E4">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B976E1">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83889">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373BA8">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20D57D">
            <w:pPr>
              <w:jc w:val="center"/>
            </w:pPr>
            <w:r>
              <w:rPr>
                <w:rFonts w:ascii="宋体" w:hAnsi="宋体" w:eastAsia="宋体"/>
                <w:sz w:val="16"/>
              </w:rPr>
              <w:t>得分</w:t>
            </w:r>
          </w:p>
        </w:tc>
      </w:tr>
      <w:tr w14:paraId="64704B7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CCD0E3">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E41B60">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38CCF">
            <w:pPr>
              <w:jc w:val="center"/>
            </w:pPr>
            <w:r>
              <w:rPr>
                <w:rFonts w:ascii="宋体" w:hAnsi="宋体" w:eastAsia="宋体"/>
                <w:sz w:val="16"/>
              </w:rPr>
              <w:t>举办自治州财政业务能力提升专题培训次数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C3468B">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6F21DE">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F7805B">
            <w:pPr>
              <w:jc w:val="center"/>
            </w:pPr>
            <w:r>
              <w:rPr>
                <w:rFonts w:ascii="宋体" w:hAnsi="宋体" w:eastAsia="宋体"/>
                <w:sz w:val="16"/>
              </w:rPr>
              <w:t>22.5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E95BDC">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379EC2">
            <w:pPr>
              <w:jc w:val="center"/>
            </w:pPr>
            <w:r>
              <w:rPr>
                <w:rFonts w:ascii="宋体" w:hAnsi="宋体" w:eastAsia="宋体"/>
                <w:sz w:val="16"/>
              </w:rPr>
              <w:t>22.5</w:t>
            </w:r>
          </w:p>
        </w:tc>
      </w:tr>
      <w:tr w14:paraId="40511EF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4C1FA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7806F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E9AEB">
            <w:pPr>
              <w:jc w:val="center"/>
            </w:pPr>
            <w:r>
              <w:rPr>
                <w:rFonts w:ascii="宋体" w:hAnsi="宋体" w:eastAsia="宋体"/>
                <w:sz w:val="16"/>
              </w:rPr>
              <w:t>组织国家统一会计资格考试次数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222B7D">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0661C3">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948B3B">
            <w:pPr>
              <w:jc w:val="center"/>
            </w:pPr>
            <w:r>
              <w:rPr>
                <w:rFonts w:ascii="宋体" w:hAnsi="宋体" w:eastAsia="宋体"/>
                <w:sz w:val="16"/>
              </w:rPr>
              <w:t>22.5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DDDEF6">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611AB4">
            <w:pPr>
              <w:jc w:val="center"/>
            </w:pPr>
            <w:r>
              <w:rPr>
                <w:rFonts w:ascii="宋体" w:hAnsi="宋体" w:eastAsia="宋体"/>
                <w:sz w:val="16"/>
              </w:rPr>
              <w:t>22.5</w:t>
            </w:r>
          </w:p>
        </w:tc>
      </w:tr>
      <w:tr w14:paraId="50AE249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47973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EA1EC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6669CA">
            <w:pPr>
              <w:jc w:val="center"/>
            </w:pPr>
            <w:r>
              <w:rPr>
                <w:rFonts w:ascii="宋体" w:hAnsi="宋体" w:eastAsia="宋体"/>
                <w:sz w:val="16"/>
              </w:rPr>
              <w:t>财会监督检查次数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BDC07D">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5F22C8">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D2945">
            <w:pPr>
              <w:jc w:val="center"/>
            </w:pPr>
            <w:r>
              <w:rPr>
                <w:rFonts w:ascii="宋体" w:hAnsi="宋体" w:eastAsia="宋体"/>
                <w:sz w:val="16"/>
              </w:rPr>
              <w:t>22.5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599AD0">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923278">
            <w:pPr>
              <w:jc w:val="center"/>
            </w:pPr>
            <w:r>
              <w:rPr>
                <w:rFonts w:ascii="宋体" w:hAnsi="宋体" w:eastAsia="宋体"/>
                <w:sz w:val="16"/>
              </w:rPr>
              <w:t>22.5</w:t>
            </w:r>
          </w:p>
        </w:tc>
      </w:tr>
      <w:tr w14:paraId="691D27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D8D0D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73E97E">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E81F78">
            <w:pPr>
              <w:jc w:val="center"/>
            </w:pPr>
            <w:r>
              <w:rPr>
                <w:rFonts w:ascii="宋体" w:hAnsi="宋体" w:eastAsia="宋体"/>
                <w:sz w:val="16"/>
              </w:rPr>
              <w:t>预决算公开核查覆盖率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8780EF">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104D23">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D2654B">
            <w:pPr>
              <w:jc w:val="center"/>
            </w:pPr>
            <w:r>
              <w:rPr>
                <w:rFonts w:ascii="宋体" w:hAnsi="宋体" w:eastAsia="宋体"/>
                <w:sz w:val="16"/>
              </w:rPr>
              <w:t>22.5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FBC71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3EC256">
            <w:pPr>
              <w:jc w:val="center"/>
            </w:pPr>
            <w:r>
              <w:rPr>
                <w:rFonts w:ascii="宋体" w:hAnsi="宋体" w:eastAsia="宋体"/>
                <w:sz w:val="16"/>
              </w:rPr>
              <w:t>22.5</w:t>
            </w:r>
          </w:p>
        </w:tc>
      </w:tr>
    </w:tbl>
    <w:p w14:paraId="1774FC2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96"/>
        <w:gridCol w:w="632"/>
        <w:gridCol w:w="632"/>
        <w:gridCol w:w="632"/>
        <w:gridCol w:w="632"/>
        <w:gridCol w:w="632"/>
        <w:gridCol w:w="632"/>
      </w:tblGrid>
      <w:tr w14:paraId="249961B9">
        <w:tblPrEx>
          <w:tblCellMar>
            <w:top w:w="0" w:type="dxa"/>
            <w:left w:w="108" w:type="dxa"/>
            <w:bottom w:w="0" w:type="dxa"/>
            <w:right w:w="108" w:type="dxa"/>
          </w:tblCellMar>
        </w:tblPrEx>
        <w:tc>
          <w:tcPr>
            <w:tcW w:w="8848" w:type="dxa"/>
            <w:gridSpan w:val="14"/>
            <w:vAlign w:val="center"/>
          </w:tcPr>
          <w:p w14:paraId="5FB2B95A">
            <w:pPr>
              <w:jc w:val="center"/>
            </w:pPr>
            <w:r>
              <w:rPr>
                <w:rFonts w:ascii="宋体" w:hAnsi="宋体" w:eastAsia="宋体"/>
                <w:sz w:val="24"/>
              </w:rPr>
              <w:t>项目支出绩效自评表</w:t>
            </w:r>
          </w:p>
        </w:tc>
      </w:tr>
      <w:tr w14:paraId="5973B60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49D5AC8">
            <w:pPr>
              <w:jc w:val="center"/>
            </w:pPr>
            <w:r>
              <w:rPr>
                <w:rFonts w:ascii="宋体" w:hAnsi="宋体" w:eastAsia="宋体"/>
                <w:sz w:val="24"/>
              </w:rPr>
              <w:t>(2024年度)</w:t>
            </w:r>
          </w:p>
        </w:tc>
      </w:tr>
      <w:tr w14:paraId="0973154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979A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32FA6EA">
            <w:pPr>
              <w:jc w:val="center"/>
            </w:pPr>
            <w:r>
              <w:rPr>
                <w:rFonts w:ascii="宋体" w:hAnsi="宋体" w:eastAsia="宋体"/>
                <w:sz w:val="16"/>
              </w:rPr>
              <w:t>会计考试考务工作经费</w:t>
            </w:r>
          </w:p>
        </w:tc>
      </w:tr>
      <w:tr w14:paraId="6584A2E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291F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DE1FCA">
            <w:pPr>
              <w:jc w:val="center"/>
            </w:pPr>
            <w:r>
              <w:rPr>
                <w:rFonts w:ascii="宋体" w:hAnsi="宋体" w:eastAsia="宋体"/>
                <w:sz w:val="16"/>
              </w:rPr>
              <w:t>昌吉回族自治州财政局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5EBE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4244DD">
            <w:pPr>
              <w:jc w:val="center"/>
            </w:pPr>
            <w:r>
              <w:rPr>
                <w:rFonts w:ascii="宋体" w:hAnsi="宋体" w:eastAsia="宋体"/>
                <w:sz w:val="16"/>
              </w:rPr>
              <w:t>昌吉回族自治州财政局</w:t>
            </w:r>
          </w:p>
        </w:tc>
      </w:tr>
      <w:tr w14:paraId="29625F2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6CF22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964D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0685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7660C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3012B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D23A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9D8C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74632">
            <w:pPr>
              <w:jc w:val="center"/>
            </w:pPr>
            <w:r>
              <w:rPr>
                <w:rFonts w:ascii="宋体" w:hAnsi="宋体" w:eastAsia="宋体"/>
                <w:sz w:val="16"/>
              </w:rPr>
              <w:t>得分</w:t>
            </w:r>
          </w:p>
        </w:tc>
      </w:tr>
      <w:tr w14:paraId="46EEF8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872F8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C3B7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58206">
            <w:pPr>
              <w:jc w:val="center"/>
            </w:pPr>
            <w:r>
              <w:rPr>
                <w:rFonts w:ascii="宋体" w:hAnsi="宋体" w:eastAsia="宋体"/>
                <w:sz w:val="16"/>
              </w:rPr>
              <w:t>15.86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E5969">
            <w:pPr>
              <w:jc w:val="center"/>
            </w:pPr>
            <w:r>
              <w:rPr>
                <w:rFonts w:ascii="宋体" w:hAnsi="宋体" w:eastAsia="宋体"/>
                <w:sz w:val="16"/>
              </w:rPr>
              <w:t>15.86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95793">
            <w:pPr>
              <w:jc w:val="center"/>
            </w:pPr>
            <w:r>
              <w:rPr>
                <w:rFonts w:ascii="宋体" w:hAnsi="宋体" w:eastAsia="宋体"/>
                <w:sz w:val="16"/>
              </w:rPr>
              <w:t>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8A86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C56868">
            <w:pPr>
              <w:jc w:val="center"/>
            </w:pPr>
            <w:r>
              <w:rPr>
                <w:rFonts w:ascii="宋体" w:hAnsi="宋体" w:eastAsia="宋体"/>
                <w:sz w:val="16"/>
              </w:rPr>
              <w:t>57.38%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3DF4F">
            <w:pPr>
              <w:jc w:val="center"/>
            </w:pPr>
            <w:r>
              <w:rPr>
                <w:rFonts w:ascii="宋体" w:hAnsi="宋体" w:eastAsia="宋体"/>
                <w:sz w:val="16"/>
              </w:rPr>
              <w:t>0.00</w:t>
            </w:r>
          </w:p>
        </w:tc>
      </w:tr>
      <w:tr w14:paraId="0E9A07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6F968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99BE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ECE7E">
            <w:pPr>
              <w:jc w:val="center"/>
            </w:pPr>
            <w:r>
              <w:rPr>
                <w:rFonts w:ascii="宋体" w:hAnsi="宋体" w:eastAsia="宋体"/>
                <w:sz w:val="16"/>
              </w:rPr>
              <w:t>15.86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4C1E3F">
            <w:pPr>
              <w:jc w:val="center"/>
            </w:pPr>
            <w:r>
              <w:rPr>
                <w:rFonts w:ascii="宋体" w:hAnsi="宋体" w:eastAsia="宋体"/>
                <w:sz w:val="16"/>
              </w:rPr>
              <w:t>15.86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0393E">
            <w:pPr>
              <w:jc w:val="center"/>
            </w:pPr>
            <w:r>
              <w:rPr>
                <w:rFonts w:ascii="宋体" w:hAnsi="宋体" w:eastAsia="宋体"/>
                <w:sz w:val="16"/>
              </w:rPr>
              <w:t>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9F52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ED1A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9205F">
            <w:pPr>
              <w:jc w:val="center"/>
            </w:pPr>
            <w:r>
              <w:rPr>
                <w:rFonts w:ascii="宋体" w:hAnsi="宋体" w:eastAsia="宋体"/>
                <w:sz w:val="16"/>
              </w:rPr>
              <w:t>—</w:t>
            </w:r>
          </w:p>
        </w:tc>
      </w:tr>
      <w:tr w14:paraId="7F7AB1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8AA5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8CB1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F298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93B6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8731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DE7B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EE49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94C5E">
            <w:pPr>
              <w:jc w:val="center"/>
            </w:pPr>
            <w:r>
              <w:rPr>
                <w:rFonts w:ascii="宋体" w:hAnsi="宋体" w:eastAsia="宋体"/>
                <w:sz w:val="16"/>
              </w:rPr>
              <w:t>—</w:t>
            </w:r>
          </w:p>
        </w:tc>
      </w:tr>
      <w:tr w14:paraId="000A017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8D9D5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45959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D252D4">
            <w:pPr>
              <w:jc w:val="center"/>
            </w:pPr>
            <w:r>
              <w:rPr>
                <w:rFonts w:ascii="宋体" w:hAnsi="宋体" w:eastAsia="宋体"/>
                <w:sz w:val="16"/>
              </w:rPr>
              <w:t>实际完成情况</w:t>
            </w:r>
          </w:p>
        </w:tc>
      </w:tr>
      <w:tr w14:paraId="688B3B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1B596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D72B1E">
            <w:pPr>
              <w:jc w:val="both"/>
            </w:pPr>
            <w:r>
              <w:rPr>
                <w:rFonts w:ascii="宋体" w:hAnsi="宋体" w:eastAsia="宋体"/>
                <w:sz w:val="16"/>
              </w:rPr>
              <w:t>围绕会计专业技术资格评价制度改革任务，积极服务广大考生，确保会计资格考试考务工作安全、平稳进行，顺利完成会计专业资格无纸化考试任务。2024年度全国会计专业技术初级、中级资格考试昌吉考区共有两个考点，计划安排13批次考试，共有7300多名考生报名参加考试。考务工作经费合计15.86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C76BBC">
            <w:pPr>
              <w:jc w:val="both"/>
            </w:pPr>
            <w:r>
              <w:rPr>
                <w:rFonts w:hint="eastAsia" w:ascii="宋体" w:hAnsi="宋体"/>
                <w:sz w:val="16"/>
                <w:lang w:eastAsia="zh-CN"/>
              </w:rPr>
              <w:t>截至</w:t>
            </w:r>
            <w:r>
              <w:rPr>
                <w:rFonts w:ascii="宋体" w:hAnsi="宋体" w:eastAsia="宋体"/>
                <w:sz w:val="16"/>
              </w:rPr>
              <w:t>2024年12月31日，完成2024年度全国会计专业技术初级、中级资格考试5个科目昌吉考区考务工作，共设置两个考点，初级考试9批次考试，中级考试4批次考试，通过该项目的实施提升推动会计行业整体标准。</w:t>
            </w:r>
          </w:p>
        </w:tc>
      </w:tr>
      <w:tr w14:paraId="501ABE0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CB3CC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90A3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34C3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B712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B791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87E8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ED22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B95B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E6E0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04E1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C1FC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02C9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D890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14AFF">
            <w:pPr>
              <w:jc w:val="center"/>
            </w:pPr>
            <w:r>
              <w:rPr>
                <w:rFonts w:ascii="宋体" w:hAnsi="宋体" w:eastAsia="宋体"/>
                <w:sz w:val="16"/>
              </w:rPr>
              <w:t>偏差原因分析及改进措施</w:t>
            </w:r>
          </w:p>
        </w:tc>
      </w:tr>
      <w:tr w14:paraId="7E9EFFA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8D69C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F26C5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F4963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A3C70">
            <w:pPr>
              <w:jc w:val="center"/>
            </w:pPr>
            <w:r>
              <w:rPr>
                <w:rFonts w:ascii="宋体" w:hAnsi="宋体" w:eastAsia="宋体"/>
                <w:sz w:val="16"/>
              </w:rPr>
              <w:t>会计考试科目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37A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F5741">
            <w:pPr>
              <w:jc w:val="center"/>
            </w:pPr>
            <w:r>
              <w:rPr>
                <w:rFonts w:ascii="宋体" w:hAnsi="宋体" w:eastAsia="宋体"/>
                <w:sz w:val="16"/>
              </w:rPr>
              <w:t>=5门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FA7D2">
            <w:pPr>
              <w:jc w:val="center"/>
            </w:pPr>
            <w:r>
              <w:rPr>
                <w:rFonts w:ascii="宋体" w:hAnsi="宋体" w:eastAsia="宋体"/>
                <w:sz w:val="16"/>
              </w:rPr>
              <w:t>=5门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B27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AE5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C85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DD6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C26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5EA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4CE0C">
            <w:pPr>
              <w:jc w:val="center"/>
            </w:pPr>
          </w:p>
        </w:tc>
      </w:tr>
      <w:tr w14:paraId="4E7AAD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128B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F952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C525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0FD1D">
            <w:pPr>
              <w:jc w:val="center"/>
            </w:pPr>
            <w:r>
              <w:rPr>
                <w:rFonts w:ascii="宋体" w:hAnsi="宋体" w:eastAsia="宋体"/>
                <w:sz w:val="16"/>
              </w:rPr>
              <w:t>昌吉考区设置考点数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4059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F79C8">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DE7D5">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BBE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79B0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34E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9CC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428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022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20698">
            <w:pPr>
              <w:jc w:val="center"/>
            </w:pPr>
          </w:p>
        </w:tc>
      </w:tr>
      <w:tr w14:paraId="2540B0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37F1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1275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EF76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9A633">
            <w:pPr>
              <w:jc w:val="center"/>
            </w:pPr>
            <w:r>
              <w:rPr>
                <w:rFonts w:ascii="宋体" w:hAnsi="宋体" w:eastAsia="宋体"/>
                <w:sz w:val="16"/>
              </w:rPr>
              <w:t>初级考试批次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7946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4A43F">
            <w:pPr>
              <w:jc w:val="center"/>
            </w:pPr>
            <w:r>
              <w:rPr>
                <w:rFonts w:ascii="宋体" w:hAnsi="宋体" w:eastAsia="宋体"/>
                <w:sz w:val="16"/>
              </w:rPr>
              <w:t>&gt;=9个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B28D5">
            <w:pPr>
              <w:jc w:val="center"/>
            </w:pPr>
            <w:r>
              <w:rPr>
                <w:rFonts w:ascii="宋体" w:hAnsi="宋体" w:eastAsia="宋体"/>
                <w:sz w:val="16"/>
              </w:rPr>
              <w:t>=9个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EAC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3A1E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0A6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39E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30F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FFF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7FCD2">
            <w:pPr>
              <w:jc w:val="center"/>
            </w:pPr>
          </w:p>
        </w:tc>
      </w:tr>
      <w:tr w14:paraId="3C48E0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D002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A01F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D743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9F2D2">
            <w:pPr>
              <w:jc w:val="center"/>
            </w:pPr>
            <w:r>
              <w:rPr>
                <w:rFonts w:ascii="宋体" w:hAnsi="宋体" w:eastAsia="宋体"/>
                <w:sz w:val="16"/>
              </w:rPr>
              <w:t>中级考试批次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5D17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4B1AF">
            <w:pPr>
              <w:jc w:val="center"/>
            </w:pPr>
            <w:r>
              <w:rPr>
                <w:rFonts w:ascii="宋体" w:hAnsi="宋体" w:eastAsia="宋体"/>
                <w:sz w:val="16"/>
              </w:rPr>
              <w:t>&gt;=4个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5585E">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E4E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ACFF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6C0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ECA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D23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FD6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469AE">
            <w:pPr>
              <w:jc w:val="center"/>
            </w:pPr>
          </w:p>
        </w:tc>
      </w:tr>
      <w:tr w14:paraId="371819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1636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4DAB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4CD0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8A69E">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73F4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83141">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B755B">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E21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260B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496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800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1E48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38D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EC87A">
            <w:pPr>
              <w:jc w:val="center"/>
            </w:pPr>
          </w:p>
        </w:tc>
      </w:tr>
      <w:tr w14:paraId="0252DF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2D23D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FA885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E1E08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9235C">
            <w:pPr>
              <w:jc w:val="center"/>
            </w:pPr>
            <w:r>
              <w:rPr>
                <w:rFonts w:ascii="宋体" w:hAnsi="宋体" w:eastAsia="宋体"/>
                <w:sz w:val="16"/>
              </w:rPr>
              <w:t>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D1D7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51EEF">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C1E70">
            <w:pPr>
              <w:jc w:val="center"/>
            </w:pPr>
            <w:r>
              <w:rPr>
                <w:rFonts w:ascii="宋体" w:hAnsi="宋体" w:eastAsia="宋体"/>
                <w:sz w:val="16"/>
              </w:rPr>
              <w:t>=7.53万元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B3BB3">
            <w:pPr>
              <w:jc w:val="center"/>
            </w:pPr>
            <w:r>
              <w:rPr>
                <w:rFonts w:ascii="宋体" w:hAnsi="宋体" w:eastAsia="宋体"/>
                <w:sz w:val="16"/>
              </w:rPr>
              <w:t>75.3%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E01D9">
            <w:pPr>
              <w:jc w:val="center"/>
            </w:pPr>
            <w:r>
              <w:rPr>
                <w:rFonts w:ascii="宋体" w:hAnsi="宋体" w:eastAsia="宋体"/>
                <w:sz w:val="16"/>
              </w:rPr>
              <w:t>5.74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96C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9DB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3FA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BBCD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99110">
            <w:pPr>
              <w:jc w:val="center"/>
            </w:pPr>
            <w:r>
              <w:rPr>
                <w:rFonts w:ascii="宋体" w:hAnsi="宋体" w:eastAsia="宋体"/>
                <w:sz w:val="16"/>
              </w:rPr>
              <w:t>该项目预算统筹考虑不足，比如上年度自治区补助经费结转本年度，州本级也安排了考务经费，优先使用本级资金支付考务费，结余资金财政收回。</w:t>
            </w:r>
          </w:p>
        </w:tc>
      </w:tr>
      <w:tr w14:paraId="01D2CF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652B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AD6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4D06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E19F6">
            <w:pPr>
              <w:jc w:val="center"/>
            </w:pPr>
            <w:r>
              <w:rPr>
                <w:rFonts w:ascii="宋体" w:hAnsi="宋体" w:eastAsia="宋体"/>
                <w:sz w:val="16"/>
              </w:rPr>
              <w:t>办公经费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64C1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31F4F">
            <w:pPr>
              <w:jc w:val="center"/>
            </w:pPr>
            <w:r>
              <w:rPr>
                <w:rFonts w:ascii="宋体" w:hAnsi="宋体" w:eastAsia="宋体"/>
                <w:sz w:val="16"/>
              </w:rPr>
              <w:t>&lt;=5.86万元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8FB02">
            <w:pPr>
              <w:jc w:val="center"/>
            </w:pPr>
            <w:r>
              <w:rPr>
                <w:rFonts w:ascii="宋体" w:hAnsi="宋体" w:eastAsia="宋体"/>
                <w:sz w:val="16"/>
              </w:rPr>
              <w:t>=1.57万元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2279E">
            <w:pPr>
              <w:jc w:val="center"/>
            </w:pPr>
            <w:r>
              <w:rPr>
                <w:rFonts w:ascii="宋体" w:hAnsi="宋体" w:eastAsia="宋体"/>
                <w:sz w:val="16"/>
              </w:rPr>
              <w:t>26.79%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1043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80F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80F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795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C59B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B5992">
            <w:pPr>
              <w:jc w:val="center"/>
            </w:pPr>
            <w:r>
              <w:rPr>
                <w:rFonts w:ascii="宋体" w:hAnsi="宋体" w:eastAsia="宋体"/>
                <w:sz w:val="16"/>
              </w:rPr>
              <w:t>该项目中部分资金用于考试硬件配备及建设补助，实际未购置硬件设备，结余资</w:t>
            </w:r>
            <w:r>
              <w:rPr>
                <w:rFonts w:hint="eastAsia" w:ascii="宋体" w:hAnsi="宋体"/>
                <w:sz w:val="16"/>
                <w:lang w:eastAsia="zh-CN"/>
              </w:rPr>
              <w:t>金由</w:t>
            </w:r>
            <w:r>
              <w:rPr>
                <w:rFonts w:ascii="宋体" w:hAnsi="宋体" w:eastAsia="宋体"/>
                <w:sz w:val="16"/>
              </w:rPr>
              <w:t>财政</w:t>
            </w:r>
            <w:r>
              <w:rPr>
                <w:rFonts w:hint="eastAsia" w:ascii="宋体" w:hAnsi="宋体"/>
                <w:sz w:val="16"/>
                <w:lang w:eastAsia="zh-CN"/>
              </w:rPr>
              <w:t>收回</w:t>
            </w:r>
            <w:r>
              <w:rPr>
                <w:rFonts w:ascii="宋体" w:hAnsi="宋体" w:eastAsia="宋体"/>
                <w:sz w:val="16"/>
              </w:rPr>
              <w:t>。</w:t>
            </w:r>
          </w:p>
        </w:tc>
      </w:tr>
      <w:tr w14:paraId="2124F3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280E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C5FF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D465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9A0D5">
            <w:pPr>
              <w:jc w:val="center"/>
            </w:pPr>
            <w:r>
              <w:rPr>
                <w:rFonts w:ascii="宋体" w:hAnsi="宋体" w:eastAsia="宋体"/>
                <w:sz w:val="16"/>
              </w:rPr>
              <w:t>推动会计行业整体标准的提升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231B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F3E0C">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5A0F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EDA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D1B8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3BF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006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E2B2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F82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72CC8">
            <w:pPr>
              <w:jc w:val="center"/>
            </w:pPr>
          </w:p>
        </w:tc>
      </w:tr>
      <w:tr w14:paraId="0828B85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C0B7B5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DD0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6516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52FC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83BF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71251">
            <w:pPr>
              <w:jc w:val="center"/>
            </w:pPr>
            <w:r>
              <w:rPr>
                <w:rFonts w:ascii="宋体" w:hAnsi="宋体" w:eastAsia="宋体"/>
                <w:sz w:val="16"/>
              </w:rPr>
              <w:t>75.74分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E761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A27E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A656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677C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F4CEEC"/>
        </w:tc>
      </w:tr>
    </w:tbl>
    <w:p w14:paraId="07E4F141">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7"/>
        <w:gridCol w:w="776"/>
        <w:gridCol w:w="696"/>
        <w:gridCol w:w="629"/>
        <w:gridCol w:w="696"/>
        <w:gridCol w:w="624"/>
        <w:gridCol w:w="624"/>
        <w:gridCol w:w="625"/>
        <w:gridCol w:w="625"/>
        <w:gridCol w:w="632"/>
      </w:tblGrid>
      <w:tr w14:paraId="57184DD3">
        <w:tblPrEx>
          <w:tblCellMar>
            <w:top w:w="0" w:type="dxa"/>
            <w:left w:w="108" w:type="dxa"/>
            <w:bottom w:w="0" w:type="dxa"/>
            <w:right w:w="108" w:type="dxa"/>
          </w:tblCellMar>
        </w:tblPrEx>
        <w:tc>
          <w:tcPr>
            <w:tcW w:w="8848" w:type="dxa"/>
            <w:gridSpan w:val="14"/>
            <w:vAlign w:val="center"/>
          </w:tcPr>
          <w:p w14:paraId="1B4DBA39">
            <w:pPr>
              <w:jc w:val="center"/>
            </w:pPr>
            <w:r>
              <w:rPr>
                <w:rFonts w:ascii="宋体" w:hAnsi="宋体" w:eastAsia="宋体"/>
                <w:sz w:val="24"/>
              </w:rPr>
              <w:t>项目支出绩效自评表</w:t>
            </w:r>
          </w:p>
        </w:tc>
      </w:tr>
      <w:tr w14:paraId="77AC618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C753D1F">
            <w:pPr>
              <w:jc w:val="center"/>
            </w:pPr>
            <w:r>
              <w:rPr>
                <w:rFonts w:ascii="宋体" w:hAnsi="宋体" w:eastAsia="宋体"/>
                <w:sz w:val="24"/>
              </w:rPr>
              <w:t>(2024年度)</w:t>
            </w:r>
          </w:p>
        </w:tc>
      </w:tr>
      <w:tr w14:paraId="13F1A52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0670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A03B33C">
            <w:pPr>
              <w:jc w:val="center"/>
            </w:pPr>
            <w:r>
              <w:rPr>
                <w:rFonts w:ascii="宋体" w:hAnsi="宋体" w:eastAsia="宋体"/>
                <w:sz w:val="16"/>
              </w:rPr>
              <w:t>债券资金管理及政府债务管理</w:t>
            </w:r>
          </w:p>
        </w:tc>
      </w:tr>
      <w:tr w14:paraId="121ADA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8813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1F69FF">
            <w:pPr>
              <w:jc w:val="center"/>
            </w:pPr>
            <w:r>
              <w:rPr>
                <w:rFonts w:ascii="宋体" w:hAnsi="宋体" w:eastAsia="宋体"/>
                <w:sz w:val="16"/>
              </w:rPr>
              <w:t>昌吉回族自治州财政局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3991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AF08C02">
            <w:pPr>
              <w:jc w:val="center"/>
            </w:pPr>
            <w:r>
              <w:rPr>
                <w:rFonts w:ascii="宋体" w:hAnsi="宋体" w:eastAsia="宋体"/>
                <w:sz w:val="16"/>
              </w:rPr>
              <w:t>昌吉回族自治州财政局</w:t>
            </w:r>
          </w:p>
        </w:tc>
      </w:tr>
      <w:tr w14:paraId="3C47B05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69E52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2CFE5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DB34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8362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6E18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03C6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689A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ABB11">
            <w:pPr>
              <w:jc w:val="center"/>
            </w:pPr>
            <w:r>
              <w:rPr>
                <w:rFonts w:ascii="宋体" w:hAnsi="宋体" w:eastAsia="宋体"/>
                <w:sz w:val="16"/>
              </w:rPr>
              <w:t>得分</w:t>
            </w:r>
          </w:p>
        </w:tc>
      </w:tr>
      <w:tr w14:paraId="7F257D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A6A82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608BD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E20D3">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2A1B2">
            <w:pPr>
              <w:jc w:val="center"/>
            </w:pPr>
            <w:r>
              <w:rPr>
                <w:rFonts w:ascii="宋体" w:hAnsi="宋体" w:eastAsia="宋体"/>
                <w:sz w:val="16"/>
              </w:rPr>
              <w:t>25.65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C95644">
            <w:pPr>
              <w:jc w:val="center"/>
            </w:pPr>
            <w:r>
              <w:rPr>
                <w:rFonts w:ascii="宋体" w:hAnsi="宋体" w:eastAsia="宋体"/>
                <w:sz w:val="16"/>
              </w:rPr>
              <w:t>25.65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98E6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7508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081AC">
            <w:pPr>
              <w:jc w:val="center"/>
            </w:pPr>
            <w:r>
              <w:rPr>
                <w:rFonts w:ascii="宋体" w:hAnsi="宋体" w:eastAsia="宋体"/>
                <w:sz w:val="16"/>
              </w:rPr>
              <w:t>10.00</w:t>
            </w:r>
          </w:p>
        </w:tc>
      </w:tr>
      <w:tr w14:paraId="586715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71B44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A0A2C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61EAC">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4E2176">
            <w:pPr>
              <w:jc w:val="center"/>
            </w:pPr>
            <w:r>
              <w:rPr>
                <w:rFonts w:ascii="宋体" w:hAnsi="宋体" w:eastAsia="宋体"/>
                <w:sz w:val="16"/>
              </w:rPr>
              <w:t>25.65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190CF">
            <w:pPr>
              <w:jc w:val="center"/>
            </w:pPr>
            <w:r>
              <w:rPr>
                <w:rFonts w:ascii="宋体" w:hAnsi="宋体" w:eastAsia="宋体"/>
                <w:sz w:val="16"/>
              </w:rPr>
              <w:t>25.65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7EF9F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69B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FB166">
            <w:pPr>
              <w:jc w:val="center"/>
            </w:pPr>
            <w:r>
              <w:rPr>
                <w:rFonts w:ascii="宋体" w:hAnsi="宋体" w:eastAsia="宋体"/>
                <w:sz w:val="16"/>
              </w:rPr>
              <w:t>—</w:t>
            </w:r>
          </w:p>
        </w:tc>
      </w:tr>
      <w:tr w14:paraId="642557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0E550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6E8D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75EB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6A32D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F7CB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18E7B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9AA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C025E">
            <w:pPr>
              <w:jc w:val="center"/>
            </w:pPr>
            <w:r>
              <w:rPr>
                <w:rFonts w:ascii="宋体" w:hAnsi="宋体" w:eastAsia="宋体"/>
                <w:sz w:val="16"/>
              </w:rPr>
              <w:t>—</w:t>
            </w:r>
          </w:p>
        </w:tc>
      </w:tr>
      <w:tr w14:paraId="24C1154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734F7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BD05B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8B7FFC">
            <w:pPr>
              <w:jc w:val="center"/>
            </w:pPr>
            <w:r>
              <w:rPr>
                <w:rFonts w:ascii="宋体" w:hAnsi="宋体" w:eastAsia="宋体"/>
                <w:sz w:val="16"/>
              </w:rPr>
              <w:t>实际完成情况</w:t>
            </w:r>
          </w:p>
        </w:tc>
      </w:tr>
      <w:tr w14:paraId="241CF9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2F4A6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969F62">
            <w:pPr>
              <w:jc w:val="both"/>
            </w:pPr>
            <w:r>
              <w:rPr>
                <w:rFonts w:ascii="宋体" w:hAnsi="宋体" w:eastAsia="宋体"/>
                <w:sz w:val="16"/>
              </w:rPr>
              <w:t>加强地方政府法定债务和隐性债务管理，按照自治区财政厅统一部署和工作要求，安装应用政府性债务系统及全口径债务监测系统，对全州地方政府债务相关情况进行管理监测。</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A1AB14">
            <w:pPr>
              <w:jc w:val="both"/>
            </w:pPr>
            <w:r>
              <w:rPr>
                <w:rFonts w:hint="eastAsia" w:ascii="宋体" w:hAnsi="宋体"/>
                <w:sz w:val="16"/>
                <w:lang w:eastAsia="zh-CN"/>
              </w:rPr>
              <w:t>截至</w:t>
            </w:r>
            <w:r>
              <w:rPr>
                <w:rFonts w:ascii="宋体" w:hAnsi="宋体" w:eastAsia="宋体"/>
                <w:sz w:val="16"/>
              </w:rPr>
              <w:t>2024年12月31日，实际完成开展政府债务业务培训3次，政府性债务系统及全口径债务监测系统运维服务验收合格率100%，政府性债务系统运行维护</w:t>
            </w:r>
            <w:r>
              <w:rPr>
                <w:rFonts w:hint="eastAsia" w:ascii="宋体" w:hAnsi="宋体"/>
                <w:sz w:val="16"/>
                <w:lang w:eastAsia="zh-CN"/>
              </w:rPr>
              <w:t>响应</w:t>
            </w:r>
            <w:r>
              <w:rPr>
                <w:rFonts w:ascii="宋体" w:hAnsi="宋体" w:eastAsia="宋体"/>
                <w:sz w:val="16"/>
              </w:rPr>
              <w:t>时间和全口径债务监测系统运行维护响应时间平均为3小时，通过该项目的实施提升政府性债务系统和全口径债务监测系统维护、问题处理效率。</w:t>
            </w:r>
          </w:p>
        </w:tc>
      </w:tr>
      <w:tr w14:paraId="094162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CDCAB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6494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485A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53C2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CF32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791F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83B7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9677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20AB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C64F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7AA5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04D9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7881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A5BAF">
            <w:pPr>
              <w:jc w:val="center"/>
            </w:pPr>
            <w:r>
              <w:rPr>
                <w:rFonts w:ascii="宋体" w:hAnsi="宋体" w:eastAsia="宋体"/>
                <w:sz w:val="16"/>
              </w:rPr>
              <w:t>偏差原因分析及改进措施</w:t>
            </w:r>
          </w:p>
        </w:tc>
      </w:tr>
      <w:tr w14:paraId="7503DE3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788CE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8F400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5C5D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F34B5">
            <w:pPr>
              <w:jc w:val="center"/>
            </w:pPr>
            <w:r>
              <w:rPr>
                <w:rFonts w:ascii="宋体" w:hAnsi="宋体" w:eastAsia="宋体"/>
                <w:sz w:val="16"/>
              </w:rPr>
              <w:t>开展政府债务业务培训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B73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24015">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5954E">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1D6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4E5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968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1059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886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1B7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C2869">
            <w:pPr>
              <w:jc w:val="center"/>
            </w:pPr>
          </w:p>
        </w:tc>
      </w:tr>
      <w:tr w14:paraId="2AC5C6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F784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6D1B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9493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505C8">
            <w:pPr>
              <w:jc w:val="center"/>
            </w:pPr>
            <w:r>
              <w:rPr>
                <w:rFonts w:ascii="宋体" w:hAnsi="宋体" w:eastAsia="宋体"/>
                <w:sz w:val="16"/>
              </w:rPr>
              <w:t>政府性债务系统及全口径债务监测系统运维服务验收合格率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253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7AF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53E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3FB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CF8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332D4">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BD555">
            <w:pPr>
              <w:jc w:val="center"/>
            </w:pPr>
            <w:r>
              <w:rPr>
                <w:rFonts w:ascii="宋体" w:hAnsi="宋体" w:eastAsia="宋体"/>
                <w:sz w:val="16"/>
              </w:rPr>
              <w:t>新增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EEC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948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3BFAD">
            <w:pPr>
              <w:jc w:val="center"/>
            </w:pPr>
          </w:p>
        </w:tc>
      </w:tr>
      <w:tr w14:paraId="36677E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9AC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F9ED4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3F84C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F9003">
            <w:pPr>
              <w:jc w:val="center"/>
            </w:pPr>
            <w:r>
              <w:rPr>
                <w:rFonts w:ascii="宋体" w:hAnsi="宋体" w:eastAsia="宋体"/>
                <w:sz w:val="16"/>
              </w:rPr>
              <w:t>政府性债务系统运行维护</w:t>
            </w:r>
            <w:r>
              <w:rPr>
                <w:rFonts w:hint="eastAsia" w:ascii="宋体" w:hAnsi="宋体"/>
                <w:sz w:val="16"/>
                <w:lang w:eastAsia="zh-CN"/>
              </w:rPr>
              <w:t>响应</w:t>
            </w:r>
            <w:r>
              <w:rPr>
                <w:rFonts w:ascii="宋体" w:hAnsi="宋体" w:eastAsia="宋体"/>
                <w:sz w:val="16"/>
              </w:rPr>
              <w:t>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F84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4937A">
            <w:pPr>
              <w:jc w:val="center"/>
            </w:pPr>
            <w:r>
              <w:rPr>
                <w:rFonts w:ascii="宋体" w:hAnsi="宋体" w:eastAsia="宋体"/>
                <w:sz w:val="16"/>
              </w:rPr>
              <w:t>&lt;=3小时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1ECDE">
            <w:pPr>
              <w:jc w:val="center"/>
            </w:pPr>
            <w:r>
              <w:rPr>
                <w:rFonts w:ascii="宋体" w:hAnsi="宋体" w:eastAsia="宋体"/>
                <w:sz w:val="16"/>
              </w:rPr>
              <w:t>=3小时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732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746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A85D6">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3FB2E">
            <w:pPr>
              <w:jc w:val="center"/>
            </w:pPr>
            <w:r>
              <w:rPr>
                <w:rFonts w:ascii="宋体" w:hAnsi="宋体" w:eastAsia="宋体"/>
                <w:sz w:val="16"/>
              </w:rPr>
              <w:t>&lt;3小时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2E2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811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89766">
            <w:pPr>
              <w:jc w:val="center"/>
            </w:pPr>
          </w:p>
        </w:tc>
      </w:tr>
      <w:tr w14:paraId="4CD19B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423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F709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52C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CE16C">
            <w:pPr>
              <w:jc w:val="center"/>
            </w:pPr>
            <w:r>
              <w:rPr>
                <w:rFonts w:ascii="宋体" w:hAnsi="宋体" w:eastAsia="宋体"/>
                <w:sz w:val="16"/>
              </w:rPr>
              <w:t>全口径债务监测系统运行维护响应时间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C3C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5A486">
            <w:pPr>
              <w:jc w:val="center"/>
            </w:pPr>
            <w:r>
              <w:rPr>
                <w:rFonts w:ascii="宋体" w:hAnsi="宋体" w:eastAsia="宋体"/>
                <w:sz w:val="16"/>
              </w:rPr>
              <w:t>&lt;=3小时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A79F1">
            <w:pPr>
              <w:jc w:val="center"/>
            </w:pPr>
            <w:r>
              <w:rPr>
                <w:rFonts w:ascii="宋体" w:hAnsi="宋体" w:eastAsia="宋体"/>
                <w:sz w:val="16"/>
              </w:rPr>
              <w:t>=3小时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37A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4E8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094E3">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30586">
            <w:pPr>
              <w:jc w:val="center"/>
            </w:pPr>
            <w:r>
              <w:rPr>
                <w:rFonts w:ascii="宋体" w:hAnsi="宋体" w:eastAsia="宋体"/>
                <w:sz w:val="16"/>
              </w:rPr>
              <w:t>&lt;3小时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6CA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833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ADC89">
            <w:pPr>
              <w:jc w:val="center"/>
            </w:pPr>
          </w:p>
        </w:tc>
      </w:tr>
      <w:tr w14:paraId="1530F1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902C1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DBE7A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6361F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A9C9F">
            <w:pPr>
              <w:jc w:val="center"/>
            </w:pPr>
            <w:r>
              <w:rPr>
                <w:rFonts w:ascii="宋体" w:hAnsi="宋体" w:eastAsia="宋体"/>
                <w:sz w:val="16"/>
              </w:rPr>
              <w:t>政府性债务系统及全口径债务监测系统运维服务经费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41447">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E7561">
            <w:pPr>
              <w:jc w:val="center"/>
            </w:pPr>
            <w:r>
              <w:rPr>
                <w:rFonts w:ascii="宋体" w:hAnsi="宋体" w:eastAsia="宋体"/>
                <w:sz w:val="16"/>
              </w:rPr>
              <w:t>&lt;=20.79万元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5E911">
            <w:pPr>
              <w:jc w:val="center"/>
            </w:pPr>
            <w:r>
              <w:rPr>
                <w:rFonts w:ascii="宋体" w:hAnsi="宋体" w:eastAsia="宋体"/>
                <w:sz w:val="16"/>
              </w:rPr>
              <w:t>=20.79万元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529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7F7A7">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EB0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DFC75">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CEB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17E1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0476F">
            <w:pPr>
              <w:jc w:val="center"/>
            </w:pPr>
          </w:p>
        </w:tc>
      </w:tr>
      <w:tr w14:paraId="588E25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9EC7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6670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35B8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BBC12">
            <w:pPr>
              <w:jc w:val="center"/>
            </w:pPr>
            <w:r>
              <w:rPr>
                <w:rFonts w:ascii="宋体" w:hAnsi="宋体" w:eastAsia="宋体"/>
                <w:sz w:val="16"/>
              </w:rPr>
              <w:t>开展政府债务核查费用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A741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8F15B">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1B098">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FF3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04EB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738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865A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299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B296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F98D7">
            <w:pPr>
              <w:jc w:val="center"/>
            </w:pPr>
          </w:p>
        </w:tc>
      </w:tr>
      <w:tr w14:paraId="08891D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ECE7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BBBF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223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6A6F9">
            <w:pPr>
              <w:jc w:val="center"/>
            </w:pPr>
            <w:r>
              <w:rPr>
                <w:rFonts w:ascii="宋体" w:hAnsi="宋体" w:eastAsia="宋体"/>
                <w:sz w:val="16"/>
              </w:rPr>
              <w:t>开展项目评审费用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F2A2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AE92B">
            <w:pPr>
              <w:jc w:val="center"/>
            </w:pPr>
            <w:r>
              <w:rPr>
                <w:rFonts w:ascii="宋体" w:hAnsi="宋体" w:eastAsia="宋体"/>
                <w:sz w:val="16"/>
              </w:rPr>
              <w:t>&lt;=3.86万元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C8DF9">
            <w:pPr>
              <w:jc w:val="center"/>
            </w:pPr>
            <w:r>
              <w:rPr>
                <w:rFonts w:ascii="宋体" w:hAnsi="宋体" w:eastAsia="宋体"/>
                <w:sz w:val="16"/>
              </w:rPr>
              <w:t>=3.86万元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B2E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A384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639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C244C">
            <w:pPr>
              <w:jc w:val="center"/>
            </w:pPr>
            <w:r>
              <w:rPr>
                <w:rFonts w:ascii="宋体" w:hAnsi="宋体" w:eastAsia="宋体"/>
                <w:sz w:val="16"/>
              </w:rPr>
              <w:t>新增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019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7A9A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E9189">
            <w:pPr>
              <w:jc w:val="center"/>
            </w:pPr>
          </w:p>
        </w:tc>
      </w:tr>
      <w:tr w14:paraId="475611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5733A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103C56">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655176">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40371">
            <w:pPr>
              <w:jc w:val="center"/>
            </w:pPr>
            <w:r>
              <w:rPr>
                <w:rFonts w:ascii="宋体" w:hAnsi="宋体" w:eastAsia="宋体"/>
                <w:sz w:val="16"/>
              </w:rPr>
              <w:t>提升政府性债务系统维护、问题处理效率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58DF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37F33">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B134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356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733A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43B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0A7FD">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E814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73D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FE6CF">
            <w:pPr>
              <w:jc w:val="center"/>
            </w:pPr>
          </w:p>
        </w:tc>
      </w:tr>
      <w:tr w14:paraId="6EFD11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F51C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C477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DAA0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2303B">
            <w:pPr>
              <w:jc w:val="center"/>
            </w:pPr>
            <w:r>
              <w:rPr>
                <w:rFonts w:ascii="宋体" w:hAnsi="宋体" w:eastAsia="宋体"/>
                <w:sz w:val="16"/>
              </w:rPr>
              <w:t>提升全口径债务监测系统维护、问题处理效率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5BEA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6394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C061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F70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67DC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98E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4A9C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019F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8FB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1CB3C">
            <w:pPr>
              <w:jc w:val="center"/>
            </w:pPr>
          </w:p>
        </w:tc>
      </w:tr>
      <w:tr w14:paraId="1E54864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10153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4A9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F428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D2E8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940A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80C4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EC16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372B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96A4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A056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DD1A44"/>
        </w:tc>
      </w:tr>
    </w:tbl>
    <w:p w14:paraId="13E7E301">
      <w:r>
        <w:br w:type="page"/>
      </w:r>
    </w:p>
    <w:tbl>
      <w:tblPr>
        <w:tblStyle w:val="9"/>
        <w:tblW w:w="0" w:type="auto"/>
        <w:tblInd w:w="0" w:type="dxa"/>
        <w:tblLayout w:type="autofit"/>
        <w:tblCellMar>
          <w:top w:w="0" w:type="dxa"/>
          <w:left w:w="108" w:type="dxa"/>
          <w:bottom w:w="0" w:type="dxa"/>
          <w:right w:w="108" w:type="dxa"/>
        </w:tblCellMar>
      </w:tblPr>
      <w:tblGrid>
        <w:gridCol w:w="622"/>
        <w:gridCol w:w="605"/>
        <w:gridCol w:w="605"/>
        <w:gridCol w:w="614"/>
        <w:gridCol w:w="614"/>
        <w:gridCol w:w="856"/>
        <w:gridCol w:w="776"/>
        <w:gridCol w:w="696"/>
        <w:gridCol w:w="630"/>
        <w:gridCol w:w="605"/>
        <w:gridCol w:w="605"/>
        <w:gridCol w:w="605"/>
        <w:gridCol w:w="605"/>
        <w:gridCol w:w="622"/>
      </w:tblGrid>
      <w:tr w14:paraId="312A1F4A">
        <w:tblPrEx>
          <w:tblCellMar>
            <w:top w:w="0" w:type="dxa"/>
            <w:left w:w="108" w:type="dxa"/>
            <w:bottom w:w="0" w:type="dxa"/>
            <w:right w:w="108" w:type="dxa"/>
          </w:tblCellMar>
        </w:tblPrEx>
        <w:tc>
          <w:tcPr>
            <w:tcW w:w="8848" w:type="dxa"/>
            <w:gridSpan w:val="14"/>
            <w:vAlign w:val="center"/>
          </w:tcPr>
          <w:p w14:paraId="7E4C1000">
            <w:pPr>
              <w:jc w:val="center"/>
            </w:pPr>
            <w:r>
              <w:rPr>
                <w:rFonts w:ascii="宋体" w:hAnsi="宋体" w:eastAsia="宋体"/>
                <w:sz w:val="24"/>
              </w:rPr>
              <w:t>项目支出绩效自评表</w:t>
            </w:r>
          </w:p>
        </w:tc>
      </w:tr>
      <w:tr w14:paraId="02AE984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60536E0">
            <w:pPr>
              <w:jc w:val="center"/>
            </w:pPr>
            <w:r>
              <w:rPr>
                <w:rFonts w:ascii="宋体" w:hAnsi="宋体" w:eastAsia="宋体"/>
                <w:sz w:val="24"/>
              </w:rPr>
              <w:t>(2024年度)</w:t>
            </w:r>
          </w:p>
        </w:tc>
      </w:tr>
      <w:tr w14:paraId="0FE24E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852B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2BF6895">
            <w:pPr>
              <w:jc w:val="center"/>
            </w:pPr>
            <w:r>
              <w:rPr>
                <w:rFonts w:ascii="宋体" w:hAnsi="宋体" w:eastAsia="宋体"/>
                <w:sz w:val="16"/>
              </w:rPr>
              <w:t>办公用房维修资金</w:t>
            </w:r>
          </w:p>
        </w:tc>
      </w:tr>
      <w:tr w14:paraId="5380A30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DF1C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34EE40">
            <w:pPr>
              <w:jc w:val="center"/>
            </w:pPr>
            <w:r>
              <w:rPr>
                <w:rFonts w:ascii="宋体" w:hAnsi="宋体" w:eastAsia="宋体"/>
                <w:sz w:val="16"/>
              </w:rPr>
              <w:t>昌吉回族自治州财政局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3CFF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B6C129">
            <w:pPr>
              <w:jc w:val="center"/>
            </w:pPr>
            <w:r>
              <w:rPr>
                <w:rFonts w:ascii="宋体" w:hAnsi="宋体" w:eastAsia="宋体"/>
                <w:sz w:val="16"/>
              </w:rPr>
              <w:t>昌吉回族自治州财政局</w:t>
            </w:r>
          </w:p>
        </w:tc>
      </w:tr>
      <w:tr w14:paraId="5AB91D4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6A5F7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FBC2D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E1BF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C9A62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A7DD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26D89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0F95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80924">
            <w:pPr>
              <w:jc w:val="center"/>
            </w:pPr>
            <w:r>
              <w:rPr>
                <w:rFonts w:ascii="宋体" w:hAnsi="宋体" w:eastAsia="宋体"/>
                <w:sz w:val="16"/>
              </w:rPr>
              <w:t>得分</w:t>
            </w:r>
          </w:p>
        </w:tc>
      </w:tr>
      <w:tr w14:paraId="3CD5E2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83AB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BF202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6C78D4">
            <w:pPr>
              <w:jc w:val="center"/>
            </w:pPr>
            <w:r>
              <w:rPr>
                <w:rFonts w:ascii="宋体" w:hAnsi="宋体" w:eastAsia="宋体"/>
                <w:sz w:val="16"/>
              </w:rPr>
              <w:t>439.68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793FC">
            <w:pPr>
              <w:jc w:val="center"/>
            </w:pPr>
            <w:r>
              <w:rPr>
                <w:rFonts w:ascii="宋体" w:hAnsi="宋体" w:eastAsia="宋体"/>
                <w:sz w:val="16"/>
              </w:rPr>
              <w:t>447.80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CC5DD">
            <w:pPr>
              <w:jc w:val="center"/>
            </w:pPr>
            <w:r>
              <w:rPr>
                <w:rFonts w:ascii="宋体" w:hAnsi="宋体" w:eastAsia="宋体"/>
                <w:sz w:val="16"/>
              </w:rPr>
              <w:t>400.93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F725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A01A1">
            <w:pPr>
              <w:jc w:val="center"/>
            </w:pPr>
            <w:r>
              <w:rPr>
                <w:rFonts w:ascii="宋体" w:hAnsi="宋体" w:eastAsia="宋体"/>
                <w:sz w:val="16"/>
              </w:rPr>
              <w:t>89.53%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314C4">
            <w:pPr>
              <w:jc w:val="center"/>
            </w:pPr>
            <w:r>
              <w:rPr>
                <w:rFonts w:ascii="宋体" w:hAnsi="宋体" w:eastAsia="宋体"/>
                <w:sz w:val="16"/>
              </w:rPr>
              <w:t>7.38</w:t>
            </w:r>
          </w:p>
        </w:tc>
      </w:tr>
      <w:tr w14:paraId="72BA69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911B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5752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47C9D">
            <w:pPr>
              <w:jc w:val="center"/>
            </w:pPr>
            <w:r>
              <w:rPr>
                <w:rFonts w:ascii="宋体" w:hAnsi="宋体" w:eastAsia="宋体"/>
                <w:sz w:val="16"/>
              </w:rPr>
              <w:t>439.68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AFFAB0">
            <w:pPr>
              <w:jc w:val="center"/>
            </w:pPr>
            <w:r>
              <w:rPr>
                <w:rFonts w:ascii="宋体" w:hAnsi="宋体" w:eastAsia="宋体"/>
                <w:sz w:val="16"/>
              </w:rPr>
              <w:t>447.80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7FB7E">
            <w:pPr>
              <w:jc w:val="center"/>
            </w:pPr>
            <w:r>
              <w:rPr>
                <w:rFonts w:ascii="宋体" w:hAnsi="宋体" w:eastAsia="宋体"/>
                <w:sz w:val="16"/>
              </w:rPr>
              <w:t>400.93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DE27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38C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9176D">
            <w:pPr>
              <w:jc w:val="center"/>
            </w:pPr>
            <w:r>
              <w:rPr>
                <w:rFonts w:ascii="宋体" w:hAnsi="宋体" w:eastAsia="宋体"/>
                <w:sz w:val="16"/>
              </w:rPr>
              <w:t>—</w:t>
            </w:r>
          </w:p>
        </w:tc>
      </w:tr>
      <w:tr w14:paraId="611D6F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20A2E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C802B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535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5AFD8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359A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ECF7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7AE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55B55">
            <w:pPr>
              <w:jc w:val="center"/>
            </w:pPr>
            <w:r>
              <w:rPr>
                <w:rFonts w:ascii="宋体" w:hAnsi="宋体" w:eastAsia="宋体"/>
                <w:sz w:val="16"/>
              </w:rPr>
              <w:t>—</w:t>
            </w:r>
          </w:p>
        </w:tc>
      </w:tr>
      <w:tr w14:paraId="76E52A3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1E2A8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95B21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FB23A6">
            <w:pPr>
              <w:jc w:val="center"/>
            </w:pPr>
            <w:r>
              <w:rPr>
                <w:rFonts w:ascii="宋体" w:hAnsi="宋体" w:eastAsia="宋体"/>
                <w:sz w:val="16"/>
              </w:rPr>
              <w:t>实际完成情况</w:t>
            </w:r>
          </w:p>
        </w:tc>
      </w:tr>
      <w:tr w14:paraId="225224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B5553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32E4FF">
            <w:pPr>
              <w:jc w:val="both"/>
            </w:pPr>
            <w:r>
              <w:rPr>
                <w:rFonts w:ascii="宋体" w:hAnsi="宋体" w:eastAsia="宋体"/>
                <w:sz w:val="16"/>
              </w:rPr>
              <w:t>根据2024年州本级办公用房维修计划，2024年该项目计划对州财政局、审计局办公楼外立面保温，州财政局办公楼更换窗户，州审计局办公楼暖气、供水和卫生间等方面进行维修改造。修缮建筑面积约8059平方米，更换约326</w:t>
            </w:r>
            <w:r>
              <w:rPr>
                <w:rFonts w:hint="eastAsia" w:ascii="宋体" w:hAnsi="宋体"/>
                <w:sz w:val="16"/>
                <w:lang w:eastAsia="zh-CN"/>
              </w:rPr>
              <w:t>扇</w:t>
            </w:r>
            <w:r>
              <w:rPr>
                <w:rFonts w:ascii="宋体" w:hAnsi="宋体" w:eastAsia="宋体"/>
                <w:sz w:val="16"/>
              </w:rPr>
              <w:t>窗户，更换约131个暖气片，项目验收合格率达到100%。通过该项目的实施，消除办公楼安全隐患,提升安全和节能减排系数。</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F72696">
            <w:pPr>
              <w:jc w:val="both"/>
            </w:pPr>
            <w:r>
              <w:rPr>
                <w:rFonts w:hint="eastAsia" w:ascii="宋体" w:hAnsi="宋体"/>
                <w:sz w:val="16"/>
                <w:lang w:eastAsia="zh-CN"/>
              </w:rPr>
              <w:t>截至2024</w:t>
            </w:r>
            <w:r>
              <w:rPr>
                <w:rFonts w:ascii="宋体" w:hAnsi="宋体" w:eastAsia="宋体"/>
                <w:sz w:val="16"/>
              </w:rPr>
              <w:t>年12月31日，实际完成州财政局、审计局办公楼外立面保温，修缮建筑面积8059平方米，更换326</w:t>
            </w:r>
            <w:r>
              <w:rPr>
                <w:rFonts w:hint="eastAsia" w:ascii="宋体" w:hAnsi="宋体"/>
                <w:sz w:val="16"/>
                <w:lang w:eastAsia="zh-CN"/>
              </w:rPr>
              <w:t>扇</w:t>
            </w:r>
            <w:r>
              <w:rPr>
                <w:rFonts w:ascii="宋体" w:hAnsi="宋体" w:eastAsia="宋体"/>
                <w:sz w:val="16"/>
              </w:rPr>
              <w:t>窗户，更换131个暖气片，项目验收合格率100%。</w:t>
            </w:r>
          </w:p>
        </w:tc>
      </w:tr>
      <w:tr w14:paraId="5A948F2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FAF3B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152D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5F02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4161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FFC9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7533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77FD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76CF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B6DA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D3CF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C3B5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8ABD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7F14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323A4">
            <w:pPr>
              <w:jc w:val="center"/>
            </w:pPr>
            <w:r>
              <w:rPr>
                <w:rFonts w:ascii="宋体" w:hAnsi="宋体" w:eastAsia="宋体"/>
                <w:sz w:val="16"/>
              </w:rPr>
              <w:t>偏差原因分析及改进措施</w:t>
            </w:r>
          </w:p>
        </w:tc>
      </w:tr>
      <w:tr w14:paraId="3BF5B49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ED5B7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C2EBF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50F53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E0EDA">
            <w:pPr>
              <w:jc w:val="center"/>
            </w:pPr>
            <w:r>
              <w:rPr>
                <w:rFonts w:ascii="宋体" w:hAnsi="宋体" w:eastAsia="宋体"/>
                <w:sz w:val="16"/>
              </w:rPr>
              <w:t>修缮建筑面积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34D5B">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DB943">
            <w:pPr>
              <w:jc w:val="center"/>
            </w:pPr>
            <w:r>
              <w:rPr>
                <w:rFonts w:ascii="宋体" w:hAnsi="宋体" w:eastAsia="宋体"/>
                <w:sz w:val="16"/>
              </w:rPr>
              <w:t>&gt;=8059平方米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9BED3">
            <w:pPr>
              <w:jc w:val="center"/>
            </w:pPr>
            <w:r>
              <w:rPr>
                <w:rFonts w:ascii="宋体" w:hAnsi="宋体" w:eastAsia="宋体"/>
                <w:sz w:val="16"/>
              </w:rPr>
              <w:t>=8059平方米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983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87A7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24D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A62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404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78A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37506">
            <w:pPr>
              <w:jc w:val="center"/>
            </w:pPr>
          </w:p>
        </w:tc>
      </w:tr>
      <w:tr w14:paraId="16513A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E91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0F9D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0E70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83425">
            <w:pPr>
              <w:jc w:val="center"/>
            </w:pPr>
            <w:r>
              <w:rPr>
                <w:rFonts w:ascii="宋体" w:hAnsi="宋体" w:eastAsia="宋体"/>
                <w:sz w:val="16"/>
              </w:rPr>
              <w:t>更换窗户数量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8CA71">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D5CCD">
            <w:pPr>
              <w:jc w:val="center"/>
            </w:pPr>
            <w:r>
              <w:rPr>
                <w:rFonts w:ascii="宋体" w:hAnsi="宋体" w:eastAsia="宋体"/>
                <w:sz w:val="16"/>
              </w:rPr>
              <w:t>&gt;=326个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8E4E8">
            <w:pPr>
              <w:jc w:val="center"/>
            </w:pPr>
            <w:r>
              <w:rPr>
                <w:rFonts w:ascii="宋体" w:hAnsi="宋体" w:eastAsia="宋体"/>
                <w:sz w:val="16"/>
              </w:rPr>
              <w:t>=326个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216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BE99C">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CDC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05F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5D9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5C4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A5AFF">
            <w:pPr>
              <w:jc w:val="center"/>
            </w:pPr>
          </w:p>
        </w:tc>
      </w:tr>
      <w:tr w14:paraId="0E81C2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00DE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E0E3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EA1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B16F8">
            <w:pPr>
              <w:jc w:val="center"/>
            </w:pPr>
            <w:r>
              <w:rPr>
                <w:rFonts w:ascii="宋体" w:hAnsi="宋体" w:eastAsia="宋体"/>
                <w:sz w:val="16"/>
              </w:rPr>
              <w:t>更换暖气片数量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7D51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61D19">
            <w:pPr>
              <w:jc w:val="center"/>
            </w:pPr>
            <w:r>
              <w:rPr>
                <w:rFonts w:ascii="宋体" w:hAnsi="宋体" w:eastAsia="宋体"/>
                <w:sz w:val="16"/>
              </w:rPr>
              <w:t>&gt;=131个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6CF29">
            <w:pPr>
              <w:jc w:val="center"/>
            </w:pPr>
            <w:r>
              <w:rPr>
                <w:rFonts w:ascii="宋体" w:hAnsi="宋体" w:eastAsia="宋体"/>
                <w:sz w:val="16"/>
              </w:rPr>
              <w:t>=131个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C99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9BDD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81C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4EC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0E2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1CB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2E2F4">
            <w:pPr>
              <w:jc w:val="center"/>
            </w:pPr>
          </w:p>
        </w:tc>
      </w:tr>
      <w:tr w14:paraId="29B6A2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26A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81BF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1BCA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9A27A">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216A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5DF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A70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237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7174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3C5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7AE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836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5FC4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E59DE">
            <w:pPr>
              <w:jc w:val="center"/>
            </w:pPr>
          </w:p>
        </w:tc>
      </w:tr>
      <w:tr w14:paraId="555AF1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1E3E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AAC1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BA6E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01E25">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9A76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22E30">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7200A">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9C6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22FB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872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31B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64B2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94E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62673">
            <w:pPr>
              <w:jc w:val="center"/>
            </w:pPr>
          </w:p>
        </w:tc>
      </w:tr>
      <w:tr w14:paraId="166578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26DFD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B3C99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03505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B6209">
            <w:pPr>
              <w:jc w:val="center"/>
            </w:pPr>
            <w:r>
              <w:rPr>
                <w:rFonts w:ascii="宋体" w:hAnsi="宋体" w:eastAsia="宋体"/>
                <w:sz w:val="16"/>
              </w:rPr>
              <w:t>设计费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681E5">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78598">
            <w:pPr>
              <w:jc w:val="center"/>
            </w:pPr>
            <w:r>
              <w:rPr>
                <w:rFonts w:ascii="宋体" w:hAnsi="宋体" w:eastAsia="宋体"/>
                <w:sz w:val="16"/>
              </w:rPr>
              <w:t>&lt;=16万元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3EA58">
            <w:pPr>
              <w:jc w:val="center"/>
            </w:pPr>
            <w:r>
              <w:rPr>
                <w:rFonts w:ascii="宋体" w:hAnsi="宋体" w:eastAsia="宋体"/>
                <w:sz w:val="16"/>
              </w:rPr>
              <w:t>=15.8万元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D4D03">
            <w:pPr>
              <w:jc w:val="center"/>
            </w:pPr>
            <w:r>
              <w:rPr>
                <w:rFonts w:ascii="宋体" w:hAnsi="宋体" w:eastAsia="宋体"/>
                <w:sz w:val="16"/>
              </w:rPr>
              <w:t>98.75%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D05BB">
            <w:pPr>
              <w:jc w:val="center"/>
            </w:pPr>
            <w:r>
              <w:rPr>
                <w:rFonts w:ascii="宋体" w:hAnsi="宋体" w:eastAsia="宋体"/>
                <w:sz w:val="16"/>
              </w:rPr>
              <w:t>1.94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7FF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7D2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C25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E610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8C8E9">
            <w:pPr>
              <w:jc w:val="center"/>
            </w:pPr>
            <w:r>
              <w:rPr>
                <w:rFonts w:ascii="宋体" w:hAnsi="宋体" w:eastAsia="宋体"/>
                <w:sz w:val="16"/>
              </w:rPr>
              <w:t>偏差原因：中标价低于预算价，实际支付资金控制在成本指标内，结余资金财政收回。</w:t>
            </w:r>
            <w:r>
              <w:rPr>
                <w:rFonts w:hint="eastAsia" w:ascii="宋体" w:hAnsi="宋体"/>
                <w:sz w:val="16"/>
                <w:lang w:eastAsia="zh-CN"/>
              </w:rPr>
              <w:t>本单位</w:t>
            </w:r>
            <w:r>
              <w:rPr>
                <w:rFonts w:ascii="宋体" w:hAnsi="宋体" w:eastAsia="宋体"/>
                <w:sz w:val="16"/>
              </w:rPr>
              <w:t>将加快申报审批进度，确保项目资金及时支付，确保工作按时完成，降低指标偏差。</w:t>
            </w:r>
          </w:p>
        </w:tc>
      </w:tr>
      <w:tr w14:paraId="4E4592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AA7D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2E4B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0267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65D6C">
            <w:pPr>
              <w:jc w:val="center"/>
            </w:pPr>
            <w:r>
              <w:rPr>
                <w:rFonts w:ascii="宋体" w:hAnsi="宋体" w:eastAsia="宋体"/>
                <w:sz w:val="16"/>
              </w:rPr>
              <w:t>监理费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F2261">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DD419">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DB6DA">
            <w:pPr>
              <w:jc w:val="center"/>
            </w:pPr>
            <w:r>
              <w:rPr>
                <w:rFonts w:ascii="宋体" w:hAnsi="宋体" w:eastAsia="宋体"/>
                <w:sz w:val="16"/>
              </w:rPr>
              <w:t>=6.91万元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6AE05">
            <w:pPr>
              <w:jc w:val="center"/>
            </w:pPr>
            <w:r>
              <w:rPr>
                <w:rFonts w:ascii="宋体" w:hAnsi="宋体" w:eastAsia="宋体"/>
                <w:sz w:val="16"/>
              </w:rPr>
              <w:t>98.71%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138AA">
            <w:pPr>
              <w:jc w:val="center"/>
            </w:pPr>
            <w:r>
              <w:rPr>
                <w:rFonts w:ascii="宋体" w:hAnsi="宋体" w:eastAsia="宋体"/>
                <w:sz w:val="16"/>
              </w:rPr>
              <w:t>1.94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394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F40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424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0129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751A1">
            <w:pPr>
              <w:jc w:val="center"/>
            </w:pPr>
            <w:r>
              <w:rPr>
                <w:rFonts w:ascii="宋体" w:hAnsi="宋体" w:eastAsia="宋体"/>
                <w:sz w:val="16"/>
              </w:rPr>
              <w:t>偏差原因：中标价低于预算价，实际支付资金控制在成本指标内，结余资金财政收回。</w:t>
            </w:r>
            <w:r>
              <w:rPr>
                <w:rFonts w:hint="eastAsia" w:ascii="宋体" w:hAnsi="宋体"/>
                <w:sz w:val="16"/>
                <w:lang w:eastAsia="zh-CN"/>
              </w:rPr>
              <w:t>本单位</w:t>
            </w:r>
            <w:r>
              <w:rPr>
                <w:rFonts w:ascii="宋体" w:hAnsi="宋体" w:eastAsia="宋体"/>
                <w:sz w:val="16"/>
              </w:rPr>
              <w:t>将加快申报审批进度，确保项目资金及时支付，确保工作按时完成，降低指标偏差。</w:t>
            </w:r>
          </w:p>
        </w:tc>
      </w:tr>
      <w:tr w14:paraId="1C6B09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2702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C6E5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5B36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703E8">
            <w:pPr>
              <w:jc w:val="center"/>
            </w:pPr>
            <w:r>
              <w:rPr>
                <w:rFonts w:ascii="宋体" w:hAnsi="宋体" w:eastAsia="宋体"/>
                <w:sz w:val="16"/>
              </w:rPr>
              <w:t>修缮费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EC0CD">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E4132">
            <w:pPr>
              <w:jc w:val="center"/>
            </w:pPr>
            <w:r>
              <w:rPr>
                <w:rFonts w:ascii="宋体" w:hAnsi="宋体" w:eastAsia="宋体"/>
                <w:sz w:val="16"/>
              </w:rPr>
              <w:t>&lt;=424.80万元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F7351">
            <w:pPr>
              <w:jc w:val="center"/>
            </w:pPr>
            <w:r>
              <w:rPr>
                <w:rFonts w:ascii="宋体" w:hAnsi="宋体" w:eastAsia="宋体"/>
                <w:sz w:val="16"/>
              </w:rPr>
              <w:t>=378.22万元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94F6A">
            <w:pPr>
              <w:jc w:val="center"/>
            </w:pPr>
            <w:r>
              <w:rPr>
                <w:rFonts w:ascii="宋体" w:hAnsi="宋体" w:eastAsia="宋体"/>
                <w:sz w:val="16"/>
              </w:rPr>
              <w:t>89.03%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93232">
            <w:pPr>
              <w:jc w:val="center"/>
            </w:pPr>
            <w:r>
              <w:rPr>
                <w:rFonts w:ascii="宋体" w:hAnsi="宋体" w:eastAsia="宋体"/>
                <w:sz w:val="16"/>
              </w:rPr>
              <w:t>11.61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790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FA3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2F9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C8CD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923C3">
            <w:pPr>
              <w:jc w:val="center"/>
            </w:pPr>
            <w:r>
              <w:rPr>
                <w:rFonts w:ascii="宋体" w:hAnsi="宋体" w:eastAsia="宋体"/>
                <w:sz w:val="16"/>
              </w:rPr>
              <w:t>偏差原因：中标价低于预算价，实际支付资金控制在成本指标内，结余资金财政收回。</w:t>
            </w:r>
            <w:r>
              <w:rPr>
                <w:rFonts w:hint="eastAsia" w:ascii="宋体" w:hAnsi="宋体"/>
                <w:sz w:val="16"/>
                <w:lang w:eastAsia="zh-CN"/>
              </w:rPr>
              <w:t>本单位</w:t>
            </w:r>
            <w:r>
              <w:rPr>
                <w:rFonts w:ascii="宋体" w:hAnsi="宋体" w:eastAsia="宋体"/>
                <w:sz w:val="16"/>
              </w:rPr>
              <w:t>将加快申报审批进度，确保项目资金及时支付，确保工作按时完成，降低指标偏差。</w:t>
            </w:r>
          </w:p>
        </w:tc>
      </w:tr>
      <w:tr w14:paraId="6EDFDA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6137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0734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086D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B9435">
            <w:pPr>
              <w:jc w:val="center"/>
            </w:pPr>
            <w:r>
              <w:rPr>
                <w:rFonts w:ascii="宋体" w:hAnsi="宋体" w:eastAsia="宋体"/>
                <w:sz w:val="16"/>
              </w:rPr>
              <w:t>消除办公楼安全隐患,提升安全和节能减排系数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8E35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EC25F">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510A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1F9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1722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235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83F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DCF0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4B2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44475">
            <w:pPr>
              <w:jc w:val="center"/>
            </w:pPr>
          </w:p>
        </w:tc>
      </w:tr>
      <w:tr w14:paraId="732510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342D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7DDF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C17D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49956">
            <w:pPr>
              <w:jc w:val="center"/>
            </w:pPr>
            <w:r>
              <w:rPr>
                <w:rFonts w:ascii="宋体" w:hAnsi="宋体" w:eastAsia="宋体"/>
                <w:sz w:val="16"/>
              </w:rPr>
              <w:t>受益职工满意度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98F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AECC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2971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5B7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14B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D13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396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D5B8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4BE5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04DF0">
            <w:pPr>
              <w:jc w:val="center"/>
            </w:pPr>
          </w:p>
        </w:tc>
      </w:tr>
      <w:tr w14:paraId="39B6F2A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93771B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04D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38A2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E65D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6659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74E96">
            <w:pPr>
              <w:jc w:val="center"/>
            </w:pPr>
            <w:r>
              <w:rPr>
                <w:rFonts w:ascii="宋体" w:hAnsi="宋体" w:eastAsia="宋体"/>
                <w:sz w:val="16"/>
              </w:rPr>
              <w:t>92.87分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13B3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2140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5027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6E06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1B492A"/>
        </w:tc>
      </w:tr>
    </w:tbl>
    <w:p w14:paraId="24F4D22A">
      <w:r>
        <w:br w:type="page"/>
      </w:r>
    </w:p>
    <w:tbl>
      <w:tblPr>
        <w:tblStyle w:val="9"/>
        <w:tblW w:w="0" w:type="auto"/>
        <w:tblInd w:w="0" w:type="dxa"/>
        <w:tblLayout w:type="autofit"/>
        <w:tblCellMar>
          <w:top w:w="0" w:type="dxa"/>
          <w:left w:w="108" w:type="dxa"/>
          <w:bottom w:w="0" w:type="dxa"/>
          <w:right w:w="108" w:type="dxa"/>
        </w:tblCellMar>
      </w:tblPr>
      <w:tblGrid>
        <w:gridCol w:w="615"/>
        <w:gridCol w:w="591"/>
        <w:gridCol w:w="591"/>
        <w:gridCol w:w="604"/>
        <w:gridCol w:w="604"/>
        <w:gridCol w:w="776"/>
        <w:gridCol w:w="856"/>
        <w:gridCol w:w="776"/>
        <w:gridCol w:w="629"/>
        <w:gridCol w:w="591"/>
        <w:gridCol w:w="629"/>
        <w:gridCol w:w="591"/>
        <w:gridCol w:w="591"/>
        <w:gridCol w:w="616"/>
      </w:tblGrid>
      <w:tr w14:paraId="1D11395D">
        <w:tblPrEx>
          <w:tblCellMar>
            <w:top w:w="0" w:type="dxa"/>
            <w:left w:w="108" w:type="dxa"/>
            <w:bottom w:w="0" w:type="dxa"/>
            <w:right w:w="108" w:type="dxa"/>
          </w:tblCellMar>
        </w:tblPrEx>
        <w:tc>
          <w:tcPr>
            <w:tcW w:w="8848" w:type="dxa"/>
            <w:gridSpan w:val="14"/>
            <w:vAlign w:val="center"/>
          </w:tcPr>
          <w:p w14:paraId="5B6FF276">
            <w:pPr>
              <w:jc w:val="center"/>
            </w:pPr>
            <w:r>
              <w:rPr>
                <w:rFonts w:ascii="宋体" w:hAnsi="宋体" w:eastAsia="宋体"/>
                <w:sz w:val="24"/>
              </w:rPr>
              <w:t>项目支出绩效自评表</w:t>
            </w:r>
          </w:p>
        </w:tc>
      </w:tr>
      <w:tr w14:paraId="1A6A8C9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A14290A">
            <w:pPr>
              <w:jc w:val="center"/>
            </w:pPr>
            <w:r>
              <w:rPr>
                <w:rFonts w:ascii="宋体" w:hAnsi="宋体" w:eastAsia="宋体"/>
                <w:sz w:val="24"/>
              </w:rPr>
              <w:t>(2024年度)</w:t>
            </w:r>
          </w:p>
        </w:tc>
      </w:tr>
      <w:tr w14:paraId="7D944FA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A9A1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7689DB4">
            <w:pPr>
              <w:jc w:val="center"/>
            </w:pPr>
            <w:r>
              <w:rPr>
                <w:rFonts w:ascii="宋体" w:hAnsi="宋体" w:eastAsia="宋体"/>
                <w:sz w:val="16"/>
              </w:rPr>
              <w:t>机关运行补助经费</w:t>
            </w:r>
          </w:p>
        </w:tc>
      </w:tr>
      <w:tr w14:paraId="40C8196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C71B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912A3A">
            <w:pPr>
              <w:jc w:val="center"/>
            </w:pPr>
            <w:r>
              <w:rPr>
                <w:rFonts w:ascii="宋体" w:hAnsi="宋体" w:eastAsia="宋体"/>
                <w:sz w:val="16"/>
              </w:rPr>
              <w:t>昌吉回族自治州财政局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10DC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1EB2195">
            <w:pPr>
              <w:jc w:val="center"/>
            </w:pPr>
            <w:r>
              <w:rPr>
                <w:rFonts w:ascii="宋体" w:hAnsi="宋体" w:eastAsia="宋体"/>
                <w:sz w:val="16"/>
              </w:rPr>
              <w:t>昌吉回族自治州财政局</w:t>
            </w:r>
          </w:p>
        </w:tc>
      </w:tr>
      <w:tr w14:paraId="7D79C1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93B08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F0B2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55E05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8D6B2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707F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75F5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970E9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FB7D4">
            <w:pPr>
              <w:jc w:val="center"/>
            </w:pPr>
            <w:r>
              <w:rPr>
                <w:rFonts w:ascii="宋体" w:hAnsi="宋体" w:eastAsia="宋体"/>
                <w:sz w:val="16"/>
              </w:rPr>
              <w:t>得分</w:t>
            </w:r>
          </w:p>
        </w:tc>
      </w:tr>
      <w:tr w14:paraId="33F35D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D8A94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5419D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DAED5D">
            <w:pPr>
              <w:jc w:val="center"/>
            </w:pPr>
            <w:r>
              <w:rPr>
                <w:rFonts w:ascii="宋体" w:hAnsi="宋体" w:eastAsia="宋体"/>
                <w:sz w:val="16"/>
              </w:rPr>
              <w:t>262.00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FE282">
            <w:pPr>
              <w:jc w:val="center"/>
            </w:pPr>
            <w:r>
              <w:rPr>
                <w:rFonts w:ascii="宋体" w:hAnsi="宋体" w:eastAsia="宋体"/>
                <w:sz w:val="16"/>
              </w:rPr>
              <w:t>244.72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D20789">
            <w:pPr>
              <w:jc w:val="center"/>
            </w:pPr>
            <w:r>
              <w:rPr>
                <w:rFonts w:ascii="宋体" w:hAnsi="宋体" w:eastAsia="宋体"/>
                <w:sz w:val="16"/>
              </w:rPr>
              <w:t>230.24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F623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6CF48">
            <w:pPr>
              <w:jc w:val="center"/>
            </w:pPr>
            <w:r>
              <w:rPr>
                <w:rFonts w:ascii="宋体" w:hAnsi="宋体" w:eastAsia="宋体"/>
                <w:sz w:val="16"/>
              </w:rPr>
              <w:t>94.08%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3C150">
            <w:pPr>
              <w:jc w:val="center"/>
            </w:pPr>
            <w:r>
              <w:rPr>
                <w:rFonts w:ascii="宋体" w:hAnsi="宋体" w:eastAsia="宋体"/>
                <w:sz w:val="16"/>
              </w:rPr>
              <w:t>8.52</w:t>
            </w:r>
          </w:p>
        </w:tc>
      </w:tr>
      <w:tr w14:paraId="040B66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46CE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E7558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57CC0">
            <w:pPr>
              <w:jc w:val="center"/>
            </w:pPr>
            <w:r>
              <w:rPr>
                <w:rFonts w:ascii="宋体" w:hAnsi="宋体" w:eastAsia="宋体"/>
                <w:sz w:val="16"/>
              </w:rPr>
              <w:t>157.00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2DA56">
            <w:pPr>
              <w:jc w:val="center"/>
            </w:pPr>
            <w:r>
              <w:rPr>
                <w:rFonts w:ascii="宋体" w:hAnsi="宋体" w:eastAsia="宋体"/>
                <w:sz w:val="16"/>
              </w:rPr>
              <w:t>173.76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25359">
            <w:pPr>
              <w:jc w:val="center"/>
            </w:pPr>
            <w:r>
              <w:rPr>
                <w:rFonts w:ascii="宋体" w:hAnsi="宋体" w:eastAsia="宋体"/>
                <w:sz w:val="16"/>
              </w:rPr>
              <w:t>170.22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0D91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3E0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0B233">
            <w:pPr>
              <w:jc w:val="center"/>
            </w:pPr>
            <w:r>
              <w:rPr>
                <w:rFonts w:ascii="宋体" w:hAnsi="宋体" w:eastAsia="宋体"/>
                <w:sz w:val="16"/>
              </w:rPr>
              <w:t>—</w:t>
            </w:r>
          </w:p>
        </w:tc>
      </w:tr>
      <w:tr w14:paraId="013CD0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E1F6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702E0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47C48">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907D9">
            <w:pPr>
              <w:jc w:val="center"/>
            </w:pPr>
            <w:r>
              <w:rPr>
                <w:rFonts w:ascii="宋体" w:hAnsi="宋体" w:eastAsia="宋体"/>
                <w:sz w:val="16"/>
              </w:rPr>
              <w:t>70.96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32CE69">
            <w:pPr>
              <w:jc w:val="center"/>
            </w:pPr>
            <w:r>
              <w:rPr>
                <w:rFonts w:ascii="宋体" w:hAnsi="宋体" w:eastAsia="宋体"/>
                <w:sz w:val="16"/>
              </w:rPr>
              <w:t>60.02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3BC98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45A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D2EF2">
            <w:pPr>
              <w:jc w:val="center"/>
            </w:pPr>
            <w:r>
              <w:rPr>
                <w:rFonts w:ascii="宋体" w:hAnsi="宋体" w:eastAsia="宋体"/>
                <w:sz w:val="16"/>
              </w:rPr>
              <w:t>—</w:t>
            </w:r>
          </w:p>
        </w:tc>
      </w:tr>
      <w:tr w14:paraId="61A796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9DE0B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266B5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4765DE">
            <w:pPr>
              <w:jc w:val="center"/>
            </w:pPr>
            <w:r>
              <w:rPr>
                <w:rFonts w:ascii="宋体" w:hAnsi="宋体" w:eastAsia="宋体"/>
                <w:sz w:val="16"/>
              </w:rPr>
              <w:t>实际完成情况</w:t>
            </w:r>
          </w:p>
        </w:tc>
      </w:tr>
      <w:tr w14:paraId="558793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020B6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6266A2">
            <w:pPr>
              <w:jc w:val="both"/>
            </w:pPr>
            <w:r>
              <w:rPr>
                <w:rFonts w:ascii="宋体" w:hAnsi="宋体" w:eastAsia="宋体"/>
                <w:sz w:val="16"/>
              </w:rPr>
              <w:t>建立和实施完善的管理服务体系，维护机关办公楼的</w:t>
            </w:r>
            <w:r>
              <w:rPr>
                <w:rFonts w:hint="eastAsia" w:ascii="宋体" w:hAnsi="宋体"/>
                <w:sz w:val="16"/>
                <w:lang w:eastAsia="zh-CN"/>
              </w:rPr>
              <w:t>良好</w:t>
            </w:r>
            <w:r>
              <w:rPr>
                <w:rFonts w:ascii="宋体" w:hAnsi="宋体" w:eastAsia="宋体"/>
                <w:sz w:val="16"/>
              </w:rPr>
              <w:t>秩序及卫生环境；对办公楼内外部设施及高清监控进行维修，对电梯定期检测、维修保养，增加了机关安全及稳定的系数</w:t>
            </w:r>
            <w:r>
              <w:rPr>
                <w:rFonts w:hint="eastAsia" w:ascii="宋体" w:hAnsi="宋体"/>
                <w:sz w:val="16"/>
                <w:lang w:eastAsia="zh-CN"/>
              </w:rPr>
              <w:t>；</w:t>
            </w:r>
            <w:r>
              <w:rPr>
                <w:rFonts w:ascii="宋体" w:hAnsi="宋体" w:eastAsia="宋体"/>
                <w:sz w:val="16"/>
              </w:rPr>
              <w:t>做好局机关运行保障工作,完成州党委、人民政府交办的其他任务。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446B5C">
            <w:pPr>
              <w:jc w:val="both"/>
            </w:pPr>
            <w:r>
              <w:rPr>
                <w:rFonts w:hint="eastAsia" w:ascii="宋体" w:hAnsi="宋体"/>
                <w:sz w:val="16"/>
                <w:lang w:eastAsia="zh-CN"/>
              </w:rPr>
              <w:t>截至</w:t>
            </w:r>
            <w:r>
              <w:rPr>
                <w:rFonts w:ascii="宋体" w:hAnsi="宋体" w:eastAsia="宋体"/>
                <w:sz w:val="16"/>
              </w:rPr>
              <w:t>2024年12月31日，实际完成对5931.64平方米区域的物业服务，定期对两部电梯进行检修保养，服务验收合格率达90%，日常巡查维护及时率达95%，通过该项目的实施消除办公楼安全隐患,提升安全和稳定系数。</w:t>
            </w:r>
          </w:p>
        </w:tc>
      </w:tr>
      <w:tr w14:paraId="45D9315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3B82D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3201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3ABA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4805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F9D4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DE49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631D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5745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437E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3C6B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BCC7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B519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E129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DADC1">
            <w:pPr>
              <w:jc w:val="center"/>
            </w:pPr>
            <w:r>
              <w:rPr>
                <w:rFonts w:ascii="宋体" w:hAnsi="宋体" w:eastAsia="宋体"/>
                <w:sz w:val="16"/>
              </w:rPr>
              <w:t>偏差原因分析及改进措施</w:t>
            </w:r>
          </w:p>
        </w:tc>
      </w:tr>
      <w:tr w14:paraId="6D2D7A8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28CB6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C51FE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AF1EF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8292E">
            <w:pPr>
              <w:jc w:val="center"/>
            </w:pPr>
            <w:r>
              <w:rPr>
                <w:rFonts w:ascii="宋体" w:hAnsi="宋体" w:eastAsia="宋体"/>
                <w:sz w:val="16"/>
              </w:rPr>
              <w:t>服务区建筑面积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7F7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DE334">
            <w:pPr>
              <w:jc w:val="center"/>
            </w:pPr>
            <w:r>
              <w:rPr>
                <w:rFonts w:ascii="宋体" w:hAnsi="宋体" w:eastAsia="宋体"/>
                <w:sz w:val="16"/>
              </w:rPr>
              <w:t>&gt;=5000平方米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EB804">
            <w:pPr>
              <w:jc w:val="center"/>
            </w:pPr>
            <w:r>
              <w:rPr>
                <w:rFonts w:ascii="宋体" w:hAnsi="宋体" w:eastAsia="宋体"/>
                <w:sz w:val="16"/>
              </w:rPr>
              <w:t>=5931.64平方米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DBC5D">
            <w:pPr>
              <w:jc w:val="center"/>
            </w:pPr>
            <w:r>
              <w:rPr>
                <w:rFonts w:ascii="宋体" w:hAnsi="宋体" w:eastAsia="宋体"/>
                <w:sz w:val="16"/>
              </w:rPr>
              <w:t>118.63%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875DE">
            <w:pPr>
              <w:jc w:val="center"/>
            </w:pPr>
            <w:r>
              <w:rPr>
                <w:rFonts w:ascii="宋体" w:hAnsi="宋体" w:eastAsia="宋体"/>
                <w:sz w:val="16"/>
              </w:rPr>
              <w:t>8.14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8167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4061C">
            <w:pPr>
              <w:jc w:val="center"/>
            </w:pPr>
            <w:r>
              <w:rPr>
                <w:rFonts w:ascii="宋体" w:hAnsi="宋体" w:eastAsia="宋体"/>
                <w:sz w:val="16"/>
              </w:rPr>
              <w:t>5745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FF1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9A6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66C27">
            <w:pPr>
              <w:jc w:val="center"/>
            </w:pPr>
            <w:r>
              <w:rPr>
                <w:rFonts w:ascii="宋体" w:hAnsi="宋体" w:eastAsia="宋体"/>
                <w:sz w:val="16"/>
              </w:rPr>
              <w:t>财政局办公楼物业服务费由三家单位按比例进行分摊，在设置服务区建筑面积目标值时未考虑此因素</w:t>
            </w:r>
          </w:p>
        </w:tc>
      </w:tr>
      <w:tr w14:paraId="4025FC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4ACE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0CCB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A94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D264D">
            <w:pPr>
              <w:jc w:val="center"/>
            </w:pPr>
            <w:r>
              <w:rPr>
                <w:rFonts w:ascii="宋体" w:hAnsi="宋体" w:eastAsia="宋体"/>
                <w:sz w:val="16"/>
              </w:rPr>
              <w:t>维护电梯数量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EC3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5D33E">
            <w:pPr>
              <w:jc w:val="center"/>
            </w:pPr>
            <w:r>
              <w:rPr>
                <w:rFonts w:ascii="宋体" w:hAnsi="宋体" w:eastAsia="宋体"/>
                <w:sz w:val="16"/>
              </w:rPr>
              <w:t>&gt;=2部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9C6F3">
            <w:pPr>
              <w:jc w:val="center"/>
            </w:pPr>
            <w:r>
              <w:rPr>
                <w:rFonts w:ascii="宋体" w:hAnsi="宋体" w:eastAsia="宋体"/>
                <w:sz w:val="16"/>
              </w:rPr>
              <w:t>=2部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466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59B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C954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8DD90">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CCC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BDC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A7A38">
            <w:pPr>
              <w:jc w:val="center"/>
            </w:pPr>
          </w:p>
        </w:tc>
      </w:tr>
      <w:tr w14:paraId="1A0ACF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2262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5AFB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6419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E614C">
            <w:pPr>
              <w:jc w:val="center"/>
            </w:pPr>
            <w:r>
              <w:rPr>
                <w:rFonts w:ascii="宋体" w:hAnsi="宋体" w:eastAsia="宋体"/>
                <w:sz w:val="16"/>
              </w:rPr>
              <w:t>服务验收合格率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2CE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AC7C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62544">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DAF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990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3200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3A7F9">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132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BBD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F7A06">
            <w:pPr>
              <w:jc w:val="center"/>
            </w:pPr>
            <w:r>
              <w:rPr>
                <w:rFonts w:ascii="宋体" w:hAnsi="宋体" w:eastAsia="宋体"/>
                <w:sz w:val="16"/>
              </w:rPr>
              <w:t>办公楼物业服务在考核时多项服务未达到服务要求扣分</w:t>
            </w:r>
          </w:p>
        </w:tc>
      </w:tr>
      <w:tr w14:paraId="38B49E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2A7C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72FB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541E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E844B">
            <w:pPr>
              <w:jc w:val="center"/>
            </w:pPr>
            <w:r>
              <w:rPr>
                <w:rFonts w:ascii="宋体" w:hAnsi="宋体" w:eastAsia="宋体"/>
                <w:sz w:val="16"/>
              </w:rPr>
              <w:t>日常巡查维护及时率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193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6827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CEC3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4AF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F8F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5FF1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8654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18A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B16F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60081">
            <w:pPr>
              <w:jc w:val="center"/>
            </w:pPr>
            <w:r>
              <w:rPr>
                <w:rFonts w:ascii="宋体" w:hAnsi="宋体" w:eastAsia="宋体"/>
                <w:sz w:val="16"/>
              </w:rPr>
              <w:t>办公楼物业服务在考核时因日常巡查维护未达到服务要求扣分</w:t>
            </w:r>
          </w:p>
        </w:tc>
      </w:tr>
      <w:tr w14:paraId="450545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B0AF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48F35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F1B44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3DD85">
            <w:pPr>
              <w:jc w:val="center"/>
            </w:pPr>
            <w:r>
              <w:rPr>
                <w:rFonts w:ascii="宋体" w:hAnsi="宋体" w:eastAsia="宋体"/>
                <w:sz w:val="16"/>
              </w:rPr>
              <w:t>办公楼物业管理经费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12209">
            <w:pPr>
              <w:jc w:val="center"/>
            </w:pPr>
            <w:r>
              <w:rPr>
                <w:rFonts w:ascii="宋体" w:hAnsi="宋体" w:eastAsia="宋体"/>
                <w:sz w:val="16"/>
              </w:rPr>
              <w:t>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2CE0B">
            <w:pPr>
              <w:jc w:val="center"/>
            </w:pPr>
            <w:r>
              <w:rPr>
                <w:rFonts w:ascii="宋体" w:hAnsi="宋体" w:eastAsia="宋体"/>
                <w:sz w:val="16"/>
              </w:rPr>
              <w:t>&lt;=41.87万元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B30E5">
            <w:pPr>
              <w:jc w:val="center"/>
            </w:pPr>
            <w:r>
              <w:rPr>
                <w:rFonts w:ascii="宋体" w:hAnsi="宋体" w:eastAsia="宋体"/>
                <w:sz w:val="16"/>
              </w:rPr>
              <w:t>=41.87万元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B7C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73A97">
            <w:pPr>
              <w:jc w:val="center"/>
            </w:pPr>
            <w:r>
              <w:rPr>
                <w:rFonts w:ascii="宋体" w:hAnsi="宋体" w:eastAsia="宋体"/>
                <w:sz w:val="16"/>
              </w:rPr>
              <w:t>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818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5C727">
            <w:pPr>
              <w:jc w:val="center"/>
            </w:pPr>
            <w:r>
              <w:rPr>
                <w:rFonts w:ascii="宋体" w:hAnsi="宋体" w:eastAsia="宋体"/>
                <w:sz w:val="16"/>
              </w:rPr>
              <w:t>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14D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4E94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92CCA">
            <w:pPr>
              <w:jc w:val="center"/>
            </w:pPr>
          </w:p>
        </w:tc>
      </w:tr>
      <w:tr w14:paraId="1F7ADB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5D7C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2493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D8F7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761DA">
            <w:pPr>
              <w:jc w:val="center"/>
            </w:pPr>
            <w:r>
              <w:rPr>
                <w:rFonts w:ascii="宋体" w:hAnsi="宋体" w:eastAsia="宋体"/>
                <w:sz w:val="16"/>
              </w:rPr>
              <w:t>委托业务费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14773">
            <w:pPr>
              <w:jc w:val="center"/>
            </w:pPr>
            <w:r>
              <w:rPr>
                <w:rFonts w:ascii="宋体" w:hAnsi="宋体" w:eastAsia="宋体"/>
                <w:sz w:val="16"/>
              </w:rPr>
              <w:t>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BCCA9">
            <w:pPr>
              <w:jc w:val="center"/>
            </w:pPr>
            <w:r>
              <w:rPr>
                <w:rFonts w:ascii="宋体" w:hAnsi="宋体" w:eastAsia="宋体"/>
                <w:sz w:val="16"/>
              </w:rPr>
              <w:t>&lt;=75.98万元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5FF24">
            <w:pPr>
              <w:jc w:val="center"/>
            </w:pPr>
            <w:r>
              <w:rPr>
                <w:rFonts w:ascii="宋体" w:hAnsi="宋体" w:eastAsia="宋体"/>
                <w:sz w:val="16"/>
              </w:rPr>
              <w:t>=75.98万元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9C7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54761">
            <w:pPr>
              <w:jc w:val="center"/>
            </w:pPr>
            <w:r>
              <w:rPr>
                <w:rFonts w:ascii="宋体" w:hAnsi="宋体" w:eastAsia="宋体"/>
                <w:sz w:val="16"/>
              </w:rPr>
              <w:t>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80A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616D0">
            <w:pPr>
              <w:jc w:val="center"/>
            </w:pPr>
            <w:r>
              <w:rPr>
                <w:rFonts w:ascii="宋体" w:hAnsi="宋体" w:eastAsia="宋体"/>
                <w:sz w:val="16"/>
              </w:rPr>
              <w:t>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FC0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5788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0EEBA">
            <w:pPr>
              <w:jc w:val="center"/>
            </w:pPr>
          </w:p>
        </w:tc>
      </w:tr>
      <w:tr w14:paraId="21F658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FADB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D5D0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620D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E98C1">
            <w:pPr>
              <w:jc w:val="center"/>
            </w:pPr>
            <w:r>
              <w:rPr>
                <w:rFonts w:ascii="宋体" w:hAnsi="宋体" w:eastAsia="宋体"/>
                <w:sz w:val="16"/>
              </w:rPr>
              <w:t>办公经费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15641">
            <w:pPr>
              <w:jc w:val="center"/>
            </w:pPr>
            <w:r>
              <w:rPr>
                <w:rFonts w:ascii="宋体" w:hAnsi="宋体" w:eastAsia="宋体"/>
                <w:sz w:val="16"/>
              </w:rPr>
              <w:t>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5011B">
            <w:pPr>
              <w:jc w:val="center"/>
            </w:pPr>
            <w:r>
              <w:rPr>
                <w:rFonts w:ascii="宋体" w:hAnsi="宋体" w:eastAsia="宋体"/>
                <w:sz w:val="16"/>
              </w:rPr>
              <w:t>&lt;=27.56万元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73885">
            <w:pPr>
              <w:jc w:val="center"/>
            </w:pPr>
            <w:r>
              <w:rPr>
                <w:rFonts w:ascii="宋体" w:hAnsi="宋体" w:eastAsia="宋体"/>
                <w:sz w:val="16"/>
              </w:rPr>
              <w:t>=13.08万元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DEDF2">
            <w:pPr>
              <w:jc w:val="center"/>
            </w:pPr>
            <w:r>
              <w:rPr>
                <w:rFonts w:ascii="宋体" w:hAnsi="宋体" w:eastAsia="宋体"/>
                <w:sz w:val="16"/>
              </w:rPr>
              <w:t>47.46%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506A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505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CB7B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911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653F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2902B">
            <w:pPr>
              <w:jc w:val="center"/>
            </w:pPr>
            <w:r>
              <w:rPr>
                <w:rFonts w:ascii="宋体" w:hAnsi="宋体" w:eastAsia="宋体"/>
                <w:sz w:val="16"/>
              </w:rPr>
              <w:t>该项目预算统筹考虑不足，使用单位自有资金弥补办公经费不足预算安排金额较大，实际未全部支付。</w:t>
            </w:r>
          </w:p>
        </w:tc>
      </w:tr>
      <w:tr w14:paraId="3D8383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5F95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96D1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BC10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3D685">
            <w:pPr>
              <w:jc w:val="center"/>
            </w:pPr>
            <w:r>
              <w:rPr>
                <w:rFonts w:ascii="宋体" w:hAnsi="宋体" w:eastAsia="宋体"/>
                <w:sz w:val="16"/>
              </w:rPr>
              <w:t>维修维护经费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0F9F2">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07A55">
            <w:pPr>
              <w:jc w:val="center"/>
            </w:pPr>
            <w:r>
              <w:rPr>
                <w:rFonts w:ascii="宋体" w:hAnsi="宋体" w:eastAsia="宋体"/>
                <w:sz w:val="16"/>
              </w:rPr>
              <w:t>&lt;=16.44万元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0247A">
            <w:pPr>
              <w:jc w:val="center"/>
            </w:pPr>
            <w:r>
              <w:rPr>
                <w:rFonts w:ascii="宋体" w:hAnsi="宋体" w:eastAsia="宋体"/>
                <w:sz w:val="16"/>
              </w:rPr>
              <w:t>=16.44万元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56A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4C356">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0F1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7EF51">
            <w:pPr>
              <w:jc w:val="center"/>
            </w:pPr>
            <w:r>
              <w:rPr>
                <w:rFonts w:ascii="宋体" w:hAnsi="宋体" w:eastAsia="宋体"/>
                <w:sz w:val="16"/>
              </w:rPr>
              <w:t>81.2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E02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7652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D6740">
            <w:pPr>
              <w:jc w:val="center"/>
            </w:pPr>
          </w:p>
        </w:tc>
      </w:tr>
      <w:tr w14:paraId="68A033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39A4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55F5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FA1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5FD31">
            <w:pPr>
              <w:jc w:val="center"/>
            </w:pPr>
            <w:r>
              <w:rPr>
                <w:rFonts w:ascii="宋体" w:hAnsi="宋体" w:eastAsia="宋体"/>
                <w:sz w:val="16"/>
              </w:rPr>
              <w:t>培训经费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DF710">
            <w:pPr>
              <w:jc w:val="center"/>
            </w:pPr>
            <w:r>
              <w:rPr>
                <w:rFonts w:ascii="宋体" w:hAnsi="宋体" w:eastAsia="宋体"/>
                <w:sz w:val="16"/>
              </w:rPr>
              <w:t>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2C9CA">
            <w:pPr>
              <w:jc w:val="center"/>
            </w:pPr>
            <w:r>
              <w:rPr>
                <w:rFonts w:ascii="宋体" w:hAnsi="宋体" w:eastAsia="宋体"/>
                <w:sz w:val="16"/>
              </w:rPr>
              <w:t>&lt;=41.96万元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08D00">
            <w:pPr>
              <w:jc w:val="center"/>
            </w:pPr>
            <w:r>
              <w:rPr>
                <w:rFonts w:ascii="宋体" w:hAnsi="宋体" w:eastAsia="宋体"/>
                <w:sz w:val="16"/>
              </w:rPr>
              <w:t>=41.96万元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C13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09A0F">
            <w:pPr>
              <w:jc w:val="center"/>
            </w:pPr>
            <w:r>
              <w:rPr>
                <w:rFonts w:ascii="宋体" w:hAnsi="宋体" w:eastAsia="宋体"/>
                <w:sz w:val="16"/>
              </w:rPr>
              <w:t>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DBF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EA03A">
            <w:pPr>
              <w:jc w:val="center"/>
            </w:pPr>
            <w:r>
              <w:rPr>
                <w:rFonts w:ascii="宋体" w:hAnsi="宋体" w:eastAsia="宋体"/>
                <w:sz w:val="16"/>
              </w:rPr>
              <w:t>57.04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A42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0A32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D77CF">
            <w:pPr>
              <w:jc w:val="center"/>
            </w:pPr>
          </w:p>
        </w:tc>
      </w:tr>
      <w:tr w14:paraId="475F79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F7B4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A532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C18C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FF4B9">
            <w:pPr>
              <w:jc w:val="center"/>
            </w:pPr>
            <w:r>
              <w:rPr>
                <w:rFonts w:ascii="宋体" w:hAnsi="宋体" w:eastAsia="宋体"/>
                <w:sz w:val="16"/>
              </w:rPr>
              <w:t>设备购置经费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8C8F7">
            <w:pPr>
              <w:jc w:val="center"/>
            </w:pPr>
            <w:r>
              <w:rPr>
                <w:rFonts w:ascii="宋体" w:hAnsi="宋体" w:eastAsia="宋体"/>
                <w:sz w:val="16"/>
              </w:rPr>
              <w:t>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29AF6">
            <w:pPr>
              <w:jc w:val="center"/>
            </w:pPr>
            <w:r>
              <w:rPr>
                <w:rFonts w:ascii="宋体" w:hAnsi="宋体" w:eastAsia="宋体"/>
                <w:sz w:val="16"/>
              </w:rPr>
              <w:t>&lt;=40.91万元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C9831">
            <w:pPr>
              <w:jc w:val="center"/>
            </w:pPr>
            <w:r>
              <w:rPr>
                <w:rFonts w:ascii="宋体" w:hAnsi="宋体" w:eastAsia="宋体"/>
                <w:sz w:val="16"/>
              </w:rPr>
              <w:t>=40.91万元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351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8B73F">
            <w:pPr>
              <w:jc w:val="center"/>
            </w:pPr>
            <w:r>
              <w:rPr>
                <w:rFonts w:ascii="宋体" w:hAnsi="宋体" w:eastAsia="宋体"/>
                <w:sz w:val="16"/>
              </w:rPr>
              <w:t>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3B5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B60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334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4528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588D0">
            <w:pPr>
              <w:jc w:val="center"/>
            </w:pPr>
          </w:p>
        </w:tc>
      </w:tr>
      <w:tr w14:paraId="005A3B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828D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2047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27A5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FE809">
            <w:pPr>
              <w:jc w:val="center"/>
            </w:pPr>
            <w:r>
              <w:rPr>
                <w:rFonts w:ascii="宋体" w:hAnsi="宋体" w:eastAsia="宋体"/>
                <w:sz w:val="16"/>
              </w:rPr>
              <w:t>消除办公楼安全隐患,提升安全和稳定系数,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06A5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F478D">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9C9A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305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E0F5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BF9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484F2">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048E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BCD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4E4D2">
            <w:pPr>
              <w:jc w:val="center"/>
            </w:pPr>
          </w:p>
        </w:tc>
      </w:tr>
      <w:tr w14:paraId="43DF608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B4F37B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6FC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129A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F025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41DC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BA791">
            <w:pPr>
              <w:jc w:val="center"/>
            </w:pPr>
            <w:r>
              <w:rPr>
                <w:rFonts w:ascii="宋体" w:hAnsi="宋体" w:eastAsia="宋体"/>
                <w:sz w:val="16"/>
              </w:rPr>
              <w:t>94.36分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4E43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04BF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A81E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CB4C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743876"/>
        </w:tc>
      </w:tr>
    </w:tbl>
    <w:p w14:paraId="26544AB7">
      <w:r>
        <w:br w:type="page"/>
      </w:r>
    </w:p>
    <w:tbl>
      <w:tblPr>
        <w:tblStyle w:val="9"/>
        <w:tblW w:w="0" w:type="auto"/>
        <w:tblInd w:w="0" w:type="dxa"/>
        <w:tblLayout w:type="autofit"/>
        <w:tblCellMar>
          <w:top w:w="0" w:type="dxa"/>
          <w:left w:w="108" w:type="dxa"/>
          <w:bottom w:w="0" w:type="dxa"/>
          <w:right w:w="108" w:type="dxa"/>
        </w:tblCellMar>
      </w:tblPr>
      <w:tblGrid>
        <w:gridCol w:w="628"/>
        <w:gridCol w:w="623"/>
        <w:gridCol w:w="623"/>
        <w:gridCol w:w="629"/>
        <w:gridCol w:w="626"/>
        <w:gridCol w:w="776"/>
        <w:gridCol w:w="696"/>
        <w:gridCol w:w="696"/>
        <w:gridCol w:w="631"/>
        <w:gridCol w:w="623"/>
        <w:gridCol w:w="629"/>
        <w:gridCol w:w="623"/>
        <w:gridCol w:w="626"/>
        <w:gridCol w:w="631"/>
      </w:tblGrid>
      <w:tr w14:paraId="3D4366F6">
        <w:tblPrEx>
          <w:tblCellMar>
            <w:top w:w="0" w:type="dxa"/>
            <w:left w:w="108" w:type="dxa"/>
            <w:bottom w:w="0" w:type="dxa"/>
            <w:right w:w="108" w:type="dxa"/>
          </w:tblCellMar>
        </w:tblPrEx>
        <w:tc>
          <w:tcPr>
            <w:tcW w:w="8848" w:type="dxa"/>
            <w:gridSpan w:val="14"/>
            <w:vAlign w:val="center"/>
          </w:tcPr>
          <w:p w14:paraId="74F7B1BB">
            <w:pPr>
              <w:jc w:val="center"/>
            </w:pPr>
            <w:r>
              <w:rPr>
                <w:rFonts w:ascii="宋体" w:hAnsi="宋体" w:eastAsia="宋体"/>
                <w:sz w:val="24"/>
              </w:rPr>
              <w:t>项目支出绩效自评表</w:t>
            </w:r>
          </w:p>
        </w:tc>
      </w:tr>
      <w:tr w14:paraId="76CE318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0C55393">
            <w:pPr>
              <w:jc w:val="center"/>
            </w:pPr>
            <w:r>
              <w:rPr>
                <w:rFonts w:ascii="宋体" w:hAnsi="宋体" w:eastAsia="宋体"/>
                <w:sz w:val="24"/>
              </w:rPr>
              <w:t>(2024年度)</w:t>
            </w:r>
          </w:p>
        </w:tc>
      </w:tr>
      <w:tr w14:paraId="6487C57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466F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181CAD">
            <w:pPr>
              <w:jc w:val="center"/>
            </w:pPr>
            <w:r>
              <w:rPr>
                <w:rFonts w:ascii="宋体" w:hAnsi="宋体" w:eastAsia="宋体"/>
                <w:sz w:val="16"/>
              </w:rPr>
              <w:t>财政业务工作经费</w:t>
            </w:r>
          </w:p>
        </w:tc>
      </w:tr>
      <w:tr w14:paraId="2B3B7E8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B0E4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DEE813">
            <w:pPr>
              <w:jc w:val="center"/>
            </w:pPr>
            <w:r>
              <w:rPr>
                <w:rFonts w:ascii="宋体" w:hAnsi="宋体" w:eastAsia="宋体"/>
                <w:sz w:val="16"/>
              </w:rPr>
              <w:t>昌吉回族自治州财政局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ACE0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B680754">
            <w:pPr>
              <w:jc w:val="center"/>
            </w:pPr>
            <w:r>
              <w:rPr>
                <w:rFonts w:ascii="宋体" w:hAnsi="宋体" w:eastAsia="宋体"/>
                <w:sz w:val="16"/>
              </w:rPr>
              <w:t>昌吉回族自治州财政局</w:t>
            </w:r>
          </w:p>
        </w:tc>
      </w:tr>
      <w:tr w14:paraId="2B86FE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00404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0E07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BB791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3E54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623B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6647C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5662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31C51">
            <w:pPr>
              <w:jc w:val="center"/>
            </w:pPr>
            <w:r>
              <w:rPr>
                <w:rFonts w:ascii="宋体" w:hAnsi="宋体" w:eastAsia="宋体"/>
                <w:sz w:val="16"/>
              </w:rPr>
              <w:t>得分</w:t>
            </w:r>
          </w:p>
        </w:tc>
      </w:tr>
      <w:tr w14:paraId="348BEA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6FC9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4B75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57C6C5">
            <w:pPr>
              <w:jc w:val="center"/>
            </w:pPr>
            <w:r>
              <w:rPr>
                <w:rFonts w:ascii="宋体" w:hAnsi="宋体" w:eastAsia="宋体"/>
                <w:sz w:val="16"/>
              </w:rPr>
              <w:t>152.00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4AE22">
            <w:pPr>
              <w:jc w:val="center"/>
            </w:pPr>
            <w:r>
              <w:rPr>
                <w:rFonts w:ascii="宋体" w:hAnsi="宋体" w:eastAsia="宋体"/>
                <w:sz w:val="16"/>
              </w:rPr>
              <w:t>83.14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B6318">
            <w:pPr>
              <w:jc w:val="center"/>
            </w:pPr>
            <w:r>
              <w:rPr>
                <w:rFonts w:ascii="宋体" w:hAnsi="宋体" w:eastAsia="宋体"/>
                <w:sz w:val="16"/>
              </w:rPr>
              <w:t>82.42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709C6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F5209">
            <w:pPr>
              <w:jc w:val="center"/>
            </w:pPr>
            <w:r>
              <w:rPr>
                <w:rFonts w:ascii="宋体" w:hAnsi="宋体" w:eastAsia="宋体"/>
                <w:sz w:val="16"/>
              </w:rPr>
              <w:t>99.13%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F9116">
            <w:pPr>
              <w:jc w:val="center"/>
            </w:pPr>
            <w:r>
              <w:rPr>
                <w:rFonts w:ascii="宋体" w:hAnsi="宋体" w:eastAsia="宋体"/>
                <w:sz w:val="16"/>
              </w:rPr>
              <w:t>9.78</w:t>
            </w:r>
          </w:p>
        </w:tc>
      </w:tr>
      <w:tr w14:paraId="3C5C1E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FF793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ADA7F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27EEF">
            <w:pPr>
              <w:jc w:val="center"/>
            </w:pPr>
            <w:r>
              <w:rPr>
                <w:rFonts w:ascii="宋体" w:hAnsi="宋体" w:eastAsia="宋体"/>
                <w:sz w:val="16"/>
              </w:rPr>
              <w:t>152.00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7404C">
            <w:pPr>
              <w:jc w:val="center"/>
            </w:pPr>
            <w:r>
              <w:rPr>
                <w:rFonts w:ascii="宋体" w:hAnsi="宋体" w:eastAsia="宋体"/>
                <w:sz w:val="16"/>
              </w:rPr>
              <w:t>83.14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15CC5">
            <w:pPr>
              <w:jc w:val="center"/>
            </w:pPr>
            <w:r>
              <w:rPr>
                <w:rFonts w:ascii="宋体" w:hAnsi="宋体" w:eastAsia="宋体"/>
                <w:sz w:val="16"/>
              </w:rPr>
              <w:t>82.42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73D7A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9F3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2209C">
            <w:pPr>
              <w:jc w:val="center"/>
            </w:pPr>
            <w:r>
              <w:rPr>
                <w:rFonts w:ascii="宋体" w:hAnsi="宋体" w:eastAsia="宋体"/>
                <w:sz w:val="16"/>
              </w:rPr>
              <w:t>—</w:t>
            </w:r>
          </w:p>
        </w:tc>
      </w:tr>
      <w:tr w14:paraId="3BBD83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1D02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F311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B1819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784E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1570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185A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F86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6A2B4">
            <w:pPr>
              <w:jc w:val="center"/>
            </w:pPr>
            <w:r>
              <w:rPr>
                <w:rFonts w:ascii="宋体" w:hAnsi="宋体" w:eastAsia="宋体"/>
                <w:sz w:val="16"/>
              </w:rPr>
              <w:t>—</w:t>
            </w:r>
          </w:p>
        </w:tc>
      </w:tr>
      <w:tr w14:paraId="73DF82D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A968F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3CCED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BA4B0C">
            <w:pPr>
              <w:jc w:val="center"/>
            </w:pPr>
            <w:r>
              <w:rPr>
                <w:rFonts w:ascii="宋体" w:hAnsi="宋体" w:eastAsia="宋体"/>
                <w:sz w:val="16"/>
              </w:rPr>
              <w:t>实际完成情况</w:t>
            </w:r>
          </w:p>
        </w:tc>
      </w:tr>
      <w:tr w14:paraId="7C504E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FC705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01B015">
            <w:pPr>
              <w:jc w:val="both"/>
            </w:pPr>
            <w:r>
              <w:rPr>
                <w:rFonts w:ascii="宋体" w:hAnsi="宋体" w:eastAsia="宋体"/>
                <w:sz w:val="16"/>
              </w:rPr>
              <w:t>根据《财政部关于全面推进行政事业单位内部控制建设的指导意见</w:t>
            </w:r>
            <w:r>
              <w:rPr>
                <w:rFonts w:hint="eastAsia" w:ascii="宋体" w:hAnsi="宋体"/>
                <w:sz w:val="16"/>
                <w:lang w:eastAsia="zh-CN"/>
              </w:rPr>
              <w:t>》《</w:t>
            </w:r>
            <w:r>
              <w:rPr>
                <w:rFonts w:ascii="宋体" w:hAnsi="宋体" w:eastAsia="宋体"/>
                <w:sz w:val="16"/>
              </w:rPr>
              <w:t>中华人民共和国会计法》，组织会计专业资格考试科目5门，会计专业资格考试报名</w:t>
            </w:r>
            <w:r>
              <w:rPr>
                <w:rFonts w:hint="eastAsia" w:ascii="宋体" w:hAnsi="宋体"/>
                <w:sz w:val="16"/>
                <w:lang w:eastAsia="zh-CN"/>
              </w:rPr>
              <w:t>人数</w:t>
            </w:r>
            <w:r>
              <w:rPr>
                <w:rFonts w:ascii="宋体" w:hAnsi="宋体" w:eastAsia="宋体"/>
                <w:sz w:val="16"/>
              </w:rPr>
              <w:t>5000以上，编报政府综合财务报告1个，开展财会监督专项整治工作1次以上，聘请一家律师事务所提供法律咨询服务，开展预决算公开核查1次，预算公开管理水平提升。全年预算76.47万元。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C64BFF">
            <w:pPr>
              <w:jc w:val="both"/>
            </w:pPr>
            <w:r>
              <w:rPr>
                <w:rFonts w:hint="eastAsia" w:ascii="宋体" w:hAnsi="宋体"/>
                <w:sz w:val="16"/>
                <w:lang w:eastAsia="zh-CN"/>
              </w:rPr>
              <w:t>截至</w:t>
            </w:r>
            <w:r>
              <w:rPr>
                <w:rFonts w:ascii="宋体" w:hAnsi="宋体" w:eastAsia="宋体"/>
                <w:sz w:val="16"/>
              </w:rPr>
              <w:t>2024年12月31日，实际完成会计专业初级和中级资格考试科目5门，编报政府综合财务报告1个，开展财会监督专项整治工作1次，开展预决算公开核查1次，预决算公开核查覆盖率100%，通过该项目的实施提升预决算公开管理水平，规范财务管理工作，进一步严肃财经纪律。</w:t>
            </w:r>
          </w:p>
        </w:tc>
      </w:tr>
      <w:tr w14:paraId="433BE29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2DE56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7DBA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6C9E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6F43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CBD9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3D43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C21B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E8F2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8B6E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1DA9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ADDB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759D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DCEB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905AF">
            <w:pPr>
              <w:jc w:val="center"/>
            </w:pPr>
            <w:r>
              <w:rPr>
                <w:rFonts w:ascii="宋体" w:hAnsi="宋体" w:eastAsia="宋体"/>
                <w:sz w:val="16"/>
              </w:rPr>
              <w:t>偏差原因分析及改进措施</w:t>
            </w:r>
          </w:p>
        </w:tc>
      </w:tr>
      <w:tr w14:paraId="1BA441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DEA5D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E99A4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CC537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FEBDF">
            <w:pPr>
              <w:jc w:val="center"/>
            </w:pPr>
            <w:r>
              <w:rPr>
                <w:rFonts w:ascii="宋体" w:hAnsi="宋体" w:eastAsia="宋体"/>
                <w:sz w:val="16"/>
              </w:rPr>
              <w:t>组织会计专业资格考试科目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0FD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0C7C2">
            <w:pPr>
              <w:jc w:val="center"/>
            </w:pPr>
            <w:r>
              <w:rPr>
                <w:rFonts w:ascii="宋体" w:hAnsi="宋体" w:eastAsia="宋体"/>
                <w:sz w:val="16"/>
              </w:rPr>
              <w:t>=5门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A312E">
            <w:pPr>
              <w:jc w:val="center"/>
            </w:pPr>
            <w:r>
              <w:rPr>
                <w:rFonts w:ascii="宋体" w:hAnsi="宋体" w:eastAsia="宋体"/>
                <w:sz w:val="16"/>
              </w:rPr>
              <w:t>=5门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3F0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7DB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BA5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5FC7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26B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BE2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B4355">
            <w:pPr>
              <w:jc w:val="center"/>
            </w:pPr>
          </w:p>
        </w:tc>
      </w:tr>
      <w:tr w14:paraId="39C271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9B61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0A0B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ED6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1469A">
            <w:pPr>
              <w:jc w:val="center"/>
            </w:pPr>
            <w:r>
              <w:rPr>
                <w:rFonts w:ascii="宋体" w:hAnsi="宋体" w:eastAsia="宋体"/>
                <w:sz w:val="16"/>
              </w:rPr>
              <w:t>编报政府综合财务报告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8D52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CB254">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CAEA5">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4FD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0C72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5FD7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0833B">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6BD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FD2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AFC19">
            <w:pPr>
              <w:jc w:val="center"/>
            </w:pPr>
          </w:p>
        </w:tc>
      </w:tr>
      <w:tr w14:paraId="3470C0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B385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B064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A3A2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2E409">
            <w:pPr>
              <w:jc w:val="center"/>
            </w:pPr>
            <w:r>
              <w:rPr>
                <w:rFonts w:ascii="宋体" w:hAnsi="宋体" w:eastAsia="宋体"/>
                <w:sz w:val="16"/>
              </w:rPr>
              <w:t>开展财会监督专项整治工作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0B6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9F4F0">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5E7A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841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E66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543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12D7A">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1C7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CAA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4F284">
            <w:pPr>
              <w:jc w:val="center"/>
            </w:pPr>
          </w:p>
        </w:tc>
      </w:tr>
      <w:tr w14:paraId="46A1DB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B07A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003E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5F16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C20A6">
            <w:pPr>
              <w:jc w:val="center"/>
            </w:pPr>
            <w:r>
              <w:rPr>
                <w:rFonts w:ascii="宋体" w:hAnsi="宋体" w:eastAsia="宋体"/>
                <w:sz w:val="16"/>
              </w:rPr>
              <w:t>开展预决算公开核查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C3A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1D159">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AED0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59F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A10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535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36B81">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626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B67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81498">
            <w:pPr>
              <w:jc w:val="center"/>
            </w:pPr>
          </w:p>
        </w:tc>
      </w:tr>
      <w:tr w14:paraId="17542B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3C3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D832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8C0E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04B15">
            <w:pPr>
              <w:jc w:val="center"/>
            </w:pPr>
            <w:r>
              <w:rPr>
                <w:rFonts w:ascii="宋体" w:hAnsi="宋体" w:eastAsia="宋体"/>
                <w:sz w:val="16"/>
              </w:rPr>
              <w:t>预决算公开核查覆盖率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C602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72A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D64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F5F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2841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DEA5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B7F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2C6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0AD8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EEE3F">
            <w:pPr>
              <w:jc w:val="center"/>
            </w:pPr>
          </w:p>
        </w:tc>
      </w:tr>
      <w:tr w14:paraId="0BA58F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3FF87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A7CE1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39A27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068D1">
            <w:pPr>
              <w:jc w:val="center"/>
            </w:pPr>
            <w:r>
              <w:rPr>
                <w:rFonts w:ascii="宋体" w:hAnsi="宋体" w:eastAsia="宋体"/>
                <w:sz w:val="16"/>
              </w:rPr>
              <w:t>委托业务费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E33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9F5F2">
            <w:pPr>
              <w:jc w:val="center"/>
            </w:pPr>
            <w:r>
              <w:rPr>
                <w:rFonts w:ascii="宋体" w:hAnsi="宋体" w:eastAsia="宋体"/>
                <w:sz w:val="16"/>
              </w:rPr>
              <w:t>&lt;=49.69万元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CDC0A">
            <w:pPr>
              <w:jc w:val="center"/>
            </w:pPr>
            <w:r>
              <w:rPr>
                <w:rFonts w:ascii="宋体" w:hAnsi="宋体" w:eastAsia="宋体"/>
                <w:sz w:val="16"/>
              </w:rPr>
              <w:t>=49.69万元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753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1EA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AE4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223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C4C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4BCF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4B6D7">
            <w:pPr>
              <w:jc w:val="center"/>
            </w:pPr>
          </w:p>
        </w:tc>
      </w:tr>
      <w:tr w14:paraId="5FD1F8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03CB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4E65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35A8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36780">
            <w:pPr>
              <w:jc w:val="center"/>
            </w:pPr>
            <w:r>
              <w:rPr>
                <w:rFonts w:ascii="宋体" w:hAnsi="宋体" w:eastAsia="宋体"/>
                <w:sz w:val="16"/>
              </w:rPr>
              <w:t>办公经费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9CC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7F087">
            <w:pPr>
              <w:jc w:val="center"/>
            </w:pPr>
            <w:r>
              <w:rPr>
                <w:rFonts w:ascii="宋体" w:hAnsi="宋体" w:eastAsia="宋体"/>
                <w:sz w:val="16"/>
              </w:rPr>
              <w:t>&lt;=33.45万元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E91E0">
            <w:pPr>
              <w:jc w:val="center"/>
            </w:pPr>
            <w:r>
              <w:rPr>
                <w:rFonts w:ascii="宋体" w:hAnsi="宋体" w:eastAsia="宋体"/>
                <w:sz w:val="16"/>
              </w:rPr>
              <w:t>=32.73万元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8C96C">
            <w:pPr>
              <w:jc w:val="center"/>
            </w:pPr>
            <w:r>
              <w:rPr>
                <w:rFonts w:ascii="宋体" w:hAnsi="宋体" w:eastAsia="宋体"/>
                <w:sz w:val="16"/>
              </w:rPr>
              <w:t>97.85%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10B80">
            <w:pPr>
              <w:jc w:val="center"/>
            </w:pPr>
            <w:r>
              <w:rPr>
                <w:rFonts w:ascii="宋体" w:hAnsi="宋体" w:eastAsia="宋体"/>
                <w:sz w:val="16"/>
              </w:rPr>
              <w:t>9.46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06D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A40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2E5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E5FA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C33FE">
            <w:pPr>
              <w:jc w:val="center"/>
            </w:pPr>
            <w:r>
              <w:rPr>
                <w:rFonts w:ascii="宋体" w:hAnsi="宋体" w:eastAsia="宋体"/>
                <w:sz w:val="16"/>
              </w:rPr>
              <w:t>该指标目标值33.45万元，业绩值32.73万元，项目已经完成结余资金财政收回</w:t>
            </w:r>
          </w:p>
        </w:tc>
      </w:tr>
      <w:tr w14:paraId="4C934F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DAD60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0C9CB0">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1E88C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7F82B">
            <w:pPr>
              <w:jc w:val="center"/>
            </w:pPr>
            <w:r>
              <w:rPr>
                <w:rFonts w:ascii="宋体" w:hAnsi="宋体" w:eastAsia="宋体"/>
                <w:sz w:val="16"/>
              </w:rPr>
              <w:t>预算公开管理水平提升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EDC5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62979">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D3E5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D7D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DDDA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B0E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E4C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1B84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6D9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A824E">
            <w:pPr>
              <w:jc w:val="center"/>
            </w:pPr>
          </w:p>
        </w:tc>
      </w:tr>
      <w:tr w14:paraId="4AB4CD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E25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23D6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0731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FE035">
            <w:pPr>
              <w:jc w:val="center"/>
            </w:pPr>
            <w:r>
              <w:rPr>
                <w:rFonts w:ascii="宋体" w:hAnsi="宋体" w:eastAsia="宋体"/>
                <w:sz w:val="16"/>
              </w:rPr>
              <w:t>规范财务管理工作，进一步严肃财经纪律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994B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C0DD5">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4093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8E6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7124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0C6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698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F422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E85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8B52D">
            <w:pPr>
              <w:jc w:val="center"/>
            </w:pPr>
          </w:p>
        </w:tc>
      </w:tr>
      <w:tr w14:paraId="2C62CC0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12EE8A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313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C559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A9BE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81EC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7AAF3">
            <w:pPr>
              <w:jc w:val="center"/>
            </w:pPr>
            <w:r>
              <w:rPr>
                <w:rFonts w:ascii="宋体" w:hAnsi="宋体" w:eastAsia="宋体"/>
                <w:sz w:val="16"/>
              </w:rPr>
              <w:t>99.24分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24AF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8A65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EE48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2E78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CF3A4D"/>
        </w:tc>
      </w:tr>
    </w:tbl>
    <w:p w14:paraId="44C882AD">
      <w:r>
        <w:br w:type="page"/>
      </w:r>
    </w:p>
    <w:tbl>
      <w:tblPr>
        <w:tblStyle w:val="9"/>
        <w:tblW w:w="0" w:type="auto"/>
        <w:tblInd w:w="0" w:type="dxa"/>
        <w:tblLayout w:type="autofit"/>
        <w:tblCellMar>
          <w:top w:w="0" w:type="dxa"/>
          <w:left w:w="108" w:type="dxa"/>
          <w:bottom w:w="0" w:type="dxa"/>
          <w:right w:w="108" w:type="dxa"/>
        </w:tblCellMar>
      </w:tblPr>
      <w:tblGrid>
        <w:gridCol w:w="621"/>
        <w:gridCol w:w="603"/>
        <w:gridCol w:w="603"/>
        <w:gridCol w:w="603"/>
        <w:gridCol w:w="612"/>
        <w:gridCol w:w="856"/>
        <w:gridCol w:w="776"/>
        <w:gridCol w:w="621"/>
        <w:gridCol w:w="630"/>
        <w:gridCol w:w="603"/>
        <w:gridCol w:w="621"/>
        <w:gridCol w:w="603"/>
        <w:gridCol w:w="612"/>
        <w:gridCol w:w="696"/>
      </w:tblGrid>
      <w:tr w14:paraId="6C5B1813">
        <w:tblPrEx>
          <w:tblCellMar>
            <w:top w:w="0" w:type="dxa"/>
            <w:left w:w="108" w:type="dxa"/>
            <w:bottom w:w="0" w:type="dxa"/>
            <w:right w:w="108" w:type="dxa"/>
          </w:tblCellMar>
        </w:tblPrEx>
        <w:tc>
          <w:tcPr>
            <w:tcW w:w="8848" w:type="dxa"/>
            <w:gridSpan w:val="14"/>
            <w:vAlign w:val="center"/>
          </w:tcPr>
          <w:p w14:paraId="566D4079">
            <w:pPr>
              <w:jc w:val="center"/>
            </w:pPr>
            <w:r>
              <w:rPr>
                <w:rFonts w:ascii="宋体" w:hAnsi="宋体" w:eastAsia="宋体"/>
                <w:sz w:val="24"/>
              </w:rPr>
              <w:t>项目支出绩效自评表</w:t>
            </w:r>
          </w:p>
        </w:tc>
      </w:tr>
      <w:tr w14:paraId="3D061D9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8E4C73D">
            <w:pPr>
              <w:jc w:val="center"/>
            </w:pPr>
            <w:r>
              <w:rPr>
                <w:rFonts w:ascii="宋体" w:hAnsi="宋体" w:eastAsia="宋体"/>
                <w:sz w:val="24"/>
              </w:rPr>
              <w:t>(2024年度)</w:t>
            </w:r>
          </w:p>
        </w:tc>
      </w:tr>
      <w:tr w14:paraId="21D58BA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CD18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57E56C7">
            <w:pPr>
              <w:jc w:val="center"/>
            </w:pPr>
            <w:r>
              <w:rPr>
                <w:rFonts w:ascii="宋体" w:hAnsi="宋体" w:eastAsia="宋体"/>
                <w:sz w:val="16"/>
              </w:rPr>
              <w:t>财政信息化建设经费</w:t>
            </w:r>
          </w:p>
        </w:tc>
      </w:tr>
      <w:tr w14:paraId="5E326F9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22CF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018B5D">
            <w:pPr>
              <w:jc w:val="center"/>
            </w:pPr>
            <w:r>
              <w:rPr>
                <w:rFonts w:ascii="宋体" w:hAnsi="宋体" w:eastAsia="宋体"/>
                <w:sz w:val="16"/>
              </w:rPr>
              <w:t>昌吉回族自治州财政局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32D4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327B9E2">
            <w:pPr>
              <w:jc w:val="center"/>
            </w:pPr>
            <w:r>
              <w:rPr>
                <w:rFonts w:ascii="宋体" w:hAnsi="宋体" w:eastAsia="宋体"/>
                <w:sz w:val="16"/>
              </w:rPr>
              <w:t>昌吉回族自治州财政局</w:t>
            </w:r>
          </w:p>
        </w:tc>
      </w:tr>
      <w:tr w14:paraId="1C20CD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0006E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0E63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DF74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251F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5BA4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626F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60AB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6450F">
            <w:pPr>
              <w:jc w:val="center"/>
            </w:pPr>
            <w:r>
              <w:rPr>
                <w:rFonts w:ascii="宋体" w:hAnsi="宋体" w:eastAsia="宋体"/>
                <w:sz w:val="16"/>
              </w:rPr>
              <w:t>得分</w:t>
            </w:r>
          </w:p>
        </w:tc>
      </w:tr>
      <w:tr w14:paraId="7E607A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9E6A2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C0B4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69D29">
            <w:pPr>
              <w:jc w:val="center"/>
            </w:pPr>
            <w:r>
              <w:rPr>
                <w:rFonts w:ascii="宋体" w:hAnsi="宋体" w:eastAsia="宋体"/>
                <w:sz w:val="16"/>
              </w:rPr>
              <w:t>237.00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5DA2F">
            <w:pPr>
              <w:jc w:val="center"/>
            </w:pPr>
            <w:r>
              <w:rPr>
                <w:rFonts w:ascii="宋体" w:hAnsi="宋体" w:eastAsia="宋体"/>
                <w:sz w:val="16"/>
              </w:rPr>
              <w:t>153.86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B8E33">
            <w:pPr>
              <w:jc w:val="center"/>
            </w:pPr>
            <w:r>
              <w:rPr>
                <w:rFonts w:ascii="宋体" w:hAnsi="宋体" w:eastAsia="宋体"/>
                <w:sz w:val="16"/>
              </w:rPr>
              <w:t>153.86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1FC5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E8E5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8AB36">
            <w:pPr>
              <w:jc w:val="center"/>
            </w:pPr>
            <w:r>
              <w:rPr>
                <w:rFonts w:ascii="宋体" w:hAnsi="宋体" w:eastAsia="宋体"/>
                <w:sz w:val="16"/>
              </w:rPr>
              <w:t>10.00</w:t>
            </w:r>
          </w:p>
        </w:tc>
      </w:tr>
      <w:tr w14:paraId="75DFF6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B270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2267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054B41">
            <w:pPr>
              <w:jc w:val="center"/>
            </w:pPr>
            <w:r>
              <w:rPr>
                <w:rFonts w:ascii="宋体" w:hAnsi="宋体" w:eastAsia="宋体"/>
                <w:sz w:val="16"/>
              </w:rPr>
              <w:t>237.00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E470C2">
            <w:pPr>
              <w:jc w:val="center"/>
            </w:pPr>
            <w:r>
              <w:rPr>
                <w:rFonts w:ascii="宋体" w:hAnsi="宋体" w:eastAsia="宋体"/>
                <w:sz w:val="16"/>
              </w:rPr>
              <w:t>153.86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35F0E">
            <w:pPr>
              <w:jc w:val="center"/>
            </w:pPr>
            <w:r>
              <w:rPr>
                <w:rFonts w:ascii="宋体" w:hAnsi="宋体" w:eastAsia="宋体"/>
                <w:sz w:val="16"/>
              </w:rPr>
              <w:t>153.86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7AF4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28F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DD360">
            <w:pPr>
              <w:jc w:val="center"/>
            </w:pPr>
            <w:r>
              <w:rPr>
                <w:rFonts w:ascii="宋体" w:hAnsi="宋体" w:eastAsia="宋体"/>
                <w:sz w:val="16"/>
              </w:rPr>
              <w:t>—</w:t>
            </w:r>
          </w:p>
        </w:tc>
      </w:tr>
      <w:tr w14:paraId="6FD3AA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3796E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36F1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79A28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5872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272B4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00036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721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C05BE">
            <w:pPr>
              <w:jc w:val="center"/>
            </w:pPr>
            <w:r>
              <w:rPr>
                <w:rFonts w:ascii="宋体" w:hAnsi="宋体" w:eastAsia="宋体"/>
                <w:sz w:val="16"/>
              </w:rPr>
              <w:t>—</w:t>
            </w:r>
          </w:p>
        </w:tc>
      </w:tr>
      <w:tr w14:paraId="603471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B287B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510EE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470FDC">
            <w:pPr>
              <w:jc w:val="center"/>
            </w:pPr>
            <w:r>
              <w:rPr>
                <w:rFonts w:ascii="宋体" w:hAnsi="宋体" w:eastAsia="宋体"/>
                <w:sz w:val="16"/>
              </w:rPr>
              <w:t>实际完成情况</w:t>
            </w:r>
          </w:p>
        </w:tc>
      </w:tr>
      <w:tr w14:paraId="4C7428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2437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D60DB9">
            <w:pPr>
              <w:jc w:val="both"/>
            </w:pPr>
            <w:r>
              <w:rPr>
                <w:rFonts w:ascii="宋体" w:hAnsi="宋体" w:eastAsia="宋体"/>
                <w:sz w:val="16"/>
              </w:rPr>
              <w:t>全面加强财政信息化建设的统筹规划与规范管理，确保信息化工作协调有序发展，提高信息化建设水平，维护软件系统数量6套，购置软硬件数量3套以上，本级与县市双向财政专网线路租赁9条，通过信息化建设提高财政业务保障能力。针对昌吉州本级财政部门和预算单位，按照财政部《预算管理一体化业务规范（试行）》和技术标准相关要求，依托河北省财政厅研发的预算管理一</w:t>
            </w:r>
            <w:r>
              <w:rPr>
                <w:rFonts w:hint="eastAsia" w:ascii="宋体" w:hAnsi="宋体"/>
                <w:sz w:val="16"/>
                <w:lang w:eastAsia="zh-CN"/>
              </w:rPr>
              <w:t>体化</w:t>
            </w:r>
            <w:r>
              <w:rPr>
                <w:rFonts w:ascii="宋体" w:hAnsi="宋体" w:eastAsia="宋体"/>
                <w:sz w:val="16"/>
              </w:rPr>
              <w:t>系统，完成财政资金全程管理和动态监控财政业务系统的构建，做好一体化平台环境的部署、测试、系统培训、运行维护等服务。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8FFB4F">
            <w:pPr>
              <w:jc w:val="both"/>
            </w:pPr>
            <w:r>
              <w:rPr>
                <w:rFonts w:hint="eastAsia" w:ascii="宋体" w:hAnsi="宋体"/>
                <w:sz w:val="16"/>
                <w:lang w:eastAsia="zh-CN"/>
              </w:rPr>
              <w:t>截至</w:t>
            </w:r>
            <w:r>
              <w:rPr>
                <w:rFonts w:ascii="宋体" w:hAnsi="宋体" w:eastAsia="宋体"/>
                <w:sz w:val="16"/>
              </w:rPr>
              <w:t>2024年12月31日，实际完成6套信息系统维护，购置硬件设备3套，本级与县市双向财政专网租赁9条线路，开展系统应用培训1次。针对昌吉州本级财政部门和预算单位，按照财政部《预算管理一体化业务规范（试行）》和技术标准相关要求，依托河北省财政厅研发的预算管理一</w:t>
            </w:r>
            <w:r>
              <w:rPr>
                <w:rFonts w:hint="eastAsia" w:ascii="宋体" w:hAnsi="宋体"/>
                <w:sz w:val="16"/>
                <w:lang w:eastAsia="zh-CN"/>
              </w:rPr>
              <w:t>体化</w:t>
            </w:r>
            <w:r>
              <w:rPr>
                <w:rFonts w:ascii="宋体" w:hAnsi="宋体" w:eastAsia="宋体"/>
                <w:sz w:val="16"/>
              </w:rPr>
              <w:t>系统，做好一体化平台环境的部署、系统培训、运行维护等服务，通过该项目的实施提高财政业务保障能力。</w:t>
            </w:r>
          </w:p>
        </w:tc>
      </w:tr>
      <w:tr w14:paraId="142B5A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88273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5812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9942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D849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41F6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8D8B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8A57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9959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4421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295F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B0D8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1EDB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59B6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DD1F8">
            <w:pPr>
              <w:jc w:val="center"/>
            </w:pPr>
            <w:r>
              <w:rPr>
                <w:rFonts w:ascii="宋体" w:hAnsi="宋体" w:eastAsia="宋体"/>
                <w:sz w:val="16"/>
              </w:rPr>
              <w:t>偏差原因分析及改进措施</w:t>
            </w:r>
          </w:p>
        </w:tc>
      </w:tr>
      <w:tr w14:paraId="2CCB485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09D98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51FC7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0956E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1BCE8">
            <w:pPr>
              <w:jc w:val="center"/>
            </w:pPr>
            <w:r>
              <w:rPr>
                <w:rFonts w:ascii="宋体" w:hAnsi="宋体" w:eastAsia="宋体"/>
                <w:sz w:val="16"/>
              </w:rPr>
              <w:t>维护软件系统数量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3DB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75B46">
            <w:pPr>
              <w:jc w:val="center"/>
            </w:pPr>
            <w:r>
              <w:rPr>
                <w:rFonts w:ascii="宋体" w:hAnsi="宋体" w:eastAsia="宋体"/>
                <w:sz w:val="16"/>
              </w:rPr>
              <w:t>&gt;=6个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2DCDB">
            <w:pPr>
              <w:jc w:val="center"/>
            </w:pPr>
            <w:r>
              <w:rPr>
                <w:rFonts w:ascii="宋体" w:hAnsi="宋体" w:eastAsia="宋体"/>
                <w:sz w:val="16"/>
              </w:rPr>
              <w:t>=6个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9C3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E59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8A4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8466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B8A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FB8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DCF95">
            <w:pPr>
              <w:jc w:val="center"/>
            </w:pPr>
          </w:p>
        </w:tc>
      </w:tr>
      <w:tr w14:paraId="6E5FA3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DEE5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E65A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657E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E3B8D">
            <w:pPr>
              <w:jc w:val="center"/>
            </w:pPr>
            <w:r>
              <w:rPr>
                <w:rFonts w:ascii="宋体" w:hAnsi="宋体" w:eastAsia="宋体"/>
                <w:sz w:val="16"/>
              </w:rPr>
              <w:t>购置软硬件数量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749D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9511E">
            <w:pPr>
              <w:jc w:val="center"/>
            </w:pPr>
            <w:r>
              <w:rPr>
                <w:rFonts w:ascii="宋体" w:hAnsi="宋体" w:eastAsia="宋体"/>
                <w:sz w:val="16"/>
              </w:rPr>
              <w:t>&gt;=3套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1521D">
            <w:pPr>
              <w:jc w:val="center"/>
            </w:pPr>
            <w:r>
              <w:rPr>
                <w:rFonts w:ascii="宋体" w:hAnsi="宋体" w:eastAsia="宋体"/>
                <w:sz w:val="16"/>
              </w:rPr>
              <w:t>=3套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E90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43C6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ADE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2BC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E39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1A3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89C34">
            <w:pPr>
              <w:jc w:val="center"/>
            </w:pPr>
          </w:p>
        </w:tc>
      </w:tr>
      <w:tr w14:paraId="5D7A26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9134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BD0C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C350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FC833">
            <w:pPr>
              <w:jc w:val="center"/>
            </w:pPr>
            <w:r>
              <w:rPr>
                <w:rFonts w:ascii="宋体" w:hAnsi="宋体" w:eastAsia="宋体"/>
                <w:sz w:val="16"/>
              </w:rPr>
              <w:t>本级与县市双向线路租赁数量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4EA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81BE6">
            <w:pPr>
              <w:jc w:val="center"/>
            </w:pPr>
            <w:r>
              <w:rPr>
                <w:rFonts w:ascii="宋体" w:hAnsi="宋体" w:eastAsia="宋体"/>
                <w:sz w:val="16"/>
              </w:rPr>
              <w:t>=9条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C3BE5">
            <w:pPr>
              <w:jc w:val="center"/>
            </w:pPr>
            <w:r>
              <w:rPr>
                <w:rFonts w:ascii="宋体" w:hAnsi="宋体" w:eastAsia="宋体"/>
                <w:sz w:val="16"/>
              </w:rPr>
              <w:t>=9条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D98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870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CBD2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8A561">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766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56F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D47F9">
            <w:pPr>
              <w:jc w:val="center"/>
            </w:pPr>
          </w:p>
        </w:tc>
      </w:tr>
      <w:tr w14:paraId="6A75D9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33F5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E1EB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104B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EA9A7">
            <w:pPr>
              <w:jc w:val="center"/>
            </w:pPr>
            <w:r>
              <w:rPr>
                <w:rFonts w:ascii="宋体" w:hAnsi="宋体" w:eastAsia="宋体"/>
                <w:sz w:val="16"/>
              </w:rPr>
              <w:t>系统应用培训次数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C6A6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B6D26">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E0AC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D2D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8898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5AEE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F347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52A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2CB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38862">
            <w:pPr>
              <w:jc w:val="center"/>
            </w:pPr>
          </w:p>
        </w:tc>
      </w:tr>
      <w:tr w14:paraId="16E43C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366D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6B8D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3FFB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2C295">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4CE6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554C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4EE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D986E">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9913B">
            <w:pPr>
              <w:jc w:val="center"/>
            </w:pPr>
            <w:r>
              <w:rPr>
                <w:rFonts w:ascii="宋体" w:hAnsi="宋体" w:eastAsia="宋体"/>
                <w:sz w:val="16"/>
              </w:rPr>
              <w:t>4.75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E98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DC8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8ED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E16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C64EB">
            <w:pPr>
              <w:jc w:val="center"/>
            </w:pPr>
            <w:r>
              <w:rPr>
                <w:rFonts w:ascii="宋体" w:hAnsi="宋体" w:eastAsia="宋体"/>
                <w:sz w:val="16"/>
              </w:rPr>
              <w:t>目标值95%，业绩值100%，偏差率－5%，原因是该项目实施效果好，软件系统运维和硬件购置全部验收合格。</w:t>
            </w:r>
          </w:p>
        </w:tc>
      </w:tr>
      <w:tr w14:paraId="108423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1052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50E0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4946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11E57">
            <w:pPr>
              <w:jc w:val="center"/>
            </w:pPr>
            <w:r>
              <w:rPr>
                <w:rFonts w:ascii="宋体" w:hAnsi="宋体" w:eastAsia="宋体"/>
                <w:sz w:val="16"/>
              </w:rPr>
              <w:t>系统运行维护响应时间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A894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E57FA">
            <w:pPr>
              <w:jc w:val="center"/>
            </w:pPr>
            <w:r>
              <w:rPr>
                <w:rFonts w:ascii="宋体" w:hAnsi="宋体" w:eastAsia="宋体"/>
                <w:sz w:val="16"/>
              </w:rPr>
              <w:t>&lt;=3小时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33F05">
            <w:pPr>
              <w:jc w:val="center"/>
            </w:pPr>
            <w:r>
              <w:rPr>
                <w:rFonts w:ascii="宋体" w:hAnsi="宋体" w:eastAsia="宋体"/>
                <w:sz w:val="16"/>
              </w:rPr>
              <w:t>=3小时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D12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145F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0D6D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BD75F">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A6B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C98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5069A">
            <w:pPr>
              <w:jc w:val="center"/>
            </w:pPr>
          </w:p>
        </w:tc>
      </w:tr>
      <w:tr w14:paraId="31D198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95E67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B6834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9A697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E37AB">
            <w:pPr>
              <w:jc w:val="center"/>
            </w:pPr>
            <w:r>
              <w:rPr>
                <w:rFonts w:ascii="宋体" w:hAnsi="宋体" w:eastAsia="宋体"/>
                <w:sz w:val="16"/>
              </w:rPr>
              <w:t>系统运行维护经费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5A7B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80120">
            <w:pPr>
              <w:jc w:val="center"/>
            </w:pPr>
            <w:r>
              <w:rPr>
                <w:rFonts w:ascii="宋体" w:hAnsi="宋体" w:eastAsia="宋体"/>
                <w:sz w:val="16"/>
              </w:rPr>
              <w:t>&lt;=112.57万元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DE4DC">
            <w:pPr>
              <w:jc w:val="center"/>
            </w:pPr>
            <w:r>
              <w:rPr>
                <w:rFonts w:ascii="宋体" w:hAnsi="宋体" w:eastAsia="宋体"/>
                <w:sz w:val="16"/>
              </w:rPr>
              <w:t>=112.57万元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0D9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1B03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A60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28539">
            <w:pPr>
              <w:jc w:val="center"/>
            </w:pPr>
            <w:r>
              <w:rPr>
                <w:rFonts w:ascii="宋体" w:hAnsi="宋体" w:eastAsia="宋体"/>
                <w:sz w:val="16"/>
              </w:rPr>
              <w:t>135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690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AFAE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A5A96">
            <w:pPr>
              <w:jc w:val="center"/>
            </w:pPr>
          </w:p>
        </w:tc>
      </w:tr>
      <w:tr w14:paraId="1F1527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3537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546A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E0ED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9FE85">
            <w:pPr>
              <w:jc w:val="center"/>
            </w:pPr>
            <w:r>
              <w:rPr>
                <w:rFonts w:ascii="宋体" w:hAnsi="宋体" w:eastAsia="宋体"/>
                <w:sz w:val="16"/>
              </w:rPr>
              <w:t>委托业务费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5757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D5289">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58F30">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E26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B34D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A99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C466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555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FE48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F8CE1">
            <w:pPr>
              <w:jc w:val="center"/>
            </w:pPr>
          </w:p>
        </w:tc>
      </w:tr>
      <w:tr w14:paraId="2FFFC4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634E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C226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CB3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3DE62">
            <w:pPr>
              <w:jc w:val="center"/>
            </w:pPr>
            <w:r>
              <w:rPr>
                <w:rFonts w:ascii="宋体" w:hAnsi="宋体" w:eastAsia="宋体"/>
                <w:sz w:val="16"/>
              </w:rPr>
              <w:t>软硬件购置经费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2E25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BC060">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A5BA2">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2E2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0138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B67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D213D">
            <w:pPr>
              <w:jc w:val="center"/>
            </w:pPr>
            <w:r>
              <w:rPr>
                <w:rFonts w:ascii="宋体" w:hAnsi="宋体" w:eastAsia="宋体"/>
                <w:sz w:val="16"/>
              </w:rPr>
              <w:t>382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62B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0E95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CBD73">
            <w:pPr>
              <w:jc w:val="center"/>
            </w:pPr>
          </w:p>
        </w:tc>
      </w:tr>
      <w:tr w14:paraId="468EF6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47C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7AC9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3859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D8125">
            <w:pPr>
              <w:jc w:val="center"/>
            </w:pPr>
            <w:r>
              <w:rPr>
                <w:rFonts w:ascii="宋体" w:hAnsi="宋体" w:eastAsia="宋体"/>
                <w:sz w:val="16"/>
              </w:rPr>
              <w:t>租赁电信线路经费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C9D2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7F452">
            <w:pPr>
              <w:jc w:val="center"/>
            </w:pPr>
            <w:r>
              <w:rPr>
                <w:rFonts w:ascii="宋体" w:hAnsi="宋体" w:eastAsia="宋体"/>
                <w:sz w:val="16"/>
              </w:rPr>
              <w:t>&lt;=16.29万元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F0076">
            <w:pPr>
              <w:jc w:val="center"/>
            </w:pPr>
            <w:r>
              <w:rPr>
                <w:rFonts w:ascii="宋体" w:hAnsi="宋体" w:eastAsia="宋体"/>
                <w:sz w:val="16"/>
              </w:rPr>
              <w:t>=16.29万元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4A5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06EC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BB8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28C3A">
            <w:pPr>
              <w:jc w:val="center"/>
            </w:pPr>
            <w:r>
              <w:rPr>
                <w:rFonts w:ascii="宋体" w:hAnsi="宋体" w:eastAsia="宋体"/>
                <w:sz w:val="16"/>
              </w:rPr>
              <w:t>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88D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E8F17">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52BAC">
            <w:pPr>
              <w:jc w:val="center"/>
            </w:pPr>
          </w:p>
        </w:tc>
      </w:tr>
      <w:tr w14:paraId="568A42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95C0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9F49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E12D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9314B">
            <w:pPr>
              <w:jc w:val="center"/>
            </w:pPr>
            <w:r>
              <w:rPr>
                <w:rFonts w:ascii="宋体" w:hAnsi="宋体" w:eastAsia="宋体"/>
                <w:sz w:val="16"/>
              </w:rPr>
              <w:t>通过信息化建设提高财政业务保障能力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25CC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087F1">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0EE0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93D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B865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9BA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47821">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A16A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0FE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C1B44">
            <w:pPr>
              <w:jc w:val="center"/>
            </w:pPr>
          </w:p>
        </w:tc>
      </w:tr>
      <w:tr w14:paraId="1A7A5DC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E413BA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08B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E3E1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3456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B58D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96D91">
            <w:pPr>
              <w:jc w:val="center"/>
            </w:pPr>
            <w:r>
              <w:rPr>
                <w:rFonts w:ascii="宋体" w:hAnsi="宋体" w:eastAsia="宋体"/>
                <w:sz w:val="16"/>
              </w:rPr>
              <w:t>99.75分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46F1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6B86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BA89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6DE2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EFA9C7"/>
        </w:tc>
      </w:tr>
    </w:tbl>
    <w:p w14:paraId="0607BDA1">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27"/>
        <w:gridCol w:w="776"/>
        <w:gridCol w:w="696"/>
        <w:gridCol w:w="629"/>
        <w:gridCol w:w="696"/>
        <w:gridCol w:w="624"/>
        <w:gridCol w:w="629"/>
        <w:gridCol w:w="625"/>
        <w:gridCol w:w="625"/>
        <w:gridCol w:w="632"/>
      </w:tblGrid>
      <w:tr w14:paraId="33AEB743">
        <w:tc>
          <w:tcPr>
            <w:tcW w:w="8848" w:type="dxa"/>
            <w:gridSpan w:val="14"/>
            <w:vAlign w:val="center"/>
          </w:tcPr>
          <w:p w14:paraId="2DEF0C94">
            <w:pPr>
              <w:jc w:val="center"/>
            </w:pPr>
            <w:r>
              <w:rPr>
                <w:rFonts w:ascii="宋体" w:hAnsi="宋体" w:eastAsia="宋体"/>
                <w:sz w:val="24"/>
              </w:rPr>
              <w:t>项目支出绩效自评表</w:t>
            </w:r>
          </w:p>
        </w:tc>
      </w:tr>
      <w:tr w14:paraId="5D97CDC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A32BFD9">
            <w:pPr>
              <w:jc w:val="center"/>
            </w:pPr>
            <w:r>
              <w:rPr>
                <w:rFonts w:ascii="宋体" w:hAnsi="宋体" w:eastAsia="宋体"/>
                <w:sz w:val="24"/>
              </w:rPr>
              <w:t>(2024年度)</w:t>
            </w:r>
          </w:p>
        </w:tc>
      </w:tr>
      <w:tr w14:paraId="35FB54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DDE1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3334631">
            <w:pPr>
              <w:jc w:val="center"/>
            </w:pPr>
            <w:r>
              <w:rPr>
                <w:rFonts w:ascii="宋体" w:hAnsi="宋体" w:eastAsia="宋体"/>
                <w:sz w:val="16"/>
              </w:rPr>
              <w:t>预算绩效全过程管理及咨询</w:t>
            </w:r>
          </w:p>
        </w:tc>
      </w:tr>
      <w:tr w14:paraId="5BE80BE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A672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40A544">
            <w:pPr>
              <w:jc w:val="center"/>
            </w:pPr>
            <w:r>
              <w:rPr>
                <w:rFonts w:ascii="宋体" w:hAnsi="宋体" w:eastAsia="宋体"/>
                <w:sz w:val="16"/>
              </w:rPr>
              <w:t>昌吉回族自治州财政局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0BF2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141A64">
            <w:pPr>
              <w:jc w:val="center"/>
            </w:pPr>
            <w:r>
              <w:rPr>
                <w:rFonts w:ascii="宋体" w:hAnsi="宋体" w:eastAsia="宋体"/>
                <w:sz w:val="16"/>
              </w:rPr>
              <w:t>昌吉回族自治州财政局</w:t>
            </w:r>
          </w:p>
        </w:tc>
      </w:tr>
      <w:tr w14:paraId="0EFFC46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91463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28C8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BF61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09C2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4C51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79E0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F741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C88FD">
            <w:pPr>
              <w:jc w:val="center"/>
            </w:pPr>
            <w:r>
              <w:rPr>
                <w:rFonts w:ascii="宋体" w:hAnsi="宋体" w:eastAsia="宋体"/>
                <w:sz w:val="16"/>
              </w:rPr>
              <w:t>得分</w:t>
            </w:r>
          </w:p>
        </w:tc>
      </w:tr>
      <w:tr w14:paraId="2AAB20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6997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27F5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121437">
            <w:pPr>
              <w:jc w:val="center"/>
            </w:pPr>
            <w:r>
              <w:rPr>
                <w:rFonts w:ascii="宋体" w:hAnsi="宋体" w:eastAsia="宋体"/>
                <w:sz w:val="16"/>
              </w:rPr>
              <w:t>102.00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258353">
            <w:pPr>
              <w:jc w:val="center"/>
            </w:pPr>
            <w:r>
              <w:rPr>
                <w:rFonts w:ascii="宋体" w:hAnsi="宋体" w:eastAsia="宋体"/>
                <w:sz w:val="16"/>
              </w:rPr>
              <w:t>92.88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802E2">
            <w:pPr>
              <w:jc w:val="center"/>
            </w:pPr>
            <w:r>
              <w:rPr>
                <w:rFonts w:ascii="宋体" w:hAnsi="宋体" w:eastAsia="宋体"/>
                <w:sz w:val="16"/>
              </w:rPr>
              <w:t>92.88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3079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7F4E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D8969">
            <w:pPr>
              <w:jc w:val="center"/>
            </w:pPr>
            <w:r>
              <w:rPr>
                <w:rFonts w:ascii="宋体" w:hAnsi="宋体" w:eastAsia="宋体"/>
                <w:sz w:val="16"/>
              </w:rPr>
              <w:t>10.00</w:t>
            </w:r>
          </w:p>
        </w:tc>
      </w:tr>
      <w:tr w14:paraId="422332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490B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CA28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21A200">
            <w:pPr>
              <w:jc w:val="center"/>
            </w:pPr>
            <w:r>
              <w:rPr>
                <w:rFonts w:ascii="宋体" w:hAnsi="宋体" w:eastAsia="宋体"/>
                <w:sz w:val="16"/>
              </w:rPr>
              <w:t>102.00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B999C8">
            <w:pPr>
              <w:jc w:val="center"/>
            </w:pPr>
            <w:r>
              <w:rPr>
                <w:rFonts w:ascii="宋体" w:hAnsi="宋体" w:eastAsia="宋体"/>
                <w:sz w:val="16"/>
              </w:rPr>
              <w:t>92.88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C98CA5">
            <w:pPr>
              <w:jc w:val="center"/>
            </w:pPr>
            <w:r>
              <w:rPr>
                <w:rFonts w:ascii="宋体" w:hAnsi="宋体" w:eastAsia="宋体"/>
                <w:sz w:val="16"/>
              </w:rPr>
              <w:t>92.88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D016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E2F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7BE23">
            <w:pPr>
              <w:jc w:val="center"/>
            </w:pPr>
            <w:r>
              <w:rPr>
                <w:rFonts w:ascii="宋体" w:hAnsi="宋体" w:eastAsia="宋体"/>
                <w:sz w:val="16"/>
              </w:rPr>
              <w:t>—</w:t>
            </w:r>
          </w:p>
        </w:tc>
      </w:tr>
      <w:tr w14:paraId="187287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034A4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6FA83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66A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E913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8B4F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186B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C9A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95F03">
            <w:pPr>
              <w:jc w:val="center"/>
            </w:pPr>
            <w:r>
              <w:rPr>
                <w:rFonts w:ascii="宋体" w:hAnsi="宋体" w:eastAsia="宋体"/>
                <w:sz w:val="16"/>
              </w:rPr>
              <w:t>—</w:t>
            </w:r>
          </w:p>
        </w:tc>
      </w:tr>
      <w:tr w14:paraId="3DEA04F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6FB28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E1750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12613B">
            <w:pPr>
              <w:jc w:val="center"/>
            </w:pPr>
            <w:r>
              <w:rPr>
                <w:rFonts w:ascii="宋体" w:hAnsi="宋体" w:eastAsia="宋体"/>
                <w:sz w:val="16"/>
              </w:rPr>
              <w:t>实际完成情况</w:t>
            </w:r>
          </w:p>
        </w:tc>
      </w:tr>
      <w:tr w14:paraId="2AF775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8141A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00CEAF">
            <w:pPr>
              <w:jc w:val="both"/>
            </w:pPr>
            <w:r>
              <w:rPr>
                <w:rFonts w:ascii="宋体" w:hAnsi="宋体" w:eastAsia="宋体"/>
                <w:sz w:val="16"/>
              </w:rPr>
              <w:t>根据《关于贯彻落实</w:t>
            </w:r>
            <w:r>
              <w:rPr>
                <w:rFonts w:hint="eastAsia" w:ascii="宋体" w:hAnsi="宋体"/>
                <w:sz w:val="16"/>
                <w:lang w:eastAsia="zh-CN"/>
              </w:rPr>
              <w:t>〈中共中央、国务院</w:t>
            </w:r>
            <w:r>
              <w:rPr>
                <w:rFonts w:ascii="宋体" w:hAnsi="宋体" w:eastAsia="宋体"/>
                <w:sz w:val="16"/>
              </w:rPr>
              <w:t>关于全面发展预算绩效管理办法的意见&gt;的通知》（新财预[2018167号]）要求，贯彻落实“全方位、全过程、全覆盖”预算绩效闭环管理体系要求，开展本级部门单位事前绩效评估报告、绩效目标、绩效监控、绩效自评的审核工作，组织预算绩效管理培训2次，出具重点项目绩效评价报告10个以上，抽比例开展项目绩效评价实地核查1次，开展对县市每项绩效任务10%的抽审工作。提升财政资金使用效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DD34FB">
            <w:pPr>
              <w:jc w:val="both"/>
            </w:pPr>
            <w:r>
              <w:rPr>
                <w:rFonts w:hint="eastAsia" w:ascii="宋体" w:hAnsi="宋体"/>
                <w:sz w:val="16"/>
                <w:lang w:eastAsia="zh-CN"/>
              </w:rPr>
              <w:t>截至2024</w:t>
            </w:r>
            <w:r>
              <w:rPr>
                <w:rFonts w:ascii="宋体" w:hAnsi="宋体" w:eastAsia="宋体"/>
                <w:sz w:val="16"/>
              </w:rPr>
              <w:t>年12月31日，实际完成组织开展预算绩效管理培训2次，开展本级部门单位绩效监控2次，出具重点项目绩效评价报告10个，抽比例开展项目绩效评价实地核查1次，重点项目评价报告验收合格率100%，通过该项目实施提升财政预算资金效益。</w:t>
            </w:r>
          </w:p>
        </w:tc>
      </w:tr>
      <w:tr w14:paraId="5606959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F206E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481F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804A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A910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9089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FE3F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13D2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859E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4574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3DA5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953A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C1DB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88D0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EB964">
            <w:pPr>
              <w:jc w:val="center"/>
            </w:pPr>
            <w:r>
              <w:rPr>
                <w:rFonts w:ascii="宋体" w:hAnsi="宋体" w:eastAsia="宋体"/>
                <w:sz w:val="16"/>
              </w:rPr>
              <w:t>偏差原因分析及改进措施</w:t>
            </w:r>
          </w:p>
        </w:tc>
      </w:tr>
      <w:tr w14:paraId="1A6F4A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0D58C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533CE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B25D1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0DF0C">
            <w:pPr>
              <w:jc w:val="center"/>
            </w:pPr>
            <w:r>
              <w:rPr>
                <w:rFonts w:ascii="宋体" w:hAnsi="宋体" w:eastAsia="宋体"/>
                <w:sz w:val="16"/>
              </w:rPr>
              <w:t>开展预算绩效管理培训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0231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F856F">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9A086">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A1A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054C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377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D0D6D">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9C4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C96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26615">
            <w:pPr>
              <w:jc w:val="center"/>
            </w:pPr>
          </w:p>
        </w:tc>
      </w:tr>
      <w:tr w14:paraId="420954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51E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8FD5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3E49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972B5">
            <w:pPr>
              <w:jc w:val="center"/>
            </w:pPr>
            <w:r>
              <w:rPr>
                <w:rFonts w:ascii="宋体" w:hAnsi="宋体" w:eastAsia="宋体"/>
                <w:sz w:val="16"/>
              </w:rPr>
              <w:t>出具重点项目绩效评价报告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65D5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2F70E">
            <w:pPr>
              <w:jc w:val="center"/>
            </w:pPr>
            <w:r>
              <w:rPr>
                <w:rFonts w:ascii="宋体" w:hAnsi="宋体" w:eastAsia="宋体"/>
                <w:sz w:val="16"/>
              </w:rPr>
              <w:t>&gt;=10个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5258E">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FAB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2885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022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D94A0">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84F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2E7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27B66">
            <w:pPr>
              <w:jc w:val="center"/>
            </w:pPr>
          </w:p>
        </w:tc>
      </w:tr>
      <w:tr w14:paraId="78310C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57D8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26F9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2F08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F92DC">
            <w:pPr>
              <w:jc w:val="center"/>
            </w:pPr>
            <w:r>
              <w:rPr>
                <w:rFonts w:ascii="宋体" w:hAnsi="宋体" w:eastAsia="宋体"/>
                <w:sz w:val="16"/>
              </w:rPr>
              <w:t>开展项目绩效监控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2859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CB03F">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A10F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E42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DF0D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80F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3C4CE">
            <w:pPr>
              <w:jc w:val="center"/>
            </w:pPr>
            <w:r>
              <w:rPr>
                <w:rFonts w:ascii="宋体" w:hAnsi="宋体" w:eastAsia="宋体"/>
                <w:sz w:val="16"/>
              </w:rPr>
              <w:t>新增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B21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F42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C766C">
            <w:pPr>
              <w:jc w:val="center"/>
            </w:pPr>
          </w:p>
        </w:tc>
      </w:tr>
      <w:tr w14:paraId="5F34DB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E421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B9E9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EB7C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74C94">
            <w:pPr>
              <w:jc w:val="center"/>
            </w:pPr>
            <w:r>
              <w:rPr>
                <w:rFonts w:ascii="宋体" w:hAnsi="宋体" w:eastAsia="宋体"/>
                <w:sz w:val="16"/>
              </w:rPr>
              <w:t>开展项目绩效评价实地核查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CD89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06911">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2512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882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F7C3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70E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5C1E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BD8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153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F5987">
            <w:pPr>
              <w:jc w:val="center"/>
            </w:pPr>
          </w:p>
        </w:tc>
      </w:tr>
      <w:tr w14:paraId="795496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546C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5E4F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FE3C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54353">
            <w:pPr>
              <w:jc w:val="center"/>
            </w:pPr>
            <w:r>
              <w:rPr>
                <w:rFonts w:ascii="宋体" w:hAnsi="宋体" w:eastAsia="宋体"/>
                <w:sz w:val="16"/>
              </w:rPr>
              <w:t>重点项目评价报告验收合格率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38F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B17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50E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D10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52A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D6FA7">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40999">
            <w:pPr>
              <w:jc w:val="center"/>
            </w:pPr>
            <w:r>
              <w:rPr>
                <w:rFonts w:ascii="宋体" w:hAnsi="宋体" w:eastAsia="宋体"/>
                <w:sz w:val="16"/>
              </w:rPr>
              <w:t>新增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4111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45EE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E8D18">
            <w:pPr>
              <w:jc w:val="center"/>
            </w:pPr>
          </w:p>
        </w:tc>
      </w:tr>
      <w:tr w14:paraId="1B6A48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44F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6675B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0F67F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EE615">
            <w:pPr>
              <w:jc w:val="center"/>
            </w:pPr>
            <w:r>
              <w:rPr>
                <w:rFonts w:ascii="宋体" w:hAnsi="宋体" w:eastAsia="宋体"/>
                <w:sz w:val="16"/>
              </w:rPr>
              <w:t>项目第一次监控审核完成时限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BE60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DEC1B">
            <w:pPr>
              <w:jc w:val="center"/>
            </w:pPr>
            <w:r>
              <w:rPr>
                <w:rFonts w:ascii="宋体" w:hAnsi="宋体" w:eastAsia="宋体"/>
                <w:sz w:val="16"/>
              </w:rPr>
              <w:t>6月20日前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948D0">
            <w:pPr>
              <w:jc w:val="center"/>
            </w:pPr>
            <w:r>
              <w:rPr>
                <w:rFonts w:ascii="宋体" w:hAnsi="宋体" w:eastAsia="宋体"/>
                <w:sz w:val="16"/>
              </w:rPr>
              <w:t>6月15日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60C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9209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5ED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31EA2">
            <w:pPr>
              <w:jc w:val="center"/>
            </w:pPr>
            <w:r>
              <w:rPr>
                <w:rFonts w:ascii="宋体" w:hAnsi="宋体" w:eastAsia="宋体"/>
                <w:sz w:val="16"/>
              </w:rPr>
              <w:t>新增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133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F64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3FB6E">
            <w:pPr>
              <w:jc w:val="center"/>
            </w:pPr>
          </w:p>
        </w:tc>
      </w:tr>
      <w:tr w14:paraId="35FE62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5BE9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293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B13E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865D5">
            <w:pPr>
              <w:jc w:val="center"/>
            </w:pPr>
            <w:r>
              <w:rPr>
                <w:rFonts w:ascii="宋体" w:hAnsi="宋体" w:eastAsia="宋体"/>
                <w:sz w:val="16"/>
              </w:rPr>
              <w:t>项目第二次监控审核完成时限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65F0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09B76">
            <w:pPr>
              <w:jc w:val="center"/>
            </w:pPr>
            <w:r>
              <w:rPr>
                <w:rFonts w:ascii="宋体" w:hAnsi="宋体" w:eastAsia="宋体"/>
                <w:sz w:val="16"/>
              </w:rPr>
              <w:t>9月20日前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F1E51">
            <w:pPr>
              <w:jc w:val="center"/>
            </w:pPr>
            <w:r>
              <w:rPr>
                <w:rFonts w:ascii="宋体" w:hAnsi="宋体" w:eastAsia="宋体"/>
                <w:sz w:val="16"/>
              </w:rPr>
              <w:t>9月20日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C50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CC1F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BA2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35A8D">
            <w:pPr>
              <w:jc w:val="center"/>
            </w:pPr>
            <w:r>
              <w:rPr>
                <w:rFonts w:ascii="宋体" w:hAnsi="宋体" w:eastAsia="宋体"/>
                <w:sz w:val="16"/>
              </w:rPr>
              <w:t>新增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0F6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738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492AA">
            <w:pPr>
              <w:jc w:val="center"/>
            </w:pPr>
          </w:p>
        </w:tc>
      </w:tr>
      <w:tr w14:paraId="5524AD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77BB6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34504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27ACA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AF286">
            <w:pPr>
              <w:jc w:val="center"/>
            </w:pPr>
            <w:r>
              <w:rPr>
                <w:rFonts w:ascii="宋体" w:hAnsi="宋体" w:eastAsia="宋体"/>
                <w:sz w:val="16"/>
              </w:rPr>
              <w:t>绩效全过程管理服务经费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A98E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054D0">
            <w:pPr>
              <w:jc w:val="center"/>
            </w:pPr>
            <w:r>
              <w:rPr>
                <w:rFonts w:ascii="宋体" w:hAnsi="宋体" w:eastAsia="宋体"/>
                <w:sz w:val="16"/>
              </w:rPr>
              <w:t>&lt;=84.08万元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1CD69">
            <w:pPr>
              <w:jc w:val="center"/>
            </w:pPr>
            <w:r>
              <w:rPr>
                <w:rFonts w:ascii="宋体" w:hAnsi="宋体" w:eastAsia="宋体"/>
                <w:sz w:val="16"/>
              </w:rPr>
              <w:t>=84.08万元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2B5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D4BA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46A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73FA8">
            <w:pPr>
              <w:jc w:val="center"/>
            </w:pPr>
            <w:r>
              <w:rPr>
                <w:rFonts w:ascii="宋体" w:hAnsi="宋体" w:eastAsia="宋体"/>
                <w:sz w:val="16"/>
              </w:rPr>
              <w:t>53.8万元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9E27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5CFE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7EF60">
            <w:pPr>
              <w:jc w:val="center"/>
            </w:pPr>
          </w:p>
        </w:tc>
      </w:tr>
      <w:tr w14:paraId="1F4003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FA97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7909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1752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2CBE3">
            <w:pPr>
              <w:jc w:val="center"/>
            </w:pPr>
            <w:r>
              <w:rPr>
                <w:rFonts w:ascii="宋体" w:hAnsi="宋体" w:eastAsia="宋体"/>
                <w:sz w:val="16"/>
              </w:rPr>
              <w:t>绩效全过程管理运维经费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067D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94F78">
            <w:pPr>
              <w:jc w:val="center"/>
            </w:pPr>
            <w:r>
              <w:rPr>
                <w:rFonts w:ascii="宋体" w:hAnsi="宋体" w:eastAsia="宋体"/>
                <w:sz w:val="16"/>
              </w:rPr>
              <w:t>&lt;=8.80万元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EE311">
            <w:pPr>
              <w:jc w:val="center"/>
            </w:pPr>
            <w:r>
              <w:rPr>
                <w:rFonts w:ascii="宋体" w:hAnsi="宋体" w:eastAsia="宋体"/>
                <w:sz w:val="16"/>
              </w:rPr>
              <w:t>=8.8万元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240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83FE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87C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41BD7">
            <w:pPr>
              <w:jc w:val="center"/>
            </w:pPr>
            <w:r>
              <w:rPr>
                <w:rFonts w:ascii="宋体" w:hAnsi="宋体" w:eastAsia="宋体"/>
                <w:sz w:val="16"/>
              </w:rPr>
              <w:t>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5AAA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ECD6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AD9AD">
            <w:pPr>
              <w:jc w:val="center"/>
            </w:pPr>
          </w:p>
        </w:tc>
      </w:tr>
      <w:tr w14:paraId="6057D5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4D92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F24B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4F0AD">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7E90F">
            <w:pPr>
              <w:jc w:val="center"/>
            </w:pPr>
            <w:r>
              <w:rPr>
                <w:rFonts w:ascii="宋体" w:hAnsi="宋体" w:eastAsia="宋体"/>
                <w:sz w:val="16"/>
              </w:rPr>
              <w:t>财政预算资金效益明显提升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8652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7BB7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2154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6AB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66C8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C14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24FD4">
            <w:pPr>
              <w:jc w:val="center"/>
            </w:pPr>
            <w:r>
              <w:rPr>
                <w:rFonts w:ascii="宋体" w:hAnsi="宋体" w:eastAsia="宋体"/>
                <w:sz w:val="16"/>
              </w:rPr>
              <w:t>新增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44E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F97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02EDB">
            <w:pPr>
              <w:jc w:val="center"/>
            </w:pPr>
          </w:p>
        </w:tc>
      </w:tr>
      <w:tr w14:paraId="7F7B919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C8B990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A82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3070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0C46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1646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7EC9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3B3C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F73F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603E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BE6C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7E7620"/>
        </w:tc>
      </w:tr>
    </w:tbl>
    <w:p w14:paraId="62BC3CDC">
      <w:r>
        <w:br w:type="page"/>
      </w:r>
    </w:p>
    <w:p w14:paraId="635CC673">
      <w:pPr>
        <w:spacing w:line="640" w:lineRule="exact"/>
        <w:ind w:firstLine="640"/>
        <w:jc w:val="both"/>
        <w:outlineLvl w:val="2"/>
      </w:pPr>
      <w:r>
        <w:rPr>
          <w:rFonts w:ascii="黑体" w:hAnsi="黑体" w:eastAsia="黑体"/>
          <w:sz w:val="32"/>
        </w:rPr>
        <w:t>十二、其他需说明的事项</w:t>
      </w:r>
    </w:p>
    <w:p w14:paraId="72A2806E">
      <w:pPr>
        <w:spacing w:line="580" w:lineRule="exact"/>
        <w:ind w:firstLine="640"/>
        <w:jc w:val="both"/>
      </w:pPr>
      <w:r>
        <w:rPr>
          <w:rFonts w:ascii="仿宋_GB2312" w:hAnsi="仿宋_GB2312" w:eastAsia="仿宋_GB2312"/>
          <w:b w:val="0"/>
          <w:sz w:val="32"/>
        </w:rPr>
        <w:t>本单位无其他需说明的事项。</w:t>
      </w:r>
    </w:p>
    <w:p w14:paraId="77A90519">
      <w:r>
        <w:br w:type="page"/>
      </w:r>
    </w:p>
    <w:p w14:paraId="5EE4FC70">
      <w:pPr>
        <w:spacing w:line="240" w:lineRule="auto"/>
        <w:jc w:val="center"/>
        <w:outlineLvl w:val="1"/>
      </w:pPr>
      <w:r>
        <w:rPr>
          <w:rFonts w:ascii="黑体" w:hAnsi="黑体" w:eastAsia="黑体"/>
          <w:sz w:val="32"/>
        </w:rPr>
        <w:t>第三部分 专业名词解释</w:t>
      </w:r>
    </w:p>
    <w:p w14:paraId="35F11B8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64D0BC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2D595C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26C1B4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EEE46F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37F913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F04C522">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95A55F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E06A6CF">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E1065B2">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A417056">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04B53EC">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B51B09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B2E8FA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6DCB686">
      <w:r>
        <w:br w:type="page"/>
      </w:r>
    </w:p>
    <w:p w14:paraId="2A79066C">
      <w:pPr>
        <w:spacing w:line="240" w:lineRule="auto"/>
        <w:jc w:val="center"/>
        <w:outlineLvl w:val="1"/>
      </w:pPr>
      <w:r>
        <w:rPr>
          <w:rFonts w:ascii="黑体" w:hAnsi="黑体" w:eastAsia="黑体"/>
          <w:sz w:val="32"/>
        </w:rPr>
        <w:t>第四部分 部门决算报表（见附表）</w:t>
      </w:r>
    </w:p>
    <w:p w14:paraId="137ED1C1">
      <w:pPr>
        <w:spacing w:line="240" w:lineRule="auto"/>
        <w:ind w:firstLine="640"/>
        <w:jc w:val="both"/>
      </w:pPr>
      <w:r>
        <w:rPr>
          <w:rFonts w:ascii="仿宋_GB2312" w:hAnsi="仿宋_GB2312" w:eastAsia="仿宋_GB2312"/>
          <w:b w:val="0"/>
          <w:sz w:val="32"/>
        </w:rPr>
        <w:t>一、《收入支出决算总表》</w:t>
      </w:r>
    </w:p>
    <w:p w14:paraId="693D4F12">
      <w:pPr>
        <w:spacing w:line="240" w:lineRule="auto"/>
        <w:ind w:firstLine="640"/>
        <w:jc w:val="both"/>
      </w:pPr>
      <w:r>
        <w:rPr>
          <w:rFonts w:ascii="仿宋_GB2312" w:hAnsi="仿宋_GB2312" w:eastAsia="仿宋_GB2312"/>
          <w:b w:val="0"/>
          <w:sz w:val="32"/>
        </w:rPr>
        <w:t>二、《收入决算表》</w:t>
      </w:r>
    </w:p>
    <w:p w14:paraId="21D9004E">
      <w:pPr>
        <w:spacing w:line="240" w:lineRule="auto"/>
        <w:ind w:firstLine="640"/>
        <w:jc w:val="both"/>
      </w:pPr>
      <w:r>
        <w:rPr>
          <w:rFonts w:ascii="仿宋_GB2312" w:hAnsi="仿宋_GB2312" w:eastAsia="仿宋_GB2312"/>
          <w:b w:val="0"/>
          <w:sz w:val="32"/>
        </w:rPr>
        <w:t>三、《支出决算表》</w:t>
      </w:r>
    </w:p>
    <w:p w14:paraId="586517B5">
      <w:pPr>
        <w:spacing w:line="240" w:lineRule="auto"/>
        <w:ind w:firstLine="640"/>
        <w:jc w:val="both"/>
      </w:pPr>
      <w:r>
        <w:rPr>
          <w:rFonts w:ascii="仿宋_GB2312" w:hAnsi="仿宋_GB2312" w:eastAsia="仿宋_GB2312"/>
          <w:b w:val="0"/>
          <w:sz w:val="32"/>
        </w:rPr>
        <w:t>四、《财政拨款收入支出决算总表》</w:t>
      </w:r>
    </w:p>
    <w:p w14:paraId="564D5A50">
      <w:pPr>
        <w:spacing w:line="240" w:lineRule="auto"/>
        <w:ind w:firstLine="640"/>
        <w:jc w:val="both"/>
      </w:pPr>
      <w:r>
        <w:rPr>
          <w:rFonts w:ascii="仿宋_GB2312" w:hAnsi="仿宋_GB2312" w:eastAsia="仿宋_GB2312"/>
          <w:b w:val="0"/>
          <w:sz w:val="32"/>
        </w:rPr>
        <w:t>五、《一般公共预算财政拨款支出决算表》</w:t>
      </w:r>
    </w:p>
    <w:p w14:paraId="5AFA0FC6">
      <w:pPr>
        <w:spacing w:line="240" w:lineRule="auto"/>
        <w:ind w:firstLine="640"/>
        <w:jc w:val="both"/>
      </w:pPr>
      <w:r>
        <w:rPr>
          <w:rFonts w:ascii="仿宋_GB2312" w:hAnsi="仿宋_GB2312" w:eastAsia="仿宋_GB2312"/>
          <w:b w:val="0"/>
          <w:sz w:val="32"/>
        </w:rPr>
        <w:t>六、《一般公共预算财政拨款基本支出决算表》</w:t>
      </w:r>
    </w:p>
    <w:p w14:paraId="60E68D63">
      <w:pPr>
        <w:spacing w:line="240" w:lineRule="auto"/>
        <w:ind w:firstLine="640"/>
        <w:jc w:val="both"/>
      </w:pPr>
      <w:r>
        <w:rPr>
          <w:rFonts w:ascii="仿宋_GB2312" w:hAnsi="仿宋_GB2312" w:eastAsia="仿宋_GB2312"/>
          <w:b w:val="0"/>
          <w:sz w:val="32"/>
        </w:rPr>
        <w:t>七、《政府性基金预算财政拨款收入支出决算表》</w:t>
      </w:r>
    </w:p>
    <w:p w14:paraId="0084B195">
      <w:pPr>
        <w:spacing w:line="240" w:lineRule="auto"/>
        <w:ind w:firstLine="640"/>
        <w:jc w:val="both"/>
      </w:pPr>
      <w:r>
        <w:rPr>
          <w:rFonts w:ascii="仿宋_GB2312" w:hAnsi="仿宋_GB2312" w:eastAsia="仿宋_GB2312"/>
          <w:b w:val="0"/>
          <w:sz w:val="32"/>
        </w:rPr>
        <w:t>八、《国有资本经营预算财政拨款收入支出决算表》</w:t>
      </w:r>
    </w:p>
    <w:p w14:paraId="69254CA1">
      <w:pPr>
        <w:spacing w:line="240" w:lineRule="auto"/>
        <w:ind w:firstLine="640"/>
        <w:jc w:val="both"/>
      </w:pPr>
      <w:r>
        <w:rPr>
          <w:rFonts w:ascii="仿宋_GB2312" w:hAnsi="仿宋_GB2312" w:eastAsia="仿宋_GB2312"/>
          <w:b w:val="0"/>
          <w:sz w:val="32"/>
        </w:rPr>
        <w:t>九、《财政拨款“三公”经费支出决算表》</w:t>
      </w:r>
    </w:p>
    <w:p w14:paraId="21128B97">
      <w:pPr>
        <w:spacing w:line="240" w:lineRule="auto"/>
        <w:ind w:firstLine="640"/>
        <w:jc w:val="both"/>
      </w:pPr>
    </w:p>
    <w:p w14:paraId="28DFF5D8">
      <w:pPr>
        <w:spacing w:line="240" w:lineRule="auto"/>
        <w:ind w:firstLine="640"/>
        <w:jc w:val="both"/>
      </w:pPr>
    </w:p>
    <w:p w14:paraId="10C99AC1">
      <w:pPr>
        <w:spacing w:line="240" w:lineRule="auto"/>
        <w:ind w:firstLine="640"/>
        <w:jc w:val="both"/>
      </w:pPr>
    </w:p>
    <w:p w14:paraId="7F6F8A43">
      <w:pPr>
        <w:spacing w:line="240" w:lineRule="auto"/>
        <w:ind w:firstLine="640"/>
        <w:jc w:val="both"/>
      </w:pPr>
    </w:p>
    <w:p w14:paraId="60BB99E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A758AB-A041-4961-BC85-ED9CBBDC44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C84E2192-24AA-44A8-9AE6-67BD74488A8C}"/>
  </w:font>
  <w:font w:name="仿宋_GB2312">
    <w:panose1 w:val="02010609030101010101"/>
    <w:charset w:val="86"/>
    <w:family w:val="modern"/>
    <w:pitch w:val="default"/>
    <w:sig w:usb0="00000001" w:usb1="080E0000" w:usb2="00000000" w:usb3="00000000" w:csb0="00040000" w:csb1="00000000"/>
    <w:embedRegular r:id="rId3" w:fontKey="{B670197D-789F-4957-ABEE-27756B39F7D8}"/>
  </w:font>
  <w:font w:name="楷体_GB2312">
    <w:panose1 w:val="02010609030101010101"/>
    <w:charset w:val="86"/>
    <w:family w:val="auto"/>
    <w:pitch w:val="default"/>
    <w:sig w:usb0="00000001" w:usb1="080E0000" w:usb2="00000000" w:usb3="00000000" w:csb0="00040000" w:csb1="00000000"/>
    <w:embedRegular r:id="rId4" w:fontKey="{78F7CB77-9180-406C-8CBA-A6336B0C4F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86B23FC"/>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E4448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7328</Words>
  <Characters>8204</Characters>
  <Lines>0</Lines>
  <Paragraphs>0</Paragraphs>
  <TotalTime>9</TotalTime>
  <ScaleCrop>false</ScaleCrop>
  <LinksUpToDate>false</LinksUpToDate>
  <CharactersWithSpaces>8212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2025-10-15T03:38:52Z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