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EE773A"/>
    <w:p w14:paraId="57107D8E">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F2B255D">
      <w:pPr>
        <w:spacing w:line="540" w:lineRule="exact"/>
        <w:jc w:val="center"/>
        <w:rPr>
          <w:rFonts w:ascii="华文中宋" w:hAnsi="华文中宋" w:eastAsia="华文中宋" w:cs="宋体"/>
          <w:b/>
          <w:kern w:val="0"/>
          <w:sz w:val="52"/>
          <w:szCs w:val="52"/>
        </w:rPr>
      </w:pPr>
    </w:p>
    <w:p w14:paraId="5CCDA68D">
      <w:pPr>
        <w:spacing w:line="540" w:lineRule="exact"/>
        <w:jc w:val="center"/>
        <w:rPr>
          <w:rFonts w:ascii="华文中宋" w:hAnsi="华文中宋" w:eastAsia="华文中宋" w:cs="宋体"/>
          <w:b/>
          <w:kern w:val="0"/>
          <w:sz w:val="52"/>
          <w:szCs w:val="52"/>
        </w:rPr>
      </w:pPr>
    </w:p>
    <w:p w14:paraId="20CB6512">
      <w:pPr>
        <w:spacing w:line="540" w:lineRule="exact"/>
        <w:jc w:val="center"/>
        <w:rPr>
          <w:rFonts w:ascii="华文中宋" w:hAnsi="华文中宋" w:eastAsia="华文中宋" w:cs="宋体"/>
          <w:b/>
          <w:kern w:val="0"/>
          <w:sz w:val="52"/>
          <w:szCs w:val="52"/>
        </w:rPr>
      </w:pPr>
    </w:p>
    <w:p w14:paraId="583BF4BD">
      <w:pPr>
        <w:spacing w:line="540" w:lineRule="exact"/>
        <w:jc w:val="center"/>
        <w:rPr>
          <w:rFonts w:ascii="华文中宋" w:hAnsi="华文中宋" w:eastAsia="华文中宋" w:cs="宋体"/>
          <w:b/>
          <w:kern w:val="0"/>
          <w:sz w:val="52"/>
          <w:szCs w:val="52"/>
        </w:rPr>
      </w:pPr>
    </w:p>
    <w:p w14:paraId="7D28AC8E">
      <w:pPr>
        <w:spacing w:line="540" w:lineRule="exact"/>
        <w:jc w:val="center"/>
        <w:rPr>
          <w:rFonts w:ascii="华文中宋" w:hAnsi="华文中宋" w:eastAsia="华文中宋" w:cs="宋体"/>
          <w:b/>
          <w:kern w:val="0"/>
          <w:sz w:val="52"/>
          <w:szCs w:val="52"/>
        </w:rPr>
      </w:pPr>
    </w:p>
    <w:p w14:paraId="3DA28E9D">
      <w:pPr>
        <w:spacing w:line="540" w:lineRule="exact"/>
        <w:jc w:val="center"/>
        <w:rPr>
          <w:rFonts w:ascii="华文中宋" w:hAnsi="华文中宋" w:eastAsia="华文中宋" w:cs="宋体"/>
          <w:b/>
          <w:kern w:val="0"/>
          <w:sz w:val="52"/>
          <w:szCs w:val="52"/>
        </w:rPr>
      </w:pPr>
    </w:p>
    <w:p w14:paraId="73B2233D">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28F1E20A">
      <w:pPr>
        <w:spacing w:line="540" w:lineRule="exact"/>
        <w:jc w:val="center"/>
        <w:rPr>
          <w:rFonts w:ascii="华文中宋" w:hAnsi="华文中宋" w:eastAsia="华文中宋" w:cs="宋体"/>
          <w:b/>
          <w:kern w:val="0"/>
          <w:sz w:val="52"/>
          <w:szCs w:val="52"/>
        </w:rPr>
      </w:pPr>
    </w:p>
    <w:p w14:paraId="17A9D9BE">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2E5F0A07">
      <w:pPr>
        <w:spacing w:line="540" w:lineRule="exact"/>
        <w:jc w:val="center"/>
        <w:rPr>
          <w:rFonts w:hAnsi="宋体" w:eastAsia="仿宋_GB2312" w:cs="宋体"/>
          <w:kern w:val="0"/>
          <w:sz w:val="30"/>
          <w:szCs w:val="30"/>
        </w:rPr>
      </w:pPr>
    </w:p>
    <w:p w14:paraId="14A25DEA">
      <w:pPr>
        <w:spacing w:line="540" w:lineRule="exact"/>
        <w:jc w:val="center"/>
        <w:rPr>
          <w:rFonts w:hAnsi="宋体" w:eastAsia="仿宋_GB2312" w:cs="宋体"/>
          <w:kern w:val="0"/>
          <w:sz w:val="30"/>
          <w:szCs w:val="30"/>
        </w:rPr>
      </w:pPr>
    </w:p>
    <w:p w14:paraId="7E973A6E">
      <w:pPr>
        <w:spacing w:line="540" w:lineRule="exact"/>
        <w:jc w:val="center"/>
        <w:rPr>
          <w:rFonts w:hAnsi="宋体" w:eastAsia="仿宋_GB2312" w:cs="宋体"/>
          <w:kern w:val="0"/>
          <w:sz w:val="30"/>
          <w:szCs w:val="30"/>
        </w:rPr>
      </w:pPr>
    </w:p>
    <w:p w14:paraId="621B5C53">
      <w:pPr>
        <w:spacing w:line="540" w:lineRule="exact"/>
        <w:jc w:val="center"/>
        <w:rPr>
          <w:rFonts w:hAnsi="宋体" w:eastAsia="仿宋_GB2312" w:cs="宋体"/>
          <w:kern w:val="0"/>
          <w:sz w:val="30"/>
          <w:szCs w:val="30"/>
        </w:rPr>
      </w:pPr>
    </w:p>
    <w:p w14:paraId="1B8DB129">
      <w:pPr>
        <w:spacing w:line="540" w:lineRule="exact"/>
        <w:jc w:val="center"/>
        <w:rPr>
          <w:rFonts w:hAnsi="宋体" w:eastAsia="仿宋_GB2312" w:cs="宋体"/>
          <w:kern w:val="0"/>
          <w:sz w:val="30"/>
          <w:szCs w:val="30"/>
        </w:rPr>
      </w:pPr>
    </w:p>
    <w:p w14:paraId="3EE974FA">
      <w:pPr>
        <w:spacing w:line="540" w:lineRule="exact"/>
        <w:jc w:val="center"/>
        <w:rPr>
          <w:rFonts w:hAnsi="宋体" w:eastAsia="仿宋_GB2312" w:cs="宋体"/>
          <w:kern w:val="0"/>
          <w:sz w:val="30"/>
          <w:szCs w:val="30"/>
        </w:rPr>
      </w:pPr>
    </w:p>
    <w:p w14:paraId="5BD9BD1D">
      <w:pPr>
        <w:spacing w:line="540" w:lineRule="exact"/>
        <w:rPr>
          <w:rFonts w:hAnsi="宋体" w:eastAsia="仿宋_GB2312" w:cs="宋体"/>
          <w:kern w:val="0"/>
          <w:sz w:val="30"/>
          <w:szCs w:val="30"/>
        </w:rPr>
      </w:pPr>
    </w:p>
    <w:p w14:paraId="26AB2839">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8F3D813">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机构运行补助经费项目</w:t>
      </w:r>
    </w:p>
    <w:p w14:paraId="041335E3">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昌吉工人文化宫</w:t>
      </w:r>
    </w:p>
    <w:p w14:paraId="57151F5D">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昌吉工人文化宫</w:t>
      </w:r>
    </w:p>
    <w:p w14:paraId="4D7BF8B3">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张婧</w:t>
      </w:r>
    </w:p>
    <w:p w14:paraId="672DF604">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2025年05月29日</w:t>
      </w:r>
    </w:p>
    <w:p w14:paraId="10330FA8">
      <w:pPr>
        <w:spacing w:line="700" w:lineRule="exact"/>
        <w:ind w:firstLine="708" w:firstLineChars="236"/>
        <w:jc w:val="left"/>
        <w:rPr>
          <w:rFonts w:hAnsi="宋体" w:eastAsia="仿宋_GB2312" w:cs="宋体"/>
          <w:kern w:val="0"/>
          <w:sz w:val="30"/>
          <w:szCs w:val="30"/>
        </w:rPr>
      </w:pPr>
    </w:p>
    <w:p w14:paraId="382BB288">
      <w:pPr>
        <w:spacing w:line="540" w:lineRule="exact"/>
        <w:rPr>
          <w:rStyle w:val="19"/>
          <w:rFonts w:ascii="黑体" w:hAnsi="黑体" w:eastAsia="黑体"/>
          <w:b w:val="0"/>
          <w:spacing w:val="-4"/>
          <w:sz w:val="32"/>
          <w:szCs w:val="32"/>
        </w:rPr>
      </w:pPr>
    </w:p>
    <w:p w14:paraId="14FF8DB9">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1ACBC82A">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4AB436CA">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由昌吉回族自治州人民政府秘书长办公议纪要十一届政府第18期（总第39期），给予昌吉工人文化宫土地补偿款，因昌吉州武警支队建设用地占用我单位地地25亩。昌吉工人文化宫是差额拨款单位，财政只保障公用经费中培训费、福利费、退休人员活动费，其他运行经费均由单位自行承担。昌吉工人文化宫主要负责开展群众文化、文艺活动，为工人群众文化提供场所和服务，繁荣群众文化事业，配合工会开展表彰、宣传、维权、帮扶等工作，为了保障工人文化宫的正常运转，开始实施机构运行补助经费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（1）项目名称：机构运行补助经费项目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（2）项目主要内容：用于老文化宫宇翔案聘请律师、诉讼案件咨询费11.8万元；用于日常办公费1.2万元。通过该项目的实施达到按程序办理诉讼案件，单位各项工作正常开展。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实施主体：昌吉工人文化宫。</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实施时间：本项目实施周期为2024年1月-2024年8月。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实施情况：截止2024年8月30日先后3次支付老文化宫宇翔案聘请律师、诉讼案件咨询费11.8万元；先后3次支付办公费、电脑耗材共1.2万元。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昌吉工人文化宫是昌吉州总工会下属差额拨款事业单位，为副科级。单位主要负责组织群众文化、文艺活动，为工人群众文化提供场所和服务，繁荣群众文化事业，配合工会开展表彰、宣传、维权、帮扶等工作。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单位内设机构：办公室、财务室。</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本项目预算安排总额为13万元，资金来源为本级部门预算，其中：财政资金13万元，其他资金0万元，2024年实际收到预算资金13万元，预算资金到位率为100%。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截至2024年11月30日，本项目实际支付资金13万元，预算执行率100%。本项目资金主要用于支付诉讼咨询费费用11.8万元、办公费用1.2万元。</w:t>
      </w:r>
    </w:p>
    <w:p w14:paraId="38710D0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29C62633">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本年度计划项目支出13万元，用于老文化宫宇翔案聘请律师、诉讼案件咨询费11.8万元，使老文化宫宇翔案按程序办理诉讼案件；用于日常办公费1.2万元，以保障单位各项工作正常开展。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“咨询次数”指标，预期指标值为“≥3次”；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“交付办公费次数”指标，预期指标值为“≥1次”；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“支付咨询费完成率”指标，预期指标值为“=100%”；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“项目完成时限”指标，预期指标值为“2024年11月30日”；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“咨询费”指标，预期指标值为“&lt;=11.8万元”；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“办公费”指标，预期指标值为“&lt;=1.2万元”；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“保障单位业务正常运转”指标，预期指标值为“保障正常运转”；</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“职工满意度”指标，预期指标值为“&gt;=95%”。</w:t>
      </w:r>
    </w:p>
    <w:p w14:paraId="62945E96">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58AAF0BF">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1C9BA5F0">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昌州财预【2018】171号---关于印发《自治州财政支出绩效评价管理暂行办法》的通知、《关于印发&lt;自治区项目支出绩效目标设置指引&gt;的通知》（新财预〔2022〕42号）文件精神，我单位针对机构运行补助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此次我单位根据《财政支出绩效评价管理暂行办法》（财预〔2020〕10号）文件要求实施评价工作，本次评价对象为机构运行补助经费项目，评价核心为项目资金、项目产出、项目效益。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4E00A71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5B2AE375">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自治州财政支出绩效评价管理暂行办法》（昌州财预〔2018〕171号）、《关于印发&lt;自治区项目支出绩效目标设置指引&gt;的通知》（新财预〔2022〕42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行业标准：指参照国家公布的行业指标数据制定的评价标准。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6BD9D92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4B901368">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张婧（评价小组组长）：主要负责项目策划和监督，全面负责项目绩效评价报告的最终质量，对评价人员出具的最终报告质量进行复核，确保评估结果的客观性；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孟乐（评价小组组员）：主要负责资料的收集，取证、数据统计分析；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吴玮君（评价小组组员）：主要负责项目报告的制定，指标的研判，数据分析及报告撰写。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2月18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2025年2月26日-3月10日，评价小组按照绩效评价的原则和规范，对取得的资料进行审查核实，对采集的数据进行分析，按照绩效评价指标评分表逐项进行打分、分析、汇总各方评价结果。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2025年3月11日-3月15日，评价小组撰写绩效评价报告，按照新疆维吾尔自治区财政绩效管理信息系统绩效评价模块中统一格式和文本框架撰写绩效评价报告并提交审核。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3FC957A9">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50AA20DC">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已完成年初设立的绩效目标，在实施过程中取得了良好的成效，具体表现在：通过项目的实施，完成了咨询费、办公室的支出，通过该项目的实施达到老文化宫宇翔案按程序办理诉讼案件，单位各项工作正常开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98分，绩效评级为“优”。综合评价结论如下：本项目共设置三级指标数量19个，实现三级指标数量19个，总体完成率为110.62%。项目决策类指标共设置6个，满分指标6个，得分率100%；过程管理类指标共设置5个，满分指标5个，得分率100%；项目产出类指标共设置6个，满分指标5个，得分率93.33%；项目效益类指标共设置1个，满分指标1个，得分率100%；项目满意度类指标共设置1个，满分指标1个，得分率100%。详细情况见“表3-1：项目综合得分表”及“附件2：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表3-1：项目综合得分表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 决策类 管理类 产出类 效益类 满意度类 合计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权重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 21.00 19.00 28.00 20.00 10.00 98.00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得分率 100% 100% 93.33% 100% 100% 98%</w:t>
      </w:r>
    </w:p>
    <w:p w14:paraId="68EB7B78">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710F256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28D2360E">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项目决策类指标由3个二级指标和6个三级指标构成，权重分21.00分，实际得分21分。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本项目立项符合州本级颁发的昌州财预【2018】171号---关于印发《自治州财政支出绩效评价管理暂行办法》的通知中：“补助经费项目”；本项目立项符合《2000年昌吉州人民政府秘书长办公会议经要（十一届政府 第18期）》中：“纪要”内容，符合行业发展规划和政策要求；本项目立项符合《昌吉工人文化宫配置内设机构和人员编制规定》中职责范围中的“三定方案”，属于我单位履职所需；根据《财政资金直接支付申请书》，本项目资金性质为“公共财政预算”功能分类为“其他群众团体事务支出”经济分类为“办公费、委托业务费”属于公共财政支持范围，符合中央、地方事权支出责任划分原则；经检查我单位财政管理一体化信息系统，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非基础建设类模板：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2000年昌吉州人民政府秘书长办公会议经要（十一届政府 第18期）》文件要求实施项目。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①该项目已设置年度绩效目标，具体内容：全年计划项目支出13万：其中：咨询费11.8万元，办公费1.2万元。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②该项目实际工作内容为：老文化宫诉讼案件咨询费、办公费。绩效目标与实际工作内容一致，两者具有相关性。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完成数量指标、质量指标、时效指标、成本指标，完成了该项目实际完成诉讼案件咨询3次，购买办公用品3次；实际支付咨询费11.8万元，办公费1.2万元。通过该项目的实施达到按程序办理诉讼案件，单位各项工作正常开展。总体完成率125.23%，预期产出效益和效果是否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④该项目批复的预算金额为13万元，《项目支出绩效目标表》中预算金额为13万元，预算确定的项目资金与预算确定的项目投资额相匹配。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8个，定量指标6个，定性指标2个，指标量化率为75%，量化率达70.00%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表》中，数量指标指标值为“咨询次数大于等于3次”“支付办公费次数大于等于1次”，三级指标的年度指标值与年度绩效目标中任务数一致，已设置时效指标“项目完成时间”。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本项目机构运行补助经费，即预算编制较科学且经过论证；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预算申请内容为机构运行补助经费，项目实际内容为全年计划项目支出13万：其中：咨询费11.8万元，办公费1.2万元。，预算申请与《机构运行补助经费项目实施方案》中涉及的项目内  容匹配；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资金13万元，我单位在预算申请中严格按照项目实施内容及测算标准进行核算，其中：咨询费11.8万元、办公费1.2万元。预算确定资金量与实际工作任务相匹配。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分配资金以《关于申请机构运行补助经费项目资金的请示》和《机构运行补助经费项目实施方案》为依据进行资金分配，预算资金分配依据充分。根据《资金下达文件》（昌州财预〔2024〕2号），本项目实际到位资金13万元，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综上所述，本指标满分为2.00分，根据评分标准得2分，本项目资金分配合理。</w:t>
      </w:r>
      <w:r>
        <w:rPr>
          <w:rStyle w:val="19"/>
          <w:rFonts w:hint="eastAsia" w:ascii="楷体" w:hAnsi="楷体" w:eastAsia="楷体"/>
          <w:b w:val="0"/>
          <w:bCs w:val="0"/>
          <w:spacing w:val="-4"/>
          <w:sz w:val="32"/>
          <w:szCs w:val="32"/>
        </w:rPr>
        <w:tab/>
      </w:r>
    </w:p>
    <w:p w14:paraId="2F5E79A6">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2D232DF2">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项目过程管理类指标由2个二级指标和5个三级指标构成，权重分19.00分，实际得分19分。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本项目预算资金为13万元，其中：财政安排资金13万元，其他资金0万元，实际到位资金13万元，资金到位率=（实际到位资金/预算资金）×100.00%=（13/13）×100.00%=100%。得分=（100%-60.00%）/（1-60.00%）×4.00=4分。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本项目实际支出资金13万元，预算执行率=（实际支出资金/实际到位资金）×100.00%=（13/13）×100.00%=100%；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项目已完成，总体完成率为125.23%；</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得分=（100%-60.00%）/（1-60.00%）×权重=100%×5.00=5分。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昌吉工人文化宫财务管理制度》，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昌吉工人文化宫财务管理制度》《昌吉工人文化宫政府采购业务管理制度》《昌吉工人文化宫合同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昌吉工人文化宫财务管理制度》《昌吉工人文化宫资产管理制度》《昌吉工人文化宫采购业务管理制度》《昌吉工人文化宫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②经现场查证项目合同书、验收评审表、财务支付凭证等资料齐全并及时归档。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③该项目是否存在调整，调整手续是否齐全，如未调整，则填“该项目实施过程中不存在调整事项”。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机构运行补助经费项目工作领导小组，由彭浩楠任组长，负责项目的组织工作；马晓琴任副组长，负责项目的实施工作；组员包括：曹倩和王艳，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综上所述，本指标满分为4.00分，根据评分标准得4分，本项目所建立制度执行有效。</w:t>
      </w:r>
    </w:p>
    <w:p w14:paraId="1E0B469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0DE5F4BF">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项目产出类指标由4个二级指标和6个三级指标构成，权重分30.00分，实际得分28分。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“咨询次数”指标：预期指标值为“≥3次”，实际完成指标值为“=3次”，指标完成率为100.00%。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综上所述，本指标满分为6分，根据评分标准得6分。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“支付办公费次数”指标：预期指标值为“≥1次”，实际完成指标值为“=3次”，指标完成率为300%。扣分原因分析：在支付办公用品时按办公用品种类开据发票3张分3次支付，故造成偏差。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综上所述，本指标满分为2分，根据评分标准得0分。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“支付咨询费完成率”指标：预期指标值为“=100%”，实际完成指标值为“=100%”，指标完成率为100%。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“项目完成时限”指标：预期指标值为“2024年11月30日”，实际完成指标值为“2024年8月30日”，指标完成率为100%。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“咨询费”指标：预期指标值为“&lt;=11.8万元”，实际完成指标值为“=11.8万元”，指标完成率为100%。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综上所述，本指标满分为6分，根据评分标准得6分。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“办公费”指标：预期指标值为“&lt;=1.2万元”，实际完成指标值为“=1.2万元”，指标完成率为100%。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综上所述，本指标满分为6分，根据评分标准得6分。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70D1055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6E0AE8A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项目效益类指标由1个二级指标和1个三级指标构成，权重分20.00分，实际得分20分。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“保障单位业务正常运转”指标：预期指标值为“保障正常运转”，实际完成指标值为“达到预期指标”，指标完成率为100.00%。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综上所述，本指标满分为20分，根据评分标准得20分。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379FB0BD">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项目满意度类指标由1个二级指标和1个三级指标构成，权重分10.00分，实际得分10分。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1.满意度完成情况分析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“职工满意度”指标：预期指标值为“&gt;=95%”，实际完成指标值为“=96.77%”，指标完成率为101.86%。</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综上所述，本指标满分为10分，根据评分标准得10分。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五、预算执行进度与绩效指标偏差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本项目年初预算资金总额为14万元，全年预算数为13万元，全年执行数为13万元，预算执行率为100%。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本项目共设置三级指标数量19个，满分指标数量18个，扣分指标数量1个，经分析计算所有三级指标完成率得出，本项目总体完成率为110.62%。</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项目预算执行率与总体完成率之间的偏差为10.62%。主要偏差原因是：（1）年初设定支付办公费次数指标值为大于等于1次，实际在支付办公用品费用时，按办公用品种类开据发票3张分3次支付；（2）年初设定职工满意度指标值为大于等于95%，实际该项目完成较好，职工满意度较高达到100%，年初设置指标值过低。</w:t>
      </w:r>
    </w:p>
    <w:p w14:paraId="1CFC9BC8">
      <w:pPr>
        <w:spacing w:line="540" w:lineRule="exact"/>
        <w:ind w:firstLine="567"/>
        <w:rPr>
          <w:rStyle w:val="19"/>
          <w:rFonts w:hint="eastAsia" w:ascii="楷体" w:hAnsi="楷体" w:eastAsia="楷体"/>
          <w:b w:val="0"/>
          <w:bCs w:val="0"/>
          <w:spacing w:val="-4"/>
          <w:sz w:val="32"/>
          <w:szCs w:val="32"/>
        </w:rPr>
      </w:pPr>
    </w:p>
    <w:p w14:paraId="52C94058">
      <w:pPr>
        <w:spacing w:line="540" w:lineRule="exact"/>
        <w:ind w:firstLine="567"/>
        <w:rPr>
          <w:rStyle w:val="19"/>
          <w:rFonts w:ascii="楷体" w:hAnsi="楷体" w:eastAsia="楷体"/>
          <w:spacing w:val="-4"/>
          <w:sz w:val="32"/>
          <w:szCs w:val="32"/>
        </w:rPr>
      </w:pPr>
    </w:p>
    <w:p w14:paraId="1A9F3775">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0B1390E2">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建立健全了预算管理规章制度，各部门严格按预算编制的原则和要求做好当年预算编制工作，在预算绩效管理工作中，做到合理安排各项资金，重点保障基本支出，按轻重缓急顺序原则，优先安排了昌吉工人文化宫事业发展中关系民生与稳定的项目，切实优化资源配置，提高了资金使用的效率和效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 xml:space="preserve">      2、部分业务人员绩效管理意识有待增强，未能全面深入理解绩效管理工作的意义。绩效管理工作经验不足，预算绩效管理工作有待进一步落实；绩效指标的明确性、相关性还需进一步提升，预算绩效管理精细化不需进一步完善，预算绩效编制管理水平仍有提升空间。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支出绩效评价存在局限，客观性有待加强。绩效指标的明确性、相关性还需进一步提升，预算绩效管理精细化不需进一步完善，预算绩效编制管理水平仍有提升空间。绩效管理工作经验不足，预算绩效管理工作有待进一步落实。部分业务人员绩效管理意识有待增强，未能全面深入理解绩效管理工作的意义。绩效预算认识不够充分，绩效理念有待进一步强化，业务人员业务能力有待提高。</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 xml:space="preserve">    2.单位对绩效监控管理认识不足，绩效管理理念尚未牢固树立，存在片面性。在组织实施绩效管理监控时，对该项工作的重视和支持程度不够，认为仅仅是资金的申请。由于我单位在职人员少，人员结构年龄偏大，绩效管理专业人员匮乏，绩效管理人员调整频繁，绩效交接工作不到位，管理政策等因素变化，导致在预算绩效监控综合性评价方面仍有欠缺和不足。 </w:t>
      </w:r>
    </w:p>
    <w:p w14:paraId="60C30F96">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3B1B5257">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1、加强预算绩效管理目标管理工作，明确预算绩效目标编制要求，分类别科学合理、细化量化、可比可测预算绩效指标体系，突出结果导向，重点考核绩效。提高绩效业务工作人员意识，进一步加强预算绩效管理工作，优化项目支出绩效指标体系，完善绩效管理制度，有效推动我单位下一年度预算绩效管理工作常态化、规范化。借助第三方力量，贯彻落实全面预算绩效管理工作，建立全过程预算绩效管理链条，将绩效管理工作各个环节紧密贯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加强预算绩效目标编制的培训学习，财政部《中央部门项目支出核心绩效目标和指标设臵及取值指引（试行）》（财预〔2021〕101号）、《自治区分行业分领域共性项目绩效指标体系（2021年度）》、2021年9月3日自治区财政厅绩效评价中心下发的《关于2022年度部门预算项目支出绩效目标设置及审核要求的提示通知》，提高绩效目标编制质量，确保绩效目标“够得着、能实现”。通过强化专业培训，学习考察、交流业务等措施，帮助和推进我单位现有人员提高绩效管理业务水平、实际工作能力。强化预算绩效管理工作落实执行，指定专人负责单位预算绩效管理监督，进一步推进预算绩效管理工作。</w:t>
      </w:r>
    </w:p>
    <w:p w14:paraId="3EF7FD46">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159E916E">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196B718">
      <w:pPr>
        <w:spacing w:line="540" w:lineRule="exact"/>
        <w:ind w:firstLine="567"/>
        <w:rPr>
          <w:rStyle w:val="19"/>
          <w:rFonts w:ascii="仿宋" w:hAnsi="仿宋" w:eastAsia="仿宋"/>
          <w:b w:val="0"/>
          <w:spacing w:val="-4"/>
          <w:sz w:val="32"/>
          <w:szCs w:val="32"/>
        </w:rPr>
      </w:pPr>
    </w:p>
    <w:p w14:paraId="5DB624D5">
      <w:pPr>
        <w:spacing w:line="540" w:lineRule="exact"/>
        <w:ind w:firstLine="567"/>
        <w:rPr>
          <w:rStyle w:val="19"/>
          <w:rFonts w:ascii="仿宋" w:hAnsi="仿宋" w:eastAsia="仿宋"/>
          <w:b w:val="0"/>
          <w:spacing w:val="-4"/>
          <w:sz w:val="32"/>
          <w:szCs w:val="32"/>
        </w:rPr>
      </w:pPr>
    </w:p>
    <w:p w14:paraId="520CC9FE">
      <w:pPr>
        <w:spacing w:line="540" w:lineRule="exact"/>
        <w:ind w:firstLine="567"/>
        <w:rPr>
          <w:rStyle w:val="19"/>
          <w:rFonts w:ascii="仿宋" w:hAnsi="仿宋" w:eastAsia="仿宋"/>
          <w:b w:val="0"/>
          <w:spacing w:val="-4"/>
          <w:sz w:val="32"/>
          <w:szCs w:val="32"/>
        </w:rPr>
      </w:pPr>
    </w:p>
    <w:p w14:paraId="2F00BAC2">
      <w:pPr>
        <w:spacing w:line="540" w:lineRule="exact"/>
        <w:rPr>
          <w:rStyle w:val="19"/>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ABBFDAF">
        <w:pPr>
          <w:pStyle w:val="12"/>
          <w:jc w:val="center"/>
        </w:pPr>
        <w:r>
          <w:fldChar w:fldCharType="begin"/>
        </w:r>
        <w:r>
          <w:instrText xml:space="preserve">PAGE   \* MERGEFORMAT</w:instrText>
        </w:r>
        <w:r>
          <w:fldChar w:fldCharType="separate"/>
        </w:r>
        <w:r>
          <w:rPr>
            <w:lang w:val="zh-CN"/>
          </w:rPr>
          <w:t>2</w:t>
        </w:r>
        <w:r>
          <w:fldChar w:fldCharType="end"/>
        </w:r>
      </w:p>
    </w:sdtContent>
  </w:sdt>
  <w:p w14:paraId="689C2D77">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2BC7440B"/>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8e7d7e98-fb4f-48b9-a715-3aa4f6a8dea3}">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12235</Words>
  <Characters>12966</Characters>
  <Lines>4</Lines>
  <Paragraphs>1</Paragraphs>
  <TotalTime>7</TotalTime>
  <ScaleCrop>false</ScaleCrop>
  <LinksUpToDate>false</LinksUpToDate>
  <CharactersWithSpaces>13023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来财&amp;十个晴天</cp:lastModifiedBy>
  <cp:lastPrinted>2018-12-31T10:56:00Z</cp:lastPrinted>
  <dcterms:modified xsi:type="dcterms:W3CDTF">2025-10-14T10:12:27Z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eyJoZGlkIjoiNTM1NjJiMTUwNmFhZWNlZmQwNDVjMDAxNDMwM2IwMDkiLCJ1c2VySWQiOiIzNzI2MDMzNTYifQ==</vt:lpwstr>
  </property>
</Properties>
</file>