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第五次全国经济普查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昌吉回族自治州统计局本级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昌吉回族自治州统计局本级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刘立平</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全国经济普查条例》的规定，2023年开展第五次全国经济普查，持续三年。第五次全国经济普查是一项重大国情国力普查，为了解掌握经济社会发展“家底”，科学评价经济社会发展成就，客观反映供给侧结构性改革新进展和经济发展新动能，研究制定国民经济社会发展规划，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（1）项目名称：第五次全国经济普查项目（以下简称“该项目”或“项目”）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主要目的是落实好第五次全国经济普查全面完成普查试点、单位清查、普查登记、事后质量抽查、汇总评估等各项任务，计划开展2次宣传，普查业务下县市至少指导10天，购买659台无线数据设备，开展1次保障五经普培训。项目预计2024年12月10日前完成，通过该项目的实施，提高普查资料应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实施主体：昌吉回族自治州统计局。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实施时间：本项目实施周期为2024年5月-2024年12月。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第五次全国经济普查全面完成普查试点、单位清查、普查登记、事后质量抽查、汇总评估等各项任务，取得重大成果和显著成效，已经开展五经普培训1次，五经普宣传开展2次，普查业务下县市指导10天，已经购买659台无线数据设备并验收合格，印制宣传小毛巾，通过该项目的实施，提高了普查资料应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①依照国家、自治区法律、法规、政策和自治州的统计调查计划，拟订自治州统计工作规章、制度和统计现代化建设规划，监督、检查统计法律、法规的实施。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执行国家、自治区统一的国民经济核算体系、统计指标体系和基本统计制度及国家的统计标准；组织领导和监督检查各县（市）、自治州各部门的统计和国民经济核算工作负责地区生产总值统一核算、资产负债表编制和自然资源资产负债表编制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③会同有关部门组织完成国家、自治区、自治州重大国情国力、区情区力和州情州力普查及抽样调查任务；拟订本地区各项统计计划、调查方案，审批各县（市）及自治州各部门的统计调查计划和调查方案。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组织、协调各县（市）、自治州各部门的社会经济调查；汇总、整理全州的基本统计资料；对全州国民经济、社会发展和科技进步等情况进行统计分析、统计预测和统计监督向自治州党委、人民政府及有关部门提供统计信息和咨询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⑤统一核定、管理、公布全州性的基本统计资料，定期向社会公众发布全州国民经济和社会发展情况的统计信息。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⑥建立健全和管理州、县（市）统计信息自动化系统和统计数据库体系，组织领导和管理全州统计数据库网络。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⑦积极推进统计制度方法改革，组织指导全州统计科学研究、统计业务技术教育、统计干部培训，提高全州统计工作水平。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⑧完成自治州党委、人民政府交办的其他任务。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单位内设机构：办公室（组织人事科）、综合统计科、统计执法监督科（农业农村统计科）、工业和能源资源统计科、社会统计科、统计普查中心。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本项目预算安排总额为57.97万元，资金来源为本级部门预算，其中：财政资金57.97万元，其他资金0万元，2024年实际收到预算资金58.07万元，预算资金到位率为100%。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57.97万元，预算执行率100%。本项目资金主要用于支付普查业务下县市指导差旅费7.04万元、普查业务培训费用12.37万元、印刷费5.5万元、邮电费19.11万元、委托业务费9.01万元、其他交通费4.94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第五次全国经济普查是一项重大国情国力调查，依据《经济普查条例》、《国务院关于开展第五次全国经济普查的通知》（国发【2022】22号）2024年该项目计划开展第五次全国经济普查宣传和专业培训，经常性下县市进行指导，推动全州第五次全国经济普查工作开展，通过采购无线数据设备提高普查工作质效，调查清楚我州第二产业和第三产业发展规模、布局和效益，摸清各类单位基本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“普查业务下县市指导天数（天）”指标，预期指标值为“≥10天”；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“宣传次数(次）”指标，预期指标值为“＝2次”；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“保障五经普启动仪式(次）”指标，预期指标值为“＝1次”；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“无线数据设备数量(台）”指标，预期指标值为“＝659台”；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“印刷入户登记宣传品数量(个）”指标，预期指标值为“≥10000个”；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“保障五经普培训次数(次）”指标，预期指标值为“＝1次”；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“印刷品验收合格率（%）”指标，预期指标值为“100%”；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“办公经费（万元）”指标，预期指标值为“36.59万元”；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“委托业务费（万元）”指标，预期指标值为“9.01万元”；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“培训费（万元）”指标，预期指标值为“12.37万元”；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“提高普查资料应用”指标，预期指标值为“有效提高”；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昌吉州财政支出绩效评价管理暂行办法&gt;的通知》（昌州财预〔2018〕171号）、《关于印发&lt;自治区项目支出绩效目标设置指引&gt;的通知》（新财预〔2022〕42号）文件精神，我单位针对第五次全国经济普查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此次我单位根据《财政支出绩效评价管理暂行办法》（财预〔2020〕10号）文件要求实施评价工作，本次评价对象为第五次全国经济普查项目，评价核心为项目资金、项目产出、项目效益。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40.00%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单秀娟（评价小组组长）：主要负责项目策划和监督，全面负责项目绩效评价报告的最终质量，对评价人员出具的最终报告质量进行复核，确保评估结果的客观性；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何建芳、李明燕（评价小组组员）：主要负责资料的收集，取证、数据统计分析；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章琼丹（评价小组组员）：主要负责项目报告的制定，指标的研判，数据分析及报告撰写。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已经开展五经普培训1次，五经普宣传开展2次，普查业务下县市指导10天，已经购买659台无线数据设备并验收合格，印制宣传小毛巾，通过该项目的实施，提高了普查资料应用，调查清楚我州第二产业和第三产业发展规模、布局和效益，摸清各类单位基本情况。不足之处是项目推动过程中对绩效评价的印证资料收集不够及时与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99.95分，绩效评级为“优”。综合评价结论如下：本项目共设置三级指标数量23个，实现三级指标数量23个，总体完成率为100.00%。项目决策类指标共设置6个，满分指标6个，得分率100.00%；过程管理类指标共设置5个，满分指标5个，得分率100.00%；项目产出类指标共设置11个，满分指标10个，得分率99.88%；项目效益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40.00 20.00 100.00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39.95 20.00 99.95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99.88% 100% 99.95%</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务院颁发的《国务院关于开展第五次全国经济普查的通知》（国发〔2022〕22号）中：“国务院第五次全国经济普查领导小组办公室设在国家统计局，负责普查的具体实施和协调，各成员单位要按照各自职能，各负其责、通力协作、密切配合、信息共享”，符合行业发展规划和政策要求；本项目立项符合《昌吉回族自治州统计局职能配置内设机构和人员编制规定》中职责范围中的“会同有关部门组织完成国家、自治区、自治州重大国情国力、区情区力和州情州力普查及抽样调查任务”，属于我单位履职所需；根据《财政资金直接支付申请书》，本项目资金性质为“公共财政预算”功能分类为“专项普查活动”经济分类为“办公经费”“委托业务费”“培训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国务院关于开展第五次全国经济普查的通知》（国发〔2022〕22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该项目计划开展2次宣传，普查业务下县市至少指导10天，购买659台无线数据设备，开展1次保障五经普培训。项目预计2024年12月10日前完成，通过该项目的实施，提高普查资料应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开展五经普培训，五经普宣传开展，普查业务下县市指导，购买无线数据设备，印制宣传小毛巾，通过该项目的实施，提高普查资料应用。绩效目标与实际工作内容一致，两者具有相关性。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五经普培训1次，五经普宣传2次，普查业务下县市指导10天，购买659台无线数据设备并验收合格，印制宣传小毛巾，达到提高了普查资料应用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④该项目批复的预算金额为58.07万元，《项目支出绩效目标表》中预算金额为58.07万元，预算确定的项目资金与预算确定的项目投资额相匹配。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12个，定量指标10个，定性指标2个，指标量化率为83.33%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普查业务下县市指导天数（天）”、“宣传次数(次）”、“保障五经普启动仪式(次）”“无线数据设备数量(台）”“印刷入户登记宣传品数量(个）”“保障五经普培训次数(次）”，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计划开展2次宣传，普查业务下县市至少指导10天，购买659台无线数据设备，开展1次保障五经普培训。项目预计2024年12月10日前完成，通过该项目的实施，提高普查资料应用。项目实际内容为开展五经普培训1次，五经普宣传开展2次，普查业务下县市指导10天，已经购买659台无线数据设备并验收合格，印制宣传小毛巾，通过该项目的实施，提高了普查资料应用，预算申请与《第五次全国经济普查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58.07万元，我单位在预算申请中严格按照项目实施内容及测算标准进行核算，其中：办公经费36.7万元、委托业务费费用9万元、培训费用12.37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第五次全国经济普查经费纳入2023年财政预算的请示》和《昌吉回族自治州人民政府关于做好我州第五次全国经济普查的通知》为依据进行资金分配，预算资金分配依据充分。根据《关于批复昌吉州本级2024年部门预算的通知》（昌州财预〔2024〕2号），本项目实际到位资金58.07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本项目预算资金为58.07万元，其中：财政安排资金58.07万元，其他资金0万元，实际到位资金58.07万元，资金到位率100%。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本项目实际支出资金57.97万元，预算执行率99.83%；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统计局预算管理内部控制制度》《昌吉州统计局收支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统计局预算管理内部控制制度》》《昌吉州统计局收支管理制度》《昌吉州统计局政府采购业务管理制度》《昌吉州统计局合同管理内部控制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统计局预算管理内部控制制度》《昌吉州统计局收支管理制度》《昌吉州统计局政府采购业务管理制度》《昌吉州统计局合同管理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第五次全国经济普查项目工作领导小组，由刘立平任组长，负责项目的组织工作；贠劲春任副组长，负责项目的实施工作；组员包括：海哲颖和张佳伟，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项目产出类指标由4个二级指标和11个三级指标构成，权重分40.00分，实际得分39.95分。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“普查业务下县市指导天数（天）”指标：预期指标值为“≥10天”，实际完成指标值为“=10天”，指标完成率为100.00%。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“宣传次数(次）”指标：预期指标值为“＝2次”，实际完成指标值为“＝2次”，指标完成率为100%。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“保障五经普启动仪式(次）”指标：预期指标值为“＝1次”，实际完成指标值为“＝1次”，指标完成率为100%。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“无线数据设备数量(台）”指标：预期指标值为“＝659台”，实际完成指标值为“＝659台”，指标完成率为100%。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“印刷入户登记宣传品数量(个）”指标：预期指标值为““≥10000个”，实际完成指标值为“＝10001个”，指标完成率为100.01%。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综上所述，本指标满分为5.00分，根据评分标准得4.95分。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“保障五经普培训次数(次）”指标：预期指标值为“＝1次”，实际完成指标值为“＝1次”，指标完成率为100%。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“印刷品验收合格率（%）”指标：预期指标值为“100%”，实际完成指标值为“100%”，指标完成率为100%。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“项目完成时间”指标：预期指标值为“2024年12月10日前”，实际完成指标值为“2024年12月10日”，指标完成率为100%。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“办公经费（万元）”指标：预期指标值为“36.59万元”，实际完成指标值为“36.59万元”，指标完成率为100%。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综上所述，本指标满分为9.00分，根据评分标准得9.00分。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“委托业务费（万元）”指标：预期指标值为“9.01万元”，实际完成指标值为“9.01万元”，指标完成率为100%。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“培训费（万元）”指标：预期指标值为“12.37万元”，实际完成指标值为“12.37万元”，指标完成率为100%。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“提高普查资料应用”指标：预期指标值为“有效提高”，实际完成指标值为“达到预期指标”，指标完成率为100.00%。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无此类指标。预算执行进度与绩效指标偏差,本项目年初预算资金总额为58.07万元，全年预算数为57.97万元，全年执行数为57.97万元，预算执行率为100%。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本项目共设置三级指标数量23个，满分指标数量22个，扣分指标数量1个，经分析计算所有三级指标完成率得出，本项目总体完成率为100.00%。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在实际工作中，项目的绩效目标设定过于笼统，缺乏具体的量化指标，未能明确具体的衡量标准和实现路径。这种模糊性导致在年中绩效监控时难以准确评估进展，不得不频繁调整目标，影响了预算的刚性约束。此外，由于缺乏科学的绩效评价体系，部门目标脱离了实际业务需求，进一步加剧了执行中的偏差。绩效管理意识薄弱，缺乏专业的绩效目标设定方法和工具，亟需通过系统培训和制度建设加以改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在绩效监控过程中，5月和8月阶段性检查发现部分项目进展滞后，资金支出率不够，反映出项目执行初期规划不足，尽管年终执行完成了任务，但是这种“前松后紧”的模式暴露了预算编制与执行脱节的问题。具体表现为：预算编制时未充分考虑项目周期、资源调配等实际因素，监控环节也缺乏动态调整机制。深层次原因在于预算管理仍停留在“重分配轻管理”阶段，精细化程度不足，需通过优化流程和加强信息化手段提升管理水平。</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加强对绩效的管理培训工作，结合实际案例指导业务部门如何将抽象目标转化为量化目标，同时建立绩效指标模板库，涵盖共性指标和个性指标，供各部门参考使用。此外，需要完善预算绩效管理制度，明确绩效目标申报、审核、调整的流程，并将绩效结果与预算安排挂钩，形成闭环管理。通过以上措施，逐步实现绩效目标从“模糊定性”到“精准定量”的转变，推动预算管理向科学化、精细化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加大绩效工作宣传力度，通过多种渠道宣传绩效管理的重要性，针对业务人员，应设计分层培训计划；更管理层这种绩效理念与决策能力的提升，对执行层侧重实操技能培训，如如何填报绩效报表、如何分析监控数据等、培训形式可多样化，包括线上课程、工作座谈、跨部门交流等。同时，将绩效管理能力纳入岗位考核体系，激励干部主动学习。此外，可建立“绩效联络员”机制，由各部门选派骨干参与绩效管理工作，通过“以点带面”的方式推动整体水平。最终目标是让绩效理念深入人心，形成“花钱必问效、无效必问责”的管理文化。</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