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昌吉州2023年第一批州级预算内投资（前期费）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昌吉回族自治州博物馆（昌吉回族自治州文物保护研究所）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昌吉回族自治州博物馆（昌吉回族自治州文物保护研究所）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阿依古丽·夏热甫汗</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2025年06月11日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本级现在存在昌吉州博物馆建于1994年，已有27年历史。博物馆自落成开放以来，共接待观众150多万人次，为丰富市民的文化生活，宣传昌吉，推介昌吉发挥了积极的作用，同时为保护好、管理好、利用好昌吉州丰富的文物资源作出了重要贡献，并获得“自治区级爱国主义教育基地”荣誉称号，成绩斐然。但是博物馆事业在软硬件建设上，还有很多欠缺。基本上都面临着馆舍老化、展厅面积局促、库房条件不达标、设备陈旧、展览形式落后等问题。而且随着中国经济的快速增长、财富的日愈累积和国民素质的提高，传统博物馆所具有的收藏、保护、研究、陈列展示、宣传教育等功能，已经不能满足公众的文化需求现状，根据《中华人民共和国文物保护法》、文化和旅游部关于印发《“十四五”文化产业发展规划》、国务院《关于加强文化遗产保护工作的通知》、第三次中央新疆工作座谈会精神、《博物馆建筑设计规范》(JGJ66-2015)、《自治区推进博物馆改革发展的实施方案》、关于印发《昌吉州落实新疆维吾尔自治区十四五文物保护和科技创新规划工作方案》的通知、《关于印发《昌吉州推进博物馆改革发展的实施方案》的通知》政策文件，为了提高保护文物的水平，统筹好文物保护与经济社会发展，全面贯彻“保护为主、抢救第一、合理利用、加强管理”的工作方针，切实加大文物保护力度，推进文物合理适度利用，使文物保护成果更多惠及人民群众，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（1）项目名称：昌吉州2023年第一批州级预算内投资（前期费）项目（以下简称“该项目”或“项目”）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用于编制昌吉州市博物馆整合提升及陈列布展工程项目设计方案，主要设计建设内容及规模为工程总建筑面积14526平方米，包括展厅、公共区域、文物库房及室内安防、消防等设施及室外景观、停车场等附属设施提升改造的方案。该项目建成后，有利于深入实施“文化润疆”工程，为昌吉州市博物馆加强研究、举办展览、开展交流提供更为广阔的平台，使得博物馆的功能得以最大限度的延伸和发挥，有利于文化产业的全面发展，利于民族素质的有效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实施主体：昌吉州文博院（博物馆、北庭研究院）。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实施时间：本项目实施周期为2024年1月1日-2024年12月31日。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昌吉州市博物馆整合提升及陈列布展项目是2022年2月州党委会议确定的文化润疆重点工程，也是二十大献礼工程，2022年4月19日州文博院委托新疆智诚禾嘉工程咨询有限公司编制项目可研报告，5月9日，《昌吉州市博物馆整合提升及陈列布展项目可行性研究报告》（项目代建书）获得州发改委批复通过，在项目总投资估算表中列明，设计费为128.95万元（国家计委、建设部计价格[2002]10号 按内插法计算），图纸审查费3.32万元（国家计委、建设部计价格[2002]10号），合计132.27万元。经招标办审核后，2022年5月20日在昌吉州公共资源交易网上发布《昌吉州市博物馆整合提升及陈列布展工程项目招标公告》，2022年6月9日该项目在昌吉州公共资源交易大厅开标，通过昌吉州政务服务和公共资源交易管理局公开招标，确定疆凌云设计工程有限公司为设计方案编制单位，合同（中标）价131.8万元。已完成前期费支持内容，成果文件为《昌吉州市博物馆整合提升及陈列布展工程项目设计方案》，已通过专家验收，已支付资金131.8万元、支付率100%。高质量完成了该项目前期工作，为获得昌吉州本级资金支持提供前期工作经费保障。项目建成后，有利于深入实施“文化润疆”工程，为昌吉州市博物馆加强研究、举办展览、开展交流提供更为广阔的平台，使得博物馆的功能得以最大限度的延伸和发挥，有利于文化产业的全面发展，利于民族素质的有效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①贯彻执行党和国家有关文物博物的法律法规和方针政策，承担全州文物博物事业发展规划及实施。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②承担全州文物和标本的调查征集、收藏保管、保护维修、研究利用；指导全州博物馆业务工作；配合做好考古发掘工作。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③承担全州文物科技保护工作和技术支持和保护材料、馆藏文物修复技术的研究等工作；负责文物资源数据库建设、文物数字化，文博院互联网信息平台建设、运维。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④承担文创研发、文物展陈以及文博领域的宣传、推广和教育实践活动的组织开展。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⑤统筹北庭历史文化研究和相关学术交流活动。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⑥完成昌吉州党委、昌吉州人民政府交办的其他工作。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昌吉回族自治州文博院（昌吉回族自治州博物馆、北庭研究院）单位无下属预算单位，下设5个科室，分别是：办公室（组织人事科）、展陈部、保管部、文物保护研究部、北庭研究部。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本项目预算安排总额为130.00万元，资金来源为本级部门预算，其中：财政资金130.00万元，其他资金0.00万元，2024年实际收到预算资金130.00万元，预算资金到位率为100.00%。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截至2024年12月31日，本项目实际支付资金130.00万元，预算执行率100.00%。本项目资金主要用于支付设计费用130.00万元。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该项目实际完成州市博物馆整合提升改造项目设计方案一个，专家验收合格率为100%，投资计划分解转发时间在10个工作日内，项目前期设计经费支出130万元，完成项目前期工作；通过该项目的实施，提升了推进重点项目建设的能力，促进经济持续健康发展，对社会公众影响力有重大提升，项目实施单位满意度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“完成设计数”指标，预期指标值为“=1批”；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“专家验收合格率”指标，预期指标值为“=100%”；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“时效投资设计分解（转发）用时”指标，预期指标值为“≤10个工作日”；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“项目前期设计经费”指标，预期指标值为“≤130万元”；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“推进重点项目建设，研究成果为经济社会社会发展提供决策参考”指标，预期指标值为“作用明显”；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“对社会公众影响力”指标，预期指标值为“提升”；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“项目实施单位满意度”指标，预期指标值为“≥90%”。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州财政支出绩效评价管理暂行办法&gt;的通知》（昌州财预【2018】171号）、《关于印发&lt;自治区项目支出绩效目标设置指引&gt;的通知》（新财预〔2022〕42号）文件精神，我单位针对昌吉州2023年第一批州级预算内投资（前期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昌吉州2023年第一批州级预算内投资（前期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马生岩（评价小组组长）：主要负责项目策划和监督，全面负责项目绩效评价报告的最终质量，对评价人员出具的最终报告质量进行复核，确保评估结果的客观性；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路提朴拉·亚生（评价小组组员）：主要负责资料的收集，取证、数据统计分析；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高东（评价小组组员）：主要负责项目报告的制定，指标的研判，数据分析及报告撰写。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-2月28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2025年3月1日-3月6日，评价小组按照绩效评价的原则和规范，对取得的资料进行审查核实，对采集的数据进行分析，按照绩效评价指标评分表逐项进行打分、分析、汇总各方评价结果。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2025年3月7日-3月15日，评价小组撰写绩效评价报告，按照新疆维吾尔自治区财政绩效管理信息系统绩效评价模块中统一格式和文本框架撰写绩效评价报告并提交审核。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完成了州市博物馆整合提升改造项目设计方案一个，通过该项目的实施，提升了推进重点项目建设的能力，促进经济持续健康发展，对社会公众影响力有重大提升，项目实施单位满意度为100%产出目标，发挥了提高展示历史，提高国民素质，推动经济社会的可持续发展。博物馆作为文化机构，承担着传播社会主义先进文化，推进学习型社会建设的职责。为经济建设提供了知识保障和智力支持，支持着一个区域的可持续发展效益。但在实施过程中也存在一些不足：需求匹配度不足。部分展厅设计未能完全满足用户（尤其是青少年群体）的互动需求，青少年参观高峰时段出现排队现象，而部分静态展柜因缺乏互动设计，观众停留时间不足30秒。导致数字化展项使用率低于预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100.00%。项目决策类指标共设置6个，满分指标6个，得分率100.00%；过程管理类指标共设置5个，满分指标5个，得分率100.00%；项目产出类指标共设置4个，满分指标4个，得分率100.00%；项目效益类指标共设置2个，满分指标2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100.00% 100.00% 100.00%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自治区文化和旅游厅（文物局）颁发的《自治区推进博物馆改革发展的实施方案》中：“（八）提升保护能力。健全博物馆藏品登录机制，推动自治区各类博物馆数字资源接入新疆基础教育资源公共服务平台，实现博物馆藏品数字化。继续实施馆藏珍贵纺织品、纸质文书、壁画、彩绘泥塑、金属文物保护修复项目。强化预防性保护，提升地市级以上博物馆藏品保存环境监测、微环境控制、分析检测等能力，加大县市级博物馆库房、展厅预防性保护建设力度。”；本项目立项符合《关于印发《昌吉州推进博物馆改革发展的实施方案》的通知》中：“（三）总体目标。“十四五”期间，一是加强博物馆建设，完成州市博物馆整合布展提升工作，争创国家等级博物馆2家；二是积极开展布展提升和预防性保护项目，全州博物馆展陈整体得到提升，馆藏文物得到有效保护；三是加强文物藏品征集工作，州博物馆每年不少于100件、县市博物馆不少于20件，不断丰富博物馆藏品，为文物展览做好储备；四是推动博物馆文物研究阐释工作，不断发掘文物内涵，提升博物馆影响力；五是主题博物馆、特色博物馆、博物馆数字化建设取得进展，全州各类博物馆总数突破15家以上；六是文创产品研发取得实效，文物对外交流合作得到拓展，全州博物馆公共文化服务水平显著提升；七是推进文旅融合，各级博物馆积极发挥研学示范作用，争创A级景区，博物馆在经济社会发展中的重要作用得到发挥。”内容，符合行业发展规划和政策要求；本项目立项符合《昌吉州文博院单位配置内设机构和人员编制规定》中职责范围中的“（四）负责文物保护的科学研究、宣传教育工作，组织开展全州文物保护利用技术、保护材料、文物资源规划、馆藏文物修复技术的研究和学术交流；负责文物资源数据库建设、文物数字化建设、管理和运行维护。”，属于我单位履职所需；根据《财政资金直接支付申请书》，本项目资金性质为“公共财政预算”功能分类为“博物馆”经济分类为“委托业务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根据《关于印发&lt;昌吉州推进博物馆改革发展的实施方案&gt;的通知》（昌州文体广旅〔2022〕112号）文件要求，我单位上报《关于上报昌吉州市博物馆整合提升机陈列布展工程初步设计的请示》，经昌吉州发展和改革委员会审核，下发《昌吉州市博物馆整合提升机陈列布展工程项目初步设计的批复》（昌州发改项目[2022]17号）批复文件，本项目正式设立。经查看，该项目立项过程产生的相关文件，符合相关要求。本项目为基础建设类项目，属于经常性项目，不涉及事前绩效评估和风险评估，已委托新疆智诚禾嘉工程咨询有限公司编制《昌吉州市博物馆整合提升及陈列布展工程项目可行性研究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①该项目已设置年度绩效目标，具体内容为“根据项目确定的建设目标、建设内容，建设规模、建设进度组织实施，完成项目前期工作，推进重点项目建设，促进经济持续健康发展。”。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②该项目实际工作内容为：完成州市博物馆整合提升改造项目设计方案一批，绩效目标与实际工作内容一致，两者具有相关性。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州市博物馆整合提升改造项目设计方案一批，专家验收合格率为100%，投资计划分解转发时间在10个工作日内，项目前期设计经费支出130万元，完成项目前期工作；达到提升了推进重点项目建设的能力，促进经济持续健康发展，对社会公众影响力有重大提升，项目实施单位满意度为100%效益，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④该项目批复的预算金额为130.00万元，《项目支出绩效目标表》中预算金额为130.00万元，预算确定的项目资金与预算确定的项目投资额相匹配。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7个，定量指标5个，定性指标2个，指标量化率为71.43%，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完成设计数=1批”，三级指标的年度指标值与年度绩效目标中任务数一致，已设置时效指标“时效投资计划分解（转发）用时≤10个工作日”。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本项目预算编制通过进行初步设计，按设计概算编制本项目预算，即预算编制较科学且经过论证；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预算申请内容为完成州市博物馆整合提升改造项目设计方案一批，项目实际内容为完成州市博物馆整合提升改造项目设计方案一个，预算申请与《州市博物馆整合提升改造项目实施方案》中涉及的项目内容匹配；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130.00万元，我单位在预算申请中严格按照项目实施内容及测算标准进行核算，其中：设计费用130.00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昌吉州博物馆整合提升机陈列布展工程初步设计项目资金的请示》和《昌吉州博物馆新馆可行性报告》为依据进行资金分配，预算资金分配依据充分。根据《关于下达昌吉州2023年第一批州级预算内投资的通知》（昌州财建〔2023〕119号），本项目实际到位资金130.00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本项目预算资金为130.00万元，其中：财政安排资金130.00万元，其他资金0.00万元，实际到位资金130.00万元，资金到位率=（130.00/130.00）×100.00%=100.00%。得分=（100.00%-60.00%）/（1-60.00%）×4.00=4.00分。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本项目实际支出资金130.00万元，预算执行率=（130.00/130.00）×100.00%=100.00%；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项目已完成，总体完成率为101.59%；项目完成，即总体目标完成率≥100.0%且90.0%≤执行率≤100.0%，得满分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州文博院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州文博院财务管理办法》《州文博院收支业务管理制度》《州文博院政府采购制度》《州文博院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州文博院财务管理办法》《州文博院收支业务管理制度》《州文博院政府采购制度》《州文博院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昌吉州2023年第一批州级预算内投资（前期费）项目工作领导小组，由阿依古丽·夏热甫汗任组长，负责项目的组织工作；组员包括：王长锋和李晓鹤，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项目产出类指标由4个二级指标和4个三级指标构成，权重分30.00分，实际得分30.00分。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“完成设计数”指标：预期指标值为“=1批”，实际完成指标值为“=1”，指标完成率为100.00%。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“专家验收合格率”指标：预期指标值为“=100%”，实际完成指标值为“=100%”，指标完成率为100.00%。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“时效投资计划分解（转发）用时”指标：预期指标值为“≤10个工作日”，实际完成指标值为“=10个工作日”，指标完成率为100.00%。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“项目前期设计经费”指标：预期指标值为“≤130万元”，实际完成指标值为“=130万元”，指标完成率为100.00%。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项目效益类指标由3个二级指标和2个三级指标构成，权重分20.00分，实际得分20.00分。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“推进重点项目建设，研究成果为经济社会社会发展提供决策参考”指标：预期指标值为“作用明显”，实际完成指标值为“作用明显”，指标完成率为100.00%。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“对社会公众影响力”指标：预期指标值为“提升”，实际完成指标值为“提升”，指标完成率为100.00%。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“项目实施单位满意度”指标：预期指标值为“≥90%”，实际完成指标值为“=100%”，指标完成率为111.11%。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本项目年初预算资金总额为130.00万元，全年预算数为130.00万元，全年执行数为130.00万元，预算执行率为100.00%。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本项目共设置三级指标数量18个，满分指标数量18个，扣分指标数量0个，经分析计算所有三级指标完成率得出，本项目总体完成率为100.62%。</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综上所述本项目预算执行率与总体完成率之间的偏差为0.62%。偏差原因：年初设置的满意度指标值较为≥90%，本年度实际完成情况较好，满意度业绩值为100%，故产生此偏差。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 前期调研充分化。通过问卷调查、座谈会、实地观察等方式，收集公众对展陈内容、互动体验、公共服务设施的改进需求。例如，针对青少年群体，增加科技互动展项占比；针对老年群体，优化无障碍设施设计。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 目标分层管理。完成展厅改造与数字化设备部署，确保项目按时交付。提升博物馆年接待量至20万人次，打造区域文化地标。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3.严格监督与风险预控。制定甘特图，明确各阶段任务与时间节点，确保设计、施工、验收无缝衔接。引入第三方监理机构，对施工材料、设备安装、系统调试进行全程监督，确保工程质量达标。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1.存在问题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1）当前的展厅设计存在需求匹配度不足的问题。特别是在满足特定用户群体，如青少年的互动需求方面，表现得并不充分。在青少年参观的高峰时段，我们观察到了明显的排队现象，这表明现有的互动设施无法充分应对高流量的需求。与此同时，一些静态展柜由于缺乏足够的互动元素，导致观众的停留时间非常短暂，通常不足30秒。这种短暂的停留时间直接影响了数字化展项的使用率，使其低于我们最初的预期。为了提升参观体验并增加展项的吸引力，我们需要对展厅设计进行改进，特别是在增加互动性方面下更多的功夫，以确保能够更好地满足不同年龄层观众的需求。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目前，我们已经遇到了供应商履约延迟的状况。具体来说，由于数字化设备供应商在供应链环节遭遇了不可预见的困难，这直接导致了原本计划中的设备交付时间被推迟了整整10天。这一延迟的情况已经对部分期待中的观众造成了实际的影响，他们反馈表示，由于设备未能及时到位，他们无法享受到原本承诺的实时语音讲解服务。显然，这种服务的缺失对整体的调试工作产生了不利的影响，进而可能影响到观众的体验和满意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进行需求调研的过程中，我们发现存在深度不足的问题。在前期的用户调研阶段，主要采用了问卷调查的方式，这种方式虽然能够收集到一定量的数据，但未能充分深入地观察和理解青少年群体的行为习惯。例如，我们未能详细分析他们在使用产品时的停留时长、互动偏好等关键行为指标。此外，在进行需求分析时，我们未能有效地结合用户画像和行为数据，这导致了设计目标与青少年用户的实际需求之间出现了脱节。为了改进这一状况，我们需要采取更加多元化的调研方法，比如进行实地观察、深度访谈等，以便更准确地捕捉到青少年用户的实际需求和行为特点，从而确保我们的设计目标能够更好地满足用户的实际需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当前的供应商管理机制存在明显的缺失。具体来说，在合同的制定过程中，并没有明确地包含有关供应链风险的条款，这导致在发生供应链中断或其他相关风险时，缺乏必要的应对措施和法律依据。此外，对于供应商的评估体系也不够完善，主要集中在价格和资质这两个方面，而没有充分考虑到供应链的稳定性以及供应商在紧急情况下的响应能力。这种做法可能会在供应链出现问题时，导致企业面临较大的风险和损失，因为没有提前要求供应商提供备选方案或应急计划，使得企业在面对突发状况时缺乏足够的准备和灵活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（一）优化需求调研方法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了更好地满足青少年用户群体的需求，我们计划引入一系列先进的用户行为分析工具，例如热力图和停留时长监测技术。这些工具将帮助我们深入了解用户在互动展项中的行为模式和偏好。通过分析用户在展项中的点击热力图，我们可以识别出哪些区域最吸引用户的注意力，而通过监测用户在各个展项上的停留时长，我们可以评估用户对不同互动内容的兴趣程度。此外，我们还将积极寻求青少年教育专家的专业意见，以便更精准地细化互动展项的设计，确保内容既有趣又富有教育意义。通过这些综合措施，我们期望将青少年群体对互动展项的使用率从现有的60%显著提升至80%，从而更好地满足他们的学习和娱乐需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（二）完善供应商管理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为了确保供应链的稳定性和可靠性，我们计划在合同中增加专门针对供应链风险的条款。这些条款将要求供应商提供一个或多个备选供应链方案，以便在主要供应链出现问题时能够迅速切换，保证生产和供货的连续性。此外，我们还将收取一定金额的履约保证金，以此作为供应商履行合同义务的经济保障。通过这些措施，我们期望能够显著降低供应商履约延迟率，将目前的10%降低至5%以内，从而提高整个供应链的效率和响应速度。</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