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88BFAE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昌吉回族自治州文化市场综合执法队</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F489DBA">
      <w:r>
        <w:br w:type="page"/>
      </w:r>
    </w:p>
    <w:p w14:paraId="3417026F">
      <w:pPr>
        <w:spacing w:line="640" w:lineRule="exact"/>
        <w:jc w:val="center"/>
        <w:outlineLvl w:val="1"/>
      </w:pPr>
      <w:r>
        <w:rPr>
          <w:rFonts w:ascii="黑体" w:hAnsi="黑体" w:eastAsia="黑体"/>
          <w:sz w:val="32"/>
        </w:rPr>
        <w:t>第一部分 单位概况</w:t>
      </w:r>
    </w:p>
    <w:p w14:paraId="7655A03E">
      <w:pPr>
        <w:spacing w:line="640" w:lineRule="exact"/>
        <w:ind w:firstLine="640"/>
        <w:jc w:val="both"/>
        <w:outlineLvl w:val="2"/>
      </w:pPr>
      <w:r>
        <w:rPr>
          <w:rFonts w:ascii="黑体" w:hAnsi="黑体" w:eastAsia="黑体"/>
          <w:sz w:val="32"/>
        </w:rPr>
        <w:t>一、主要职能</w:t>
      </w:r>
    </w:p>
    <w:p w14:paraId="35FCFB64">
      <w:pPr>
        <w:spacing w:line="580" w:lineRule="exact"/>
        <w:ind w:firstLine="640"/>
        <w:jc w:val="both"/>
      </w:pPr>
      <w:r>
        <w:rPr>
          <w:rFonts w:ascii="仿宋_GB2312" w:hAnsi="仿宋_GB2312" w:eastAsia="仿宋_GB2312"/>
          <w:sz w:val="32"/>
        </w:rPr>
        <w:t>将自治州文化体育</w:t>
      </w:r>
      <w:r>
        <w:rPr>
          <w:rFonts w:hint="eastAsia" w:ascii="仿宋_GB2312" w:hAnsi="仿宋_GB2312" w:eastAsia="仿宋_GB2312"/>
          <w:sz w:val="32"/>
          <w:lang w:eastAsia="zh-CN"/>
        </w:rPr>
        <w:t>广播电视局</w:t>
      </w:r>
      <w:r>
        <w:rPr>
          <w:rFonts w:ascii="仿宋_GB2312" w:hAnsi="仿宋_GB2312" w:eastAsia="仿宋_GB2312"/>
          <w:sz w:val="32"/>
        </w:rPr>
        <w:t>（新闻出版局［版权局］）执法支队的职责、自治州旅游执法支队（自治州旅游质量监督管理所）的职责以及自治州文化市场管理领导小组办公室有关职责整合，组建自治州文化市场综合执法队，机构规格为副处级。自治州文化市场综合执法队由自治州文化体育广播电视和旅游局负责管理，并以自治州文化体育广播电视和旅游局的名义实施执法。统一行使文化、文物、出版、广播电视、电影、旅游市场行政执法职责。</w:t>
      </w:r>
    </w:p>
    <w:p w14:paraId="7E167599">
      <w:pPr>
        <w:spacing w:line="640" w:lineRule="exact"/>
        <w:ind w:firstLine="640"/>
        <w:jc w:val="both"/>
        <w:outlineLvl w:val="2"/>
      </w:pPr>
      <w:r>
        <w:rPr>
          <w:rFonts w:ascii="黑体" w:hAnsi="黑体" w:eastAsia="黑体"/>
          <w:sz w:val="32"/>
        </w:rPr>
        <w:t>二、机构设置及人员情况</w:t>
      </w:r>
    </w:p>
    <w:p w14:paraId="6A211608">
      <w:pPr>
        <w:spacing w:line="580" w:lineRule="exact"/>
        <w:ind w:firstLine="640"/>
        <w:jc w:val="both"/>
      </w:pPr>
      <w:r>
        <w:rPr>
          <w:rFonts w:ascii="仿宋_GB2312" w:hAnsi="仿宋_GB2312" w:eastAsia="仿宋_GB2312"/>
          <w:sz w:val="32"/>
        </w:rPr>
        <w:t>昌吉回族自治州文化市场综合执法队2024年度，实有人数20人，其中：在职人员17人，增加1人；离休人员0人，增加0人；退休人员3人,增加1人。</w:t>
      </w:r>
    </w:p>
    <w:p w14:paraId="00101C02">
      <w:pPr>
        <w:spacing w:line="580" w:lineRule="exact"/>
        <w:ind w:firstLine="640"/>
        <w:jc w:val="both"/>
      </w:pPr>
      <w:r>
        <w:rPr>
          <w:rFonts w:ascii="仿宋_GB2312" w:hAnsi="仿宋_GB2312" w:eastAsia="仿宋_GB2312"/>
          <w:sz w:val="32"/>
        </w:rPr>
        <w:t>昌吉回族自治州文化市场综合执法队无下属预算单位，下设4个科室，分别是：文化体育执法科、文物广播电视执法科、新闻出版（版权）执法科、旅游执法科。</w:t>
      </w:r>
    </w:p>
    <w:p w14:paraId="50F761C0">
      <w:r>
        <w:br w:type="page"/>
      </w:r>
    </w:p>
    <w:p w14:paraId="51105A06">
      <w:pPr>
        <w:spacing w:line="240" w:lineRule="auto"/>
        <w:jc w:val="center"/>
        <w:outlineLvl w:val="1"/>
      </w:pPr>
      <w:r>
        <w:rPr>
          <w:rFonts w:ascii="黑体" w:hAnsi="黑体" w:eastAsia="黑体"/>
          <w:sz w:val="32"/>
        </w:rPr>
        <w:t>第二部分 部门决算情况说明</w:t>
      </w:r>
    </w:p>
    <w:p w14:paraId="1BB9B561">
      <w:pPr>
        <w:spacing w:line="640" w:lineRule="exact"/>
        <w:ind w:firstLine="640"/>
        <w:jc w:val="both"/>
        <w:outlineLvl w:val="2"/>
      </w:pPr>
      <w:r>
        <w:rPr>
          <w:rFonts w:ascii="黑体" w:hAnsi="黑体" w:eastAsia="黑体"/>
          <w:sz w:val="32"/>
        </w:rPr>
        <w:t>一、收入支出决算总体情况说明</w:t>
      </w:r>
    </w:p>
    <w:p w14:paraId="100518E9">
      <w:pPr>
        <w:spacing w:line="580" w:lineRule="exact"/>
        <w:ind w:firstLine="640"/>
        <w:jc w:val="both"/>
      </w:pPr>
      <w:r>
        <w:rPr>
          <w:rFonts w:ascii="仿宋_GB2312" w:hAnsi="仿宋_GB2312" w:eastAsia="仿宋_GB2312"/>
          <w:b/>
          <w:sz w:val="32"/>
        </w:rPr>
        <w:t>2024年度收入总计424.26万元，</w:t>
      </w:r>
      <w:r>
        <w:rPr>
          <w:rFonts w:ascii="仿宋_GB2312" w:hAnsi="仿宋_GB2312" w:eastAsia="仿宋_GB2312"/>
          <w:b w:val="0"/>
          <w:sz w:val="32"/>
        </w:rPr>
        <w:t>其中：本年收入合计419.69万元，使用非财政拨款结余（含专用结余）0.00万元，年初结转和结余4.56万元。</w:t>
      </w:r>
    </w:p>
    <w:p w14:paraId="21E76E11">
      <w:pPr>
        <w:spacing w:line="580" w:lineRule="exact"/>
        <w:ind w:firstLine="640"/>
        <w:jc w:val="both"/>
      </w:pPr>
      <w:r>
        <w:rPr>
          <w:rFonts w:ascii="仿宋_GB2312" w:hAnsi="仿宋_GB2312" w:eastAsia="仿宋_GB2312"/>
          <w:b/>
          <w:sz w:val="32"/>
        </w:rPr>
        <w:t>2024年度支出总计424.26万元，</w:t>
      </w:r>
      <w:r>
        <w:rPr>
          <w:rFonts w:ascii="仿宋_GB2312" w:hAnsi="仿宋_GB2312" w:eastAsia="仿宋_GB2312"/>
          <w:b w:val="0"/>
          <w:sz w:val="32"/>
        </w:rPr>
        <w:t>其中：本年支出合计419.69万元，结余分配0.00万元，年末结转和结余4.56万元。</w:t>
      </w:r>
    </w:p>
    <w:p w14:paraId="0B32BFF6">
      <w:pPr>
        <w:spacing w:line="580" w:lineRule="exact"/>
        <w:ind w:firstLine="640"/>
        <w:jc w:val="both"/>
      </w:pPr>
      <w:r>
        <w:rPr>
          <w:rFonts w:ascii="仿宋_GB2312" w:hAnsi="仿宋_GB2312" w:eastAsia="仿宋_GB2312"/>
          <w:b w:val="0"/>
          <w:sz w:val="32"/>
        </w:rPr>
        <w:t>收入支出总体与上年相比，增加106.36万元，增长33.46%，主要原因是：本年在职人员增加，工资调增，社保、公积金基数调增，人员经费增加；增加文化市场管理费项目资金、执法办公设备及基础设施设备项目经费。</w:t>
      </w:r>
    </w:p>
    <w:p w14:paraId="29204668">
      <w:pPr>
        <w:spacing w:line="640" w:lineRule="exact"/>
        <w:ind w:firstLine="640"/>
        <w:jc w:val="both"/>
        <w:outlineLvl w:val="2"/>
      </w:pPr>
      <w:r>
        <w:rPr>
          <w:rFonts w:ascii="黑体" w:hAnsi="黑体" w:eastAsia="黑体"/>
          <w:sz w:val="32"/>
        </w:rPr>
        <w:t>二、收入决算情况说明</w:t>
      </w:r>
    </w:p>
    <w:p w14:paraId="0CB469BE">
      <w:pPr>
        <w:spacing w:line="580" w:lineRule="exact"/>
        <w:ind w:firstLine="640"/>
        <w:jc w:val="both"/>
      </w:pPr>
      <w:r>
        <w:rPr>
          <w:rFonts w:ascii="仿宋_GB2312" w:hAnsi="仿宋_GB2312" w:eastAsia="仿宋_GB2312"/>
          <w:b/>
          <w:sz w:val="32"/>
        </w:rPr>
        <w:t>本年收入419.69万元，</w:t>
      </w:r>
      <w:r>
        <w:rPr>
          <w:rFonts w:ascii="仿宋_GB2312" w:hAnsi="仿宋_GB2312" w:eastAsia="仿宋_GB2312"/>
          <w:b w:val="0"/>
          <w:sz w:val="32"/>
        </w:rPr>
        <w:t>其中：财政拨款收入419.69万元，占100.00%；上级补助收入0.00万元，占0.00%；事业收入0.00万元，占0.00%；经营收入0.00万元，占0.00%；附属单位上缴收入0.00万元，占0.00%；其他收入0.00万元，占0.00%。</w:t>
      </w:r>
    </w:p>
    <w:p w14:paraId="07D56F8E">
      <w:pPr>
        <w:spacing w:line="640" w:lineRule="exact"/>
        <w:ind w:firstLine="640"/>
        <w:jc w:val="both"/>
        <w:outlineLvl w:val="2"/>
      </w:pPr>
      <w:r>
        <w:rPr>
          <w:rFonts w:ascii="黑体" w:hAnsi="黑体" w:eastAsia="黑体"/>
          <w:sz w:val="32"/>
        </w:rPr>
        <w:t>三、支出决算情况说明</w:t>
      </w:r>
    </w:p>
    <w:p w14:paraId="64DEF668">
      <w:pPr>
        <w:spacing w:line="580" w:lineRule="exact"/>
        <w:ind w:firstLine="640"/>
        <w:jc w:val="both"/>
      </w:pPr>
      <w:r>
        <w:rPr>
          <w:rFonts w:ascii="仿宋_GB2312" w:hAnsi="仿宋_GB2312" w:eastAsia="仿宋_GB2312"/>
          <w:b/>
          <w:sz w:val="32"/>
        </w:rPr>
        <w:t>本年支出419.69万元，</w:t>
      </w:r>
      <w:r>
        <w:rPr>
          <w:rFonts w:ascii="仿宋_GB2312" w:hAnsi="仿宋_GB2312" w:eastAsia="仿宋_GB2312"/>
          <w:b w:val="0"/>
          <w:sz w:val="32"/>
        </w:rPr>
        <w:t>其中：基本支出336.89万元，占80.27%；项目支出82.81万元，占19.73%；上缴上级支出0.00万元，占0.00%；经营支出0.00万元，占0.00%；对附属单位补助支出0.00万元，占0.00%。</w:t>
      </w:r>
    </w:p>
    <w:p w14:paraId="3C9E982F">
      <w:pPr>
        <w:spacing w:line="640" w:lineRule="exact"/>
        <w:ind w:firstLine="640"/>
        <w:jc w:val="both"/>
        <w:outlineLvl w:val="2"/>
      </w:pPr>
      <w:r>
        <w:rPr>
          <w:rFonts w:ascii="黑体" w:hAnsi="黑体" w:eastAsia="黑体"/>
          <w:sz w:val="32"/>
        </w:rPr>
        <w:t>四、财政拨款收入支出决算总体情况说明</w:t>
      </w:r>
    </w:p>
    <w:p w14:paraId="51EE0052">
      <w:pPr>
        <w:spacing w:line="580" w:lineRule="exact"/>
        <w:ind w:firstLine="640"/>
        <w:jc w:val="both"/>
      </w:pPr>
      <w:r>
        <w:rPr>
          <w:rFonts w:ascii="仿宋_GB2312" w:hAnsi="仿宋_GB2312" w:eastAsia="仿宋_GB2312"/>
          <w:b/>
          <w:sz w:val="32"/>
        </w:rPr>
        <w:t>2024年度财政拨款收入总计419.69万元，</w:t>
      </w:r>
      <w:r>
        <w:rPr>
          <w:rFonts w:ascii="仿宋_GB2312" w:hAnsi="仿宋_GB2312" w:eastAsia="仿宋_GB2312"/>
          <w:b w:val="0"/>
          <w:sz w:val="32"/>
        </w:rPr>
        <w:t>其中：年初财政拨款结转和结余0.00万元，本年财政拨款收入419.69万元。</w:t>
      </w:r>
      <w:r>
        <w:rPr>
          <w:rFonts w:ascii="仿宋_GB2312" w:hAnsi="仿宋_GB2312" w:eastAsia="仿宋_GB2312"/>
          <w:b/>
          <w:sz w:val="32"/>
        </w:rPr>
        <w:t>财政拨款支出总计419.69万元，</w:t>
      </w:r>
      <w:r>
        <w:rPr>
          <w:rFonts w:ascii="仿宋_GB2312" w:hAnsi="仿宋_GB2312" w:eastAsia="仿宋_GB2312"/>
          <w:b w:val="0"/>
          <w:sz w:val="32"/>
        </w:rPr>
        <w:t>其中：年末财政拨款结转和结余0.00万元，本年财政拨款支出419.69万元。</w:t>
      </w:r>
    </w:p>
    <w:p w14:paraId="6BEC8A5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增加106.95万元，增长34.20%，主要原因是：本年在职人员增加，工资调增，社保、公积金基数调增，人员经费增加；增加文化市场管理费项目资金、执法办公设备及基础设施设备项目经费。</w:t>
      </w:r>
      <w:r>
        <w:rPr>
          <w:rFonts w:ascii="仿宋_GB2312" w:hAnsi="仿宋_GB2312" w:eastAsia="仿宋_GB2312"/>
          <w:b/>
          <w:sz w:val="32"/>
        </w:rPr>
        <w:t>与年初预算相比，</w:t>
      </w:r>
      <w:r>
        <w:rPr>
          <w:rFonts w:ascii="仿宋_GB2312" w:hAnsi="仿宋_GB2312" w:eastAsia="仿宋_GB2312"/>
          <w:b w:val="0"/>
          <w:sz w:val="32"/>
        </w:rPr>
        <w:t>年初预算数414.11万元，决算数419.69万元，预决算差异率1.35%，主要原因是：本年在职人员增加，年中追加人员经费及人员工资、社保、公积金基数调增部分资金，导致预决算存在差异。</w:t>
      </w:r>
    </w:p>
    <w:p w14:paraId="7709BB73">
      <w:pPr>
        <w:spacing w:line="640" w:lineRule="exact"/>
        <w:ind w:firstLine="640"/>
        <w:jc w:val="both"/>
        <w:outlineLvl w:val="2"/>
      </w:pPr>
      <w:r>
        <w:rPr>
          <w:rFonts w:ascii="黑体" w:hAnsi="黑体" w:eastAsia="黑体"/>
          <w:sz w:val="32"/>
        </w:rPr>
        <w:t>五、一般公共预算财政拨款支出决算情况说明</w:t>
      </w:r>
    </w:p>
    <w:p w14:paraId="27AE803C">
      <w:pPr>
        <w:spacing w:line="640" w:lineRule="exact"/>
        <w:ind w:firstLine="640"/>
        <w:jc w:val="both"/>
        <w:outlineLvl w:val="3"/>
      </w:pPr>
      <w:r>
        <w:rPr>
          <w:rFonts w:ascii="楷体_GB2312" w:hAnsi="楷体_GB2312" w:eastAsia="楷体_GB2312"/>
          <w:b/>
          <w:sz w:val="32"/>
        </w:rPr>
        <w:t>（一）一般公共预算财政拨款支出决算总体情况</w:t>
      </w:r>
    </w:p>
    <w:p w14:paraId="5CA34001">
      <w:pPr>
        <w:spacing w:line="580" w:lineRule="exact"/>
        <w:ind w:firstLine="640"/>
        <w:jc w:val="both"/>
      </w:pPr>
      <w:r>
        <w:rPr>
          <w:rFonts w:ascii="仿宋_GB2312" w:hAnsi="仿宋_GB2312" w:eastAsia="仿宋_GB2312"/>
          <w:b/>
          <w:sz w:val="32"/>
        </w:rPr>
        <w:t>2024年度一般公共预算财政拨款支出419.69万元，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增加106.95万元，增长34.20%，主要原因是：本年在职人员增加，工资调增，社保、公积金基数调增，人员经费增加；增加文化市场管理费项目资金、执法办公设备及基础设施设备项目经费。</w:t>
      </w:r>
      <w:r>
        <w:rPr>
          <w:rFonts w:ascii="仿宋_GB2312" w:hAnsi="仿宋_GB2312" w:eastAsia="仿宋_GB2312"/>
          <w:b/>
          <w:sz w:val="32"/>
        </w:rPr>
        <w:t>与年初预算相比,</w:t>
      </w:r>
      <w:r>
        <w:rPr>
          <w:rFonts w:ascii="仿宋_GB2312" w:hAnsi="仿宋_GB2312" w:eastAsia="仿宋_GB2312"/>
          <w:b w:val="0"/>
          <w:sz w:val="32"/>
        </w:rPr>
        <w:t>年初预算数414.11万元，决算数419.69万元，预决算差异率1.35%，主要原因是：本年在职人员增加，年中追加人员经费及人员工资、社保、公积金基数调增部分资金，导致预决算存在差异。</w:t>
      </w:r>
    </w:p>
    <w:p w14:paraId="12988C65">
      <w:pPr>
        <w:spacing w:line="640" w:lineRule="exact"/>
        <w:ind w:firstLine="640"/>
        <w:jc w:val="both"/>
        <w:outlineLvl w:val="3"/>
      </w:pPr>
      <w:r>
        <w:rPr>
          <w:rFonts w:ascii="楷体_GB2312" w:hAnsi="楷体_GB2312" w:eastAsia="楷体_GB2312"/>
          <w:b/>
          <w:sz w:val="32"/>
        </w:rPr>
        <w:t>（二）一般公共预算财政拨款支出决算结构情况</w:t>
      </w:r>
    </w:p>
    <w:p w14:paraId="6143825A">
      <w:pPr>
        <w:spacing w:line="580" w:lineRule="exact"/>
        <w:ind w:firstLine="640"/>
        <w:jc w:val="both"/>
      </w:pPr>
      <w:r>
        <w:rPr>
          <w:rFonts w:ascii="仿宋_GB2312" w:hAnsi="仿宋_GB2312" w:eastAsia="仿宋_GB2312"/>
          <w:b w:val="0"/>
          <w:sz w:val="32"/>
        </w:rPr>
        <w:t>1.文化旅游体育与传媒支出(类)419.69万元,占100.00%。</w:t>
      </w:r>
    </w:p>
    <w:p w14:paraId="0EC5FA62">
      <w:pPr>
        <w:spacing w:line="640" w:lineRule="exact"/>
        <w:ind w:firstLine="640"/>
        <w:jc w:val="both"/>
        <w:outlineLvl w:val="3"/>
      </w:pPr>
      <w:r>
        <w:rPr>
          <w:rFonts w:ascii="楷体_GB2312" w:hAnsi="楷体_GB2312" w:eastAsia="楷体_GB2312"/>
          <w:b/>
          <w:sz w:val="32"/>
        </w:rPr>
        <w:t>（三）一般公共预算财政拨款支出决算具体情况</w:t>
      </w:r>
    </w:p>
    <w:p w14:paraId="1DB32E60">
      <w:pPr>
        <w:spacing w:line="580" w:lineRule="exact"/>
        <w:ind w:firstLine="640"/>
        <w:jc w:val="both"/>
      </w:pPr>
      <w:r>
        <w:rPr>
          <w:rFonts w:ascii="仿宋_GB2312" w:hAnsi="仿宋_GB2312" w:eastAsia="仿宋_GB2312"/>
          <w:b w:val="0"/>
          <w:sz w:val="32"/>
        </w:rPr>
        <w:t>1.文化旅游体育与传媒支出(类)文化和旅游(款)行政运行(项):支出决算数为336.89万元，比上年决算增加54.15万元，增长19.15%,主要原因是：本年在职人员增加，工资调增，社保、公积金基数调增，人员经费增加。</w:t>
      </w:r>
    </w:p>
    <w:p w14:paraId="10055047">
      <w:pPr>
        <w:spacing w:line="580" w:lineRule="exact"/>
        <w:ind w:firstLine="640"/>
        <w:jc w:val="both"/>
      </w:pPr>
      <w:r>
        <w:rPr>
          <w:rFonts w:ascii="仿宋_GB2312" w:hAnsi="仿宋_GB2312" w:eastAsia="仿宋_GB2312"/>
          <w:b w:val="0"/>
          <w:sz w:val="32"/>
        </w:rPr>
        <w:t>2.文化旅游体育与传媒支出(类)文化和旅游(款)文化和旅游市场管理(项):支出决算数为73.21万元，比上年决算增加43.21万元，增长144.03%,主要原因是：本年增加文化市场管理费项目资金、执法办公设备及基础设施设备项目经费。</w:t>
      </w:r>
    </w:p>
    <w:p w14:paraId="5C3D55F2">
      <w:pPr>
        <w:spacing w:line="580" w:lineRule="exact"/>
        <w:ind w:firstLine="640"/>
        <w:jc w:val="both"/>
      </w:pPr>
      <w:r>
        <w:rPr>
          <w:rFonts w:ascii="仿宋_GB2312" w:hAnsi="仿宋_GB2312" w:eastAsia="仿宋_GB2312"/>
          <w:b w:val="0"/>
          <w:sz w:val="32"/>
        </w:rPr>
        <w:t>3.文化旅游体育与传媒支出(类)文化和旅游(款)文化和旅游管理事务(项):支出决算数为9.60万元，比上年决算增加9.60万元，增长100.00%,主要原因是：本年增加文化市场执法队运转经费项目经费。</w:t>
      </w:r>
    </w:p>
    <w:p w14:paraId="0F98F473">
      <w:pPr>
        <w:spacing w:line="640" w:lineRule="exact"/>
        <w:ind w:firstLine="640"/>
        <w:jc w:val="both"/>
        <w:outlineLvl w:val="2"/>
      </w:pPr>
      <w:r>
        <w:rPr>
          <w:rFonts w:ascii="黑体" w:hAnsi="黑体" w:eastAsia="黑体"/>
          <w:sz w:val="32"/>
        </w:rPr>
        <w:t>六、一般公共预算财政拨款基本支出决算情况说明</w:t>
      </w:r>
    </w:p>
    <w:p w14:paraId="090E8AEF">
      <w:pPr>
        <w:spacing w:line="580" w:lineRule="exact"/>
        <w:ind w:firstLine="640"/>
        <w:jc w:val="both"/>
      </w:pPr>
      <w:r>
        <w:rPr>
          <w:rFonts w:ascii="仿宋_GB2312" w:hAnsi="仿宋_GB2312" w:eastAsia="仿宋_GB2312"/>
          <w:b w:val="0"/>
          <w:sz w:val="32"/>
        </w:rPr>
        <w:t>2024年度一般公共预算财政拨款基本支出336.89万元，其中：</w:t>
      </w:r>
      <w:r>
        <w:rPr>
          <w:rFonts w:ascii="仿宋_GB2312" w:hAnsi="仿宋_GB2312" w:eastAsia="仿宋_GB2312"/>
          <w:b/>
          <w:sz w:val="32"/>
        </w:rPr>
        <w:t>人员经费310.21万元，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包括：基本工资、津贴补贴、奖金、机关事业单位基本养老保险缴费、职业年金缴费、职工基本医疗保险缴费、公务员医疗补助缴费、其他社会保障缴费、住房公积金、退休费、奖励金。</w:t>
      </w:r>
    </w:p>
    <w:p w14:paraId="119EC01A">
      <w:pPr>
        <w:spacing w:line="580" w:lineRule="exact"/>
        <w:ind w:firstLine="640"/>
        <w:jc w:val="both"/>
      </w:pPr>
      <w:r>
        <w:rPr>
          <w:rFonts w:ascii="仿宋_GB2312" w:hAnsi="仿宋_GB2312" w:eastAsia="仿宋_GB2312"/>
          <w:b/>
          <w:sz w:val="32"/>
        </w:rPr>
        <w:t>公用经费26.67万元，</w:t>
      </w:r>
      <w:r>
        <w:rPr>
          <w:rFonts w:ascii="仿宋_GB2312" w:hAnsi="仿宋_GB2312" w:eastAsia="仿宋_GB2312"/>
          <w:b w:val="0"/>
          <w:sz w:val="32"/>
        </w:rPr>
        <w:t>包括：办公费、印刷费、水费、电费、邮电费、取暖费、差旅费、维修（护）费、公务接待费、劳务费、委托业务费、工会经费、福利费、公务用车运行维护费、其他商品和服务支出。</w:t>
      </w:r>
    </w:p>
    <w:p w14:paraId="7981CB41">
      <w:pPr>
        <w:spacing w:line="640" w:lineRule="exact"/>
        <w:ind w:firstLine="640"/>
        <w:jc w:val="both"/>
        <w:outlineLvl w:val="2"/>
      </w:pPr>
      <w:r>
        <w:rPr>
          <w:rFonts w:ascii="黑体" w:hAnsi="黑体" w:eastAsia="黑体"/>
          <w:sz w:val="32"/>
        </w:rPr>
        <w:t>七、政府性基金预算财政拨款收入支出决算情况说明</w:t>
      </w:r>
    </w:p>
    <w:p w14:paraId="1ACF0F0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108A07F">
      <w:pPr>
        <w:spacing w:line="640" w:lineRule="exact"/>
        <w:ind w:firstLine="640"/>
        <w:jc w:val="both"/>
        <w:outlineLvl w:val="2"/>
      </w:pPr>
      <w:r>
        <w:rPr>
          <w:rFonts w:ascii="黑体" w:hAnsi="黑体" w:eastAsia="黑体"/>
          <w:sz w:val="32"/>
        </w:rPr>
        <w:t>八、国有资本经营预算财政拨款收入支出决算情况说明</w:t>
      </w:r>
    </w:p>
    <w:p w14:paraId="4CA4EB2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A16C7B0">
      <w:pPr>
        <w:spacing w:line="640" w:lineRule="exact"/>
        <w:ind w:firstLine="640"/>
        <w:jc w:val="both"/>
        <w:outlineLvl w:val="2"/>
      </w:pPr>
      <w:r>
        <w:rPr>
          <w:rFonts w:ascii="黑体" w:hAnsi="黑体" w:eastAsia="黑体"/>
          <w:sz w:val="32"/>
        </w:rPr>
        <w:t>九、财政拨款“三公”经费支出决算情况说明</w:t>
      </w:r>
    </w:p>
    <w:p w14:paraId="698EBE4E">
      <w:pPr>
        <w:spacing w:line="580" w:lineRule="exact"/>
        <w:ind w:firstLine="640"/>
        <w:jc w:val="both"/>
      </w:pPr>
      <w:r>
        <w:rPr>
          <w:rFonts w:ascii="仿宋_GB2312" w:hAnsi="仿宋_GB2312" w:eastAsia="仿宋_GB2312"/>
          <w:b/>
          <w:sz w:val="32"/>
        </w:rPr>
        <w:t>2024年度财政拨款“三公”经费支出4.57万元，</w:t>
      </w:r>
      <w:r>
        <w:rPr>
          <w:rFonts w:ascii="仿宋_GB2312" w:hAnsi="仿宋_GB2312" w:eastAsia="仿宋_GB2312"/>
          <w:b w:val="0"/>
          <w:sz w:val="32"/>
        </w:rPr>
        <w:t>比上年增加0.57万元，增长14.25%，主要原因是：本年因业务需求，用车次数增加，燃油费增加，导致公务用车运行维护费较上年增加。因业务需求，增加公务接待工作，导致公务接待费较上年增加。其中：因公出国（境）费支出0.00万元，占0.00%，比上年增加0.00万元，增长0.00%，主要原因是：2023年与2024年均未安排因公出国（境）费支出。公务用车购置及运行维护费支出4.50万元，占98.47%，比上年增加0.50万元，增长12.50%，主要原因是：本年因业务需求，用车次数增加，燃油费增加，导致公务用车运行维护费较上年增加。公务接待费支出0.07万元，占1.53%，比上年增加0.07万元，增长100.00%，主要原因是：因业务需求，增加公务接待工作，导致公务接待费较上年增加。</w:t>
      </w:r>
    </w:p>
    <w:p w14:paraId="732194C4">
      <w:pPr>
        <w:spacing w:line="580" w:lineRule="exact"/>
        <w:ind w:firstLine="640"/>
        <w:jc w:val="both"/>
      </w:pPr>
      <w:r>
        <w:rPr>
          <w:rFonts w:ascii="仿宋_GB2312" w:hAnsi="仿宋_GB2312" w:eastAsia="仿宋_GB2312"/>
          <w:b/>
          <w:sz w:val="32"/>
        </w:rPr>
        <w:t>具体情况如下：</w:t>
      </w:r>
    </w:p>
    <w:p w14:paraId="1FA7160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D279686">
      <w:pPr>
        <w:spacing w:line="580" w:lineRule="exact"/>
        <w:ind w:firstLine="640"/>
        <w:jc w:val="both"/>
      </w:pPr>
      <w:r>
        <w:rPr>
          <w:rFonts w:ascii="仿宋_GB2312" w:hAnsi="仿宋_GB2312" w:eastAsia="仿宋_GB2312"/>
          <w:b w:val="0"/>
          <w:sz w:val="32"/>
        </w:rPr>
        <w:t>公务用车购置及运行维护费4.50万元，其中：公务用车购置费0.00万元，公务用车运行维护费4.50万元。公务用车运行维护费开支内容包括车辆加油费、维修费、保险费、审车费、过路费等。公务用车购置数0辆，公务用车保有量3辆。国有资产占用情况中固定资产车辆3辆，与公务用车保有量差异原因是：本单位固定资产车辆与公务用车保有量一致无差异。</w:t>
      </w:r>
    </w:p>
    <w:p w14:paraId="50AD4592">
      <w:pPr>
        <w:spacing w:line="580" w:lineRule="exact"/>
        <w:ind w:firstLine="640"/>
        <w:jc w:val="both"/>
      </w:pPr>
      <w:r>
        <w:rPr>
          <w:rFonts w:ascii="仿宋_GB2312" w:hAnsi="仿宋_GB2312" w:eastAsia="仿宋_GB2312"/>
          <w:b w:val="0"/>
          <w:sz w:val="32"/>
        </w:rPr>
        <w:t>公务接待费0.07万元，开支内容包括因自治区工作指导，接待上级领导检查指导工作产生的就餐费。单位全年安排的国内公务接待1批次，5人次。</w:t>
      </w:r>
    </w:p>
    <w:p w14:paraId="5B7EEF3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4.57万元，决算数4.57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4.50万元，决算数4.50万元，预决算差异率0.00%，主要原因是：严格按照预算执行，预决算无差异。公务接待费全年预算数0.07万元，决算数0.07万元，预决算差异率0.00%，主要原因是：严格按照预算执行，预决算无差异。</w:t>
      </w:r>
    </w:p>
    <w:p w14:paraId="72F16D96">
      <w:pPr>
        <w:spacing w:line="640" w:lineRule="exact"/>
        <w:ind w:firstLine="640"/>
        <w:jc w:val="both"/>
        <w:outlineLvl w:val="2"/>
      </w:pPr>
      <w:r>
        <w:rPr>
          <w:rFonts w:ascii="黑体" w:hAnsi="黑体" w:eastAsia="黑体"/>
          <w:sz w:val="32"/>
        </w:rPr>
        <w:t>十、其他重要事项的情况说明</w:t>
      </w:r>
    </w:p>
    <w:p w14:paraId="0BDF1540">
      <w:pPr>
        <w:spacing w:line="640" w:lineRule="exact"/>
        <w:ind w:firstLine="640"/>
        <w:jc w:val="both"/>
        <w:outlineLvl w:val="3"/>
      </w:pPr>
      <w:r>
        <w:rPr>
          <w:rFonts w:ascii="楷体_GB2312" w:hAnsi="楷体_GB2312" w:eastAsia="楷体_GB2312"/>
          <w:b/>
          <w:sz w:val="32"/>
        </w:rPr>
        <w:t>（一）机关运行经费及公用经费支出情况</w:t>
      </w:r>
    </w:p>
    <w:p w14:paraId="7585A363">
      <w:pPr>
        <w:spacing w:line="580" w:lineRule="exact"/>
        <w:ind w:firstLine="640"/>
        <w:jc w:val="both"/>
      </w:pPr>
      <w:r>
        <w:rPr>
          <w:rFonts w:ascii="仿宋_GB2312" w:hAnsi="仿宋_GB2312" w:eastAsia="仿宋_GB2312"/>
          <w:b w:val="0"/>
          <w:sz w:val="32"/>
        </w:rPr>
        <w:t>2024年度昌吉回族自治州文化市场综合执法队（行政单位和参照公务员法管理事业单位）机关运行经费支出26.67万元，比上年增加7.95万元，增长42.47%，主要原因是：本年增加办公经费，导致机关运行经费增加。</w:t>
      </w:r>
    </w:p>
    <w:p w14:paraId="5F0CA382">
      <w:pPr>
        <w:spacing w:line="640" w:lineRule="exact"/>
        <w:ind w:firstLine="640"/>
        <w:jc w:val="both"/>
        <w:outlineLvl w:val="3"/>
      </w:pPr>
      <w:r>
        <w:rPr>
          <w:rFonts w:ascii="楷体_GB2312" w:hAnsi="楷体_GB2312" w:eastAsia="楷体_GB2312"/>
          <w:b/>
          <w:sz w:val="32"/>
        </w:rPr>
        <w:t>（二）政府采购情况</w:t>
      </w:r>
    </w:p>
    <w:p w14:paraId="18D71107">
      <w:pPr>
        <w:spacing w:line="580" w:lineRule="exact"/>
        <w:ind w:firstLine="640"/>
        <w:jc w:val="both"/>
      </w:pPr>
      <w:r>
        <w:rPr>
          <w:rFonts w:ascii="仿宋_GB2312" w:hAnsi="仿宋_GB2312" w:eastAsia="仿宋_GB2312"/>
          <w:b w:val="0"/>
          <w:sz w:val="32"/>
        </w:rPr>
        <w:t>2024年度政府采购支出总额20.64万元，其中：政府采购货物支出7.60万元、政府采购工程支出0.00万元、政府采购服务支出13.04万元。</w:t>
      </w:r>
    </w:p>
    <w:p w14:paraId="723571A9">
      <w:pPr>
        <w:spacing w:line="580" w:lineRule="exact"/>
        <w:ind w:firstLine="640"/>
        <w:jc w:val="both"/>
      </w:pPr>
      <w:r>
        <w:rPr>
          <w:rFonts w:ascii="仿宋_GB2312" w:hAnsi="仿宋_GB2312" w:eastAsia="仿宋_GB2312"/>
          <w:b w:val="0"/>
          <w:sz w:val="32"/>
        </w:rPr>
        <w:t>授予中小企业合同金额20.64万元，占政府采购支出总额的100.00%，其中：授予小微企业合同金额20.64万元，占政府采购支出总额的100.00%。</w:t>
      </w:r>
    </w:p>
    <w:p w14:paraId="15D912E3">
      <w:pPr>
        <w:spacing w:line="640" w:lineRule="exact"/>
        <w:ind w:firstLine="640"/>
        <w:jc w:val="both"/>
        <w:outlineLvl w:val="3"/>
      </w:pPr>
      <w:r>
        <w:rPr>
          <w:rFonts w:ascii="楷体_GB2312" w:hAnsi="楷体_GB2312" w:eastAsia="楷体_GB2312"/>
          <w:b/>
          <w:sz w:val="32"/>
        </w:rPr>
        <w:t>（三）国有资产占用情况说明</w:t>
      </w:r>
    </w:p>
    <w:p w14:paraId="4D9F87AF">
      <w:pPr>
        <w:spacing w:line="580" w:lineRule="exact"/>
        <w:ind w:firstLine="640"/>
        <w:jc w:val="both"/>
      </w:pPr>
      <w:r>
        <w:rPr>
          <w:rFonts w:ascii="仿宋_GB2312" w:hAnsi="仿宋_GB2312" w:eastAsia="仿宋_GB2312"/>
          <w:b w:val="0"/>
          <w:sz w:val="32"/>
        </w:rPr>
        <w:t>截至2024年12月31日，房屋0.00平方米，价值0.00万元。车辆3辆，价值77.16万元，其中：副部（省）级及以上领导用车0辆、主要负责人用车0辆、机要通信用车0辆、应急保障用车0辆、执法执勤用车3辆、特种专业技术用车0辆、离退休干部服务用车0辆、其他用车0辆，其他用车主要是：本单位无其他用车。单价100万元（含）以上设备（不含车辆）0台（套）。</w:t>
      </w:r>
    </w:p>
    <w:p w14:paraId="47E35C70">
      <w:pPr>
        <w:spacing w:line="640" w:lineRule="exact"/>
        <w:ind w:firstLine="640"/>
        <w:jc w:val="both"/>
        <w:outlineLvl w:val="2"/>
      </w:pPr>
      <w:r>
        <w:rPr>
          <w:rFonts w:ascii="黑体" w:hAnsi="黑体" w:eastAsia="黑体"/>
          <w:sz w:val="32"/>
        </w:rPr>
        <w:t>十一、预算绩效的情况说明</w:t>
      </w:r>
    </w:p>
    <w:p w14:paraId="615520A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424.25万元，实际执行总额419.69万元；预算绩效评价项目3个，全年预算数82.81万元，全年执行数82.81万元。预算绩效管理取得的成效：一是高位谋划，细化责任分工。制定了《2024年昌吉州文化市场综合执法工作要点》和《2024年考核指标责任分解表》，按照清单责任化细化到科室，责任到人。二是聚焦主责，提升执法质效。1.日常检查广覆盖。严格履行执法监管职责，结合我州实际，针对季节性特点、重要时间节点，采取专项检查、日常巡查和“双随机抽查”相结合工作机制，对全州文化市场进行执法检查。结合全州文旅</w:t>
      </w:r>
      <w:r>
        <w:rPr>
          <w:rFonts w:hint="eastAsia" w:ascii="仿宋_GB2312" w:hAnsi="仿宋_GB2312" w:eastAsia="仿宋_GB2312"/>
          <w:b w:val="0"/>
          <w:sz w:val="32"/>
          <w:lang w:eastAsia="zh-CN"/>
        </w:rPr>
        <w:t>新兴</w:t>
      </w:r>
      <w:r>
        <w:rPr>
          <w:rFonts w:ascii="仿宋_GB2312" w:hAnsi="仿宋_GB2312" w:eastAsia="仿宋_GB2312"/>
          <w:b w:val="0"/>
          <w:sz w:val="32"/>
        </w:rPr>
        <w:t>业态的发展，强化对电竞酒店、剧本娱乐场所、私人影院等经营场所的联合检查，保障意识形态安全。三是突出重点，强化依法行政。为深入贯彻落实自治区旅游服务质量提升年，州文化市场综合执法队将全州查办的违法案件进行梳理，报州文旅局及州司法局审核备案，向社会公开发布文化市场违法违规典型案例两批典型案例，涉及旅游、著作权及未成年人保护等，通过典型案例警示，共同营造良好的文旅市场环境，推进自治州文旅市场规范有序健康发展；按照《新疆维吾尔自治区文化市场行政执法减免罚事项清单（第一批）》及《自治区广播电视和网络视听领域轻微违法行为减免罚清单》工作要求，制定昌吉州文化市场行政执法减免罚事项清单和广播电视和网络视听领域轻微违法行为减免罚清单并公示，在执法案件办理中合理适用并开展了行政执法部门监管履职营商环境检查，全面优化文化市场营商环境，截至目前，作出免予处罚和从轻减轻处罚案件6件。四是质量提升，扎实做好“同心护旅”专项行动。按照州文旅局协调安排，与相关部门和县（市）围绕旅游市场“吃住行游购娱”服务质量提升方面，做好旅游市场的监督检查和经营整治专项行动，坚决确保责任到位。今年以来自治区本地文旅投诉处理平台共收到投诉402件,其中调解成功352件（待受理、退回及不合理诉求50件），法定时限结案率100%，挽回游客经济损失5.6万余元。发现的问题及原因：一是推进法治宣传工作</w:t>
      </w:r>
      <w:r>
        <w:rPr>
          <w:rFonts w:hint="eastAsia" w:ascii="仿宋_GB2312" w:hAnsi="仿宋_GB2312" w:eastAsia="仿宋_GB2312"/>
          <w:b w:val="0"/>
          <w:sz w:val="32"/>
          <w:lang w:eastAsia="zh-CN"/>
        </w:rPr>
        <w:t>需要</w:t>
      </w:r>
      <w:r>
        <w:rPr>
          <w:rFonts w:ascii="仿宋_GB2312" w:hAnsi="仿宋_GB2312" w:eastAsia="仿宋_GB2312"/>
          <w:b w:val="0"/>
          <w:sz w:val="32"/>
        </w:rPr>
        <w:t>进一步加强，需要进一步提高绩效监控业务水平。本单位职工对宣传工作参与度不够，人员业务素质有待提高；二是本年在资金申请工作中存在部分问题，本级追加资金未能拨付，要积极主动联系财政部门确保资金及时落实到位，进一步按照国家有关财务规章制度规定加强资金使用管理，确保资金用到实处，工作有序</w:t>
      </w:r>
      <w:r>
        <w:rPr>
          <w:rFonts w:hint="eastAsia" w:ascii="仿宋_GB2312" w:hAnsi="仿宋_GB2312" w:eastAsia="仿宋_GB2312"/>
          <w:b w:val="0"/>
          <w:sz w:val="32"/>
          <w:lang w:eastAsia="zh-CN"/>
        </w:rPr>
        <w:t>地</w:t>
      </w:r>
      <w:r>
        <w:rPr>
          <w:rFonts w:ascii="仿宋_GB2312" w:hAnsi="仿宋_GB2312" w:eastAsia="仿宋_GB2312"/>
          <w:b w:val="0"/>
          <w:sz w:val="32"/>
        </w:rPr>
        <w:t>开展，加强自身建设，提高服务能力。下一步改进措施：一是提高重视度。制作法治宣传日历海报、制作法治宣传品；对接、审定文创产品设计及制作；开展“5.18国际博物馆日”“5.19中国旅游日”、“6.26国际禁毒日等普法宣传”；二是资金管理方面，加强对预算的监督管理，同时加强预算资金管理的执行力度，完善预算资金的监督体系，要加强各部门之间的联系，使各部门共同参与财政预算资金监督管理，强化单位财政资金的跟踪监察，对资金的申报、拨付及使用情况进行监管。加强部门决策、完善工作机制、发挥履职效能、优化支出结构、提高资金使用效益等角度出发，提出高层次的措施建议，不要局限于具体的资金支出或日常工作。具体附整体支出绩效自评表，项目支出绩效自评表和评价报告。</w:t>
      </w:r>
    </w:p>
    <w:p w14:paraId="7A4E7A3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CE28ECA">
        <w:tblPrEx>
          <w:tblCellMar>
            <w:top w:w="0" w:type="dxa"/>
            <w:left w:w="108" w:type="dxa"/>
            <w:bottom w:w="0" w:type="dxa"/>
            <w:right w:w="108" w:type="dxa"/>
          </w:tblCellMar>
        </w:tblPrEx>
        <w:tc>
          <w:tcPr>
            <w:tcW w:w="8847" w:type="dxa"/>
            <w:gridSpan w:val="9"/>
            <w:vAlign w:val="center"/>
          </w:tcPr>
          <w:p w14:paraId="3B427E87">
            <w:pPr>
              <w:jc w:val="center"/>
            </w:pPr>
            <w:r>
              <w:rPr>
                <w:rFonts w:ascii="宋体" w:hAnsi="宋体" w:eastAsia="宋体"/>
                <w:sz w:val="24"/>
              </w:rPr>
              <w:t>单位整体支出绩效自评表</w:t>
            </w:r>
          </w:p>
        </w:tc>
      </w:tr>
      <w:tr w14:paraId="468AF710">
        <w:tblPrEx>
          <w:tblCellMar>
            <w:top w:w="0" w:type="dxa"/>
            <w:left w:w="108" w:type="dxa"/>
            <w:bottom w:w="0" w:type="dxa"/>
            <w:right w:w="108" w:type="dxa"/>
          </w:tblCellMar>
        </w:tblPrEx>
        <w:tc>
          <w:tcPr>
            <w:tcW w:w="8847" w:type="dxa"/>
            <w:gridSpan w:val="9"/>
            <w:vAlign w:val="center"/>
          </w:tcPr>
          <w:p w14:paraId="37D8BA82">
            <w:pPr>
              <w:jc w:val="center"/>
            </w:pPr>
            <w:r>
              <w:rPr>
                <w:rFonts w:ascii="宋体" w:hAnsi="宋体" w:eastAsia="宋体"/>
                <w:sz w:val="24"/>
              </w:rPr>
              <w:t>（2024年度）</w:t>
            </w:r>
          </w:p>
        </w:tc>
      </w:tr>
      <w:tr w14:paraId="734AF2F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967E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032243E">
            <w:pPr>
              <w:jc w:val="center"/>
            </w:pPr>
            <w:r>
              <w:rPr>
                <w:rFonts w:ascii="宋体" w:hAnsi="宋体" w:eastAsia="宋体"/>
                <w:sz w:val="16"/>
              </w:rPr>
              <w:t>昌吉回族自治州文化市场综合执法队</w:t>
            </w:r>
          </w:p>
        </w:tc>
      </w:tr>
      <w:tr w14:paraId="6D751C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2947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3AAA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2DB9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7241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7392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95BB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AC55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A45E7">
            <w:pPr>
              <w:jc w:val="center"/>
            </w:pPr>
            <w:r>
              <w:rPr>
                <w:rFonts w:ascii="宋体" w:hAnsi="宋体" w:eastAsia="宋体"/>
                <w:sz w:val="16"/>
              </w:rPr>
              <w:t>得分</w:t>
            </w:r>
          </w:p>
        </w:tc>
      </w:tr>
      <w:tr w14:paraId="26E782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1F14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16CD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16F2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447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DDB8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346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EC5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8E881">
            <w:pPr>
              <w:jc w:val="center"/>
            </w:pPr>
            <w:r>
              <w:rPr>
                <w:rFonts w:ascii="宋体" w:hAnsi="宋体" w:eastAsia="宋体"/>
                <w:sz w:val="16"/>
              </w:rPr>
              <w:t>-</w:t>
            </w:r>
          </w:p>
        </w:tc>
      </w:tr>
      <w:tr w14:paraId="7909C7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A4E51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3BA7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1A665">
            <w:pPr>
              <w:jc w:val="center"/>
            </w:pPr>
            <w:r>
              <w:rPr>
                <w:rFonts w:ascii="宋体" w:hAnsi="宋体" w:eastAsia="宋体"/>
                <w:sz w:val="16"/>
              </w:rPr>
              <w:t>414.11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207EC">
            <w:pPr>
              <w:jc w:val="center"/>
            </w:pPr>
            <w:r>
              <w:rPr>
                <w:rFonts w:ascii="宋体" w:hAnsi="宋体" w:eastAsia="宋体"/>
                <w:sz w:val="16"/>
              </w:rPr>
              <w:t>419.69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9BD8F">
            <w:pPr>
              <w:jc w:val="center"/>
            </w:pPr>
            <w:r>
              <w:rPr>
                <w:rFonts w:ascii="宋体" w:hAnsi="宋体" w:eastAsia="宋体"/>
                <w:sz w:val="16"/>
              </w:rPr>
              <w:t>419.69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6D10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5BD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E661E">
            <w:pPr>
              <w:jc w:val="center"/>
            </w:pPr>
            <w:r>
              <w:rPr>
                <w:rFonts w:ascii="宋体" w:hAnsi="宋体" w:eastAsia="宋体"/>
                <w:sz w:val="16"/>
              </w:rPr>
              <w:t>-</w:t>
            </w:r>
          </w:p>
        </w:tc>
      </w:tr>
      <w:tr w14:paraId="651B80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06ED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71CB5">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367C2">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54725">
            <w:pPr>
              <w:jc w:val="center"/>
            </w:pPr>
            <w:r>
              <w:rPr>
                <w:rFonts w:ascii="宋体" w:hAnsi="宋体" w:eastAsia="宋体"/>
                <w:sz w:val="16"/>
              </w:rPr>
              <w:t>4.56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A8A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CFE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975F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E4877">
            <w:pPr>
              <w:jc w:val="center"/>
            </w:pPr>
            <w:r>
              <w:rPr>
                <w:rFonts w:ascii="宋体" w:hAnsi="宋体" w:eastAsia="宋体"/>
                <w:sz w:val="16"/>
              </w:rPr>
              <w:t>-</w:t>
            </w:r>
          </w:p>
        </w:tc>
      </w:tr>
      <w:tr w14:paraId="529BAD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3512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B180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3DA92">
            <w:pPr>
              <w:jc w:val="center"/>
            </w:pPr>
            <w:r>
              <w:rPr>
                <w:rFonts w:ascii="宋体" w:hAnsi="宋体" w:eastAsia="宋体"/>
                <w:sz w:val="16"/>
              </w:rPr>
              <w:t>419.11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09912">
            <w:pPr>
              <w:jc w:val="center"/>
            </w:pPr>
            <w:r>
              <w:rPr>
                <w:rFonts w:ascii="宋体" w:hAnsi="宋体" w:eastAsia="宋体"/>
                <w:sz w:val="16"/>
              </w:rPr>
              <w:t>424.25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0551A">
            <w:pPr>
              <w:jc w:val="center"/>
            </w:pPr>
            <w:r>
              <w:rPr>
                <w:rFonts w:ascii="宋体" w:hAnsi="宋体" w:eastAsia="宋体"/>
                <w:sz w:val="16"/>
              </w:rPr>
              <w:t>419.69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AC2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16E70">
            <w:pPr>
              <w:jc w:val="center"/>
            </w:pPr>
            <w:r>
              <w:rPr>
                <w:rFonts w:ascii="宋体" w:hAnsi="宋体" w:eastAsia="宋体"/>
                <w:sz w:val="16"/>
              </w:rPr>
              <w:t>98.93%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DC219">
            <w:pPr>
              <w:jc w:val="center"/>
            </w:pPr>
            <w:r>
              <w:rPr>
                <w:rFonts w:ascii="宋体" w:hAnsi="宋体" w:eastAsia="宋体"/>
                <w:sz w:val="16"/>
              </w:rPr>
              <w:t>9.89</w:t>
            </w:r>
          </w:p>
        </w:tc>
      </w:tr>
      <w:tr w14:paraId="5DBC690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018A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8E75A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8FFB7F">
            <w:pPr>
              <w:jc w:val="center"/>
            </w:pPr>
            <w:r>
              <w:rPr>
                <w:rFonts w:ascii="宋体" w:hAnsi="宋体" w:eastAsia="宋体"/>
                <w:sz w:val="16"/>
              </w:rPr>
              <w:t>实际完成情况</w:t>
            </w:r>
          </w:p>
        </w:tc>
      </w:tr>
      <w:tr w14:paraId="1ABFA5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22E42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25C6D4">
            <w:pPr>
              <w:jc w:val="both"/>
            </w:pPr>
            <w:r>
              <w:rPr>
                <w:rFonts w:ascii="宋体" w:hAnsi="宋体" w:eastAsia="宋体"/>
                <w:sz w:val="16"/>
              </w:rPr>
              <w:t>坚持以习近平新时代中国特色社会主义思想为指导,在州文化体育广播电视和旅游局的正确领导下，统一行使文化、文物、出版、广播电视、电影、旅游市场行政执法职责。</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8BC1E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全年预算数为424.25万元，全年执行数为419.69万元，总预算执行率为98.93%。2024年</w:t>
            </w:r>
            <w:r>
              <w:rPr>
                <w:rFonts w:hint="eastAsia" w:ascii="宋体" w:hAnsi="宋体"/>
                <w:sz w:val="16"/>
                <w:lang w:eastAsia="zh-CN"/>
              </w:rPr>
              <w:t>本单位</w:t>
            </w:r>
            <w:r>
              <w:rPr>
                <w:rFonts w:ascii="宋体" w:hAnsi="宋体" w:eastAsia="宋体"/>
                <w:sz w:val="16"/>
              </w:rPr>
              <w:t>完成</w:t>
            </w:r>
            <w:r>
              <w:rPr>
                <w:rFonts w:hint="eastAsia" w:ascii="宋体" w:hAnsi="宋体"/>
                <w:sz w:val="16"/>
                <w:lang w:eastAsia="zh-CN"/>
              </w:rPr>
              <w:t>以下</w:t>
            </w:r>
            <w:r>
              <w:rPr>
                <w:rFonts w:ascii="宋体" w:hAnsi="宋体" w:eastAsia="宋体"/>
                <w:sz w:val="16"/>
              </w:rPr>
              <w:t>工作内容：1.完成文物、出版、广播电视、电影、旅游市场行政执法</w:t>
            </w:r>
            <w:r>
              <w:rPr>
                <w:rFonts w:hint="eastAsia" w:ascii="宋体" w:hAnsi="宋体"/>
                <w:sz w:val="16"/>
                <w:lang w:eastAsia="zh-CN"/>
              </w:rPr>
              <w:t>工作</w:t>
            </w:r>
            <w:r>
              <w:rPr>
                <w:rFonts w:ascii="宋体" w:hAnsi="宋体" w:eastAsia="宋体"/>
                <w:sz w:val="16"/>
              </w:rPr>
              <w:t>，支出差旅费、培训费、宣传费等工作；2、购置执法装备、办公装备，完善办公设施；3、外聘保安、保洁。通过以上工作的实施，保障单位正常运转，为部门业务开展提供有效支持；文化市场得到有效整治，持续开展文化市场检查，大力整治文化市场，净化市场环境，进一步强化提升执法检查的能力水平，坚持以习近平新时代中国特色社会主义思想为指导,在州文化体育广播电视和旅游局的正确领导下，统一行使文化、文物、出版、广播电视、电影、旅游市场行政执法职责，承担“扫黄打非”有关工作任务。</w:t>
            </w:r>
          </w:p>
        </w:tc>
      </w:tr>
      <w:tr w14:paraId="5C4D4AA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5AAB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4760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7D72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8554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D634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8B24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454C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190C2">
            <w:pPr>
              <w:jc w:val="center"/>
            </w:pPr>
            <w:r>
              <w:rPr>
                <w:rFonts w:ascii="宋体" w:hAnsi="宋体" w:eastAsia="宋体"/>
                <w:sz w:val="16"/>
              </w:rPr>
              <w:t>得分</w:t>
            </w:r>
          </w:p>
        </w:tc>
      </w:tr>
      <w:tr w14:paraId="61F1599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577A8">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5F609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DF01E">
            <w:pPr>
              <w:jc w:val="center"/>
            </w:pPr>
            <w:r>
              <w:rPr>
                <w:rFonts w:ascii="宋体" w:hAnsi="宋体" w:eastAsia="宋体"/>
                <w:sz w:val="16"/>
              </w:rPr>
              <w:t>制作宣传品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149C4">
            <w:pPr>
              <w:jc w:val="center"/>
            </w:pPr>
            <w:r>
              <w:rPr>
                <w:rFonts w:ascii="宋体" w:hAnsi="宋体" w:eastAsia="宋体"/>
                <w:sz w:val="16"/>
              </w:rPr>
              <w:t>&gt;=1批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48210">
            <w:pPr>
              <w:jc w:val="center"/>
            </w:pPr>
            <w:r>
              <w:rPr>
                <w:rFonts w:ascii="宋体" w:hAnsi="宋体" w:eastAsia="宋体"/>
                <w:sz w:val="16"/>
              </w:rPr>
              <w:t>昌吉州文化市场综合执法队2024年工作要点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5EA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B8013">
            <w:pPr>
              <w:jc w:val="center"/>
            </w:pPr>
            <w:r>
              <w:rPr>
                <w:rFonts w:ascii="宋体" w:hAnsi="宋体" w:eastAsia="宋体"/>
                <w:sz w:val="16"/>
              </w:rPr>
              <w: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8148F">
            <w:pPr>
              <w:jc w:val="center"/>
            </w:pPr>
            <w:r>
              <w:rPr>
                <w:rFonts w:ascii="宋体" w:hAnsi="宋体" w:eastAsia="宋体"/>
                <w:sz w:val="16"/>
              </w:rPr>
              <w:t>10</w:t>
            </w:r>
          </w:p>
        </w:tc>
      </w:tr>
      <w:tr w14:paraId="72EC111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A6316">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E98D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D7450">
            <w:pPr>
              <w:jc w:val="center"/>
            </w:pPr>
            <w:r>
              <w:rPr>
                <w:rFonts w:ascii="宋体" w:hAnsi="宋体" w:eastAsia="宋体"/>
                <w:sz w:val="16"/>
              </w:rPr>
              <w:t>每年举办全州执法人员培训班数量（次）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FDAC2">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BB005">
            <w:pPr>
              <w:jc w:val="center"/>
            </w:pPr>
            <w:r>
              <w:rPr>
                <w:rFonts w:ascii="宋体" w:hAnsi="宋体" w:eastAsia="宋体"/>
                <w:sz w:val="16"/>
              </w:rPr>
              <w:t>昌吉州文化市场综合执法队2024年工作要点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E0915">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48AD6">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DCE94">
            <w:pPr>
              <w:jc w:val="center"/>
            </w:pPr>
            <w:r>
              <w:rPr>
                <w:rFonts w:ascii="宋体" w:hAnsi="宋体" w:eastAsia="宋体"/>
                <w:sz w:val="16"/>
              </w:rPr>
              <w:t>12</w:t>
            </w:r>
          </w:p>
        </w:tc>
      </w:tr>
      <w:tr w14:paraId="2463D0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F4393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A188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9B096">
            <w:pPr>
              <w:jc w:val="center"/>
            </w:pPr>
            <w:r>
              <w:rPr>
                <w:rFonts w:ascii="宋体" w:hAnsi="宋体" w:eastAsia="宋体"/>
                <w:sz w:val="16"/>
              </w:rPr>
              <w:t>每年开展文化市场检查数量（次）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BCDD8">
            <w:pPr>
              <w:jc w:val="center"/>
            </w:pPr>
            <w:r>
              <w:rPr>
                <w:rFonts w:ascii="宋体" w:hAnsi="宋体" w:eastAsia="宋体"/>
                <w:sz w:val="16"/>
              </w:rPr>
              <w:t>&gt;=50次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4C5DB">
            <w:pPr>
              <w:jc w:val="center"/>
            </w:pPr>
            <w:r>
              <w:rPr>
                <w:rFonts w:ascii="宋体" w:hAnsi="宋体" w:eastAsia="宋体"/>
                <w:sz w:val="16"/>
              </w:rPr>
              <w:t>《文化市场管理办法》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05576">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6E4DB">
            <w:pPr>
              <w:jc w:val="center"/>
            </w:pPr>
            <w:r>
              <w:rPr>
                <w:rFonts w:ascii="宋体" w:hAnsi="宋体" w:eastAsia="宋体"/>
                <w:sz w:val="16"/>
              </w:rPr>
              <w:t>50次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0719F">
            <w:pPr>
              <w:jc w:val="center"/>
            </w:pPr>
            <w:r>
              <w:rPr>
                <w:rFonts w:ascii="宋体" w:hAnsi="宋体" w:eastAsia="宋体"/>
                <w:sz w:val="16"/>
              </w:rPr>
              <w:t>12</w:t>
            </w:r>
          </w:p>
        </w:tc>
      </w:tr>
      <w:tr w14:paraId="1E4648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FCDE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9CD2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E804A">
            <w:pPr>
              <w:jc w:val="center"/>
            </w:pPr>
            <w:r>
              <w:rPr>
                <w:rFonts w:ascii="宋体" w:hAnsi="宋体" w:eastAsia="宋体"/>
                <w:sz w:val="16"/>
              </w:rPr>
              <w:t>开展执法活动次数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B2AD2">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2E2CF">
            <w:pPr>
              <w:jc w:val="center"/>
            </w:pPr>
            <w:r>
              <w:rPr>
                <w:rFonts w:ascii="宋体" w:hAnsi="宋体" w:eastAsia="宋体"/>
                <w:sz w:val="16"/>
              </w:rPr>
              <w:t>《文化市场管理办法》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EB659">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6D798">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06CBC">
            <w:pPr>
              <w:jc w:val="center"/>
            </w:pPr>
            <w:r>
              <w:rPr>
                <w:rFonts w:ascii="宋体" w:hAnsi="宋体" w:eastAsia="宋体"/>
                <w:sz w:val="16"/>
              </w:rPr>
              <w:t>12</w:t>
            </w:r>
          </w:p>
        </w:tc>
      </w:tr>
      <w:tr w14:paraId="36DA2E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BA38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18C94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9B0D8">
            <w:pPr>
              <w:jc w:val="center"/>
            </w:pPr>
            <w:r>
              <w:rPr>
                <w:rFonts w:ascii="宋体" w:hAnsi="宋体" w:eastAsia="宋体"/>
                <w:sz w:val="16"/>
              </w:rPr>
              <w:t>开展文物巡查次数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C62F6">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69122">
            <w:pPr>
              <w:jc w:val="center"/>
            </w:pPr>
            <w:r>
              <w:rPr>
                <w:rFonts w:ascii="宋体" w:hAnsi="宋体" w:eastAsia="宋体"/>
                <w:sz w:val="16"/>
              </w:rPr>
              <w:t>昌吉州文化市场综合执法队2024年工作要点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2CF60">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5045F">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10B82">
            <w:pPr>
              <w:jc w:val="center"/>
            </w:pPr>
            <w:r>
              <w:rPr>
                <w:rFonts w:ascii="宋体" w:hAnsi="宋体" w:eastAsia="宋体"/>
                <w:sz w:val="16"/>
              </w:rPr>
              <w:t>12</w:t>
            </w:r>
          </w:p>
        </w:tc>
      </w:tr>
      <w:tr w14:paraId="4157AA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A2A2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4BC7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023E9">
            <w:pPr>
              <w:jc w:val="center"/>
            </w:pPr>
            <w:r>
              <w:rPr>
                <w:rFonts w:ascii="宋体" w:hAnsi="宋体" w:eastAsia="宋体"/>
                <w:sz w:val="16"/>
              </w:rPr>
              <w:t>每年开展集中扫黄打非行动完成率（%）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92FB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3B14A">
            <w:pPr>
              <w:jc w:val="center"/>
            </w:pPr>
            <w:r>
              <w:rPr>
                <w:rFonts w:ascii="宋体" w:hAnsi="宋体" w:eastAsia="宋体"/>
                <w:sz w:val="16"/>
              </w:rPr>
              <w:t>昌吉州文化市场综合执法队2024年工作要点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CF709">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640E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4B413">
            <w:pPr>
              <w:jc w:val="center"/>
            </w:pPr>
            <w:r>
              <w:rPr>
                <w:rFonts w:ascii="宋体" w:hAnsi="宋体" w:eastAsia="宋体"/>
                <w:sz w:val="16"/>
              </w:rPr>
              <w:t>12</w:t>
            </w:r>
          </w:p>
        </w:tc>
      </w:tr>
      <w:tr w14:paraId="03506AB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E0D095">
            <w:pPr>
              <w:jc w:val="center"/>
            </w:pPr>
            <w:r>
              <w:rPr>
                <w:rFonts w:ascii="宋体" w:hAnsi="宋体" w:eastAsia="宋体"/>
                <w:sz w:val="16"/>
              </w:rPr>
              <w:t>社会效益</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07259">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58F63">
            <w:pPr>
              <w:jc w:val="center"/>
            </w:pPr>
            <w:r>
              <w:rPr>
                <w:rFonts w:ascii="宋体" w:hAnsi="宋体" w:eastAsia="宋体"/>
                <w:sz w:val="16"/>
              </w:rPr>
              <w:t>每年开展宣传活动次数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45CB3">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26067">
            <w:pPr>
              <w:jc w:val="center"/>
            </w:pPr>
            <w:r>
              <w:rPr>
                <w:rFonts w:ascii="宋体" w:hAnsi="宋体" w:eastAsia="宋体"/>
                <w:sz w:val="16"/>
              </w:rPr>
              <w:t>昌吉州文化市场综合执法队2024年工作要点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1BC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A1506">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8AC71">
            <w:pPr>
              <w:jc w:val="center"/>
            </w:pPr>
            <w:r>
              <w:rPr>
                <w:rFonts w:ascii="宋体" w:hAnsi="宋体" w:eastAsia="宋体"/>
                <w:sz w:val="16"/>
              </w:rPr>
              <w:t>10</w:t>
            </w:r>
          </w:p>
        </w:tc>
      </w:tr>
      <w:tr w14:paraId="1CBE91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4FB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76A1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2B441">
            <w:pPr>
              <w:jc w:val="center"/>
            </w:pPr>
            <w:r>
              <w:rPr>
                <w:rFonts w:ascii="宋体" w:hAnsi="宋体" w:eastAsia="宋体"/>
                <w:sz w:val="16"/>
              </w:rPr>
              <w:t>投诉受理接待率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0140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17709">
            <w:pPr>
              <w:jc w:val="center"/>
            </w:pPr>
            <w:r>
              <w:rPr>
                <w:rFonts w:ascii="宋体" w:hAnsi="宋体" w:eastAsia="宋体"/>
                <w:sz w:val="16"/>
              </w:rPr>
              <w:t>昌吉州文化市场综合执法队2024年工作要点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D48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0CE5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CAF8E">
            <w:pPr>
              <w:jc w:val="center"/>
            </w:pPr>
            <w:r>
              <w:rPr>
                <w:rFonts w:ascii="宋体" w:hAnsi="宋体" w:eastAsia="宋体"/>
                <w:sz w:val="16"/>
              </w:rPr>
              <w:t>10</w:t>
            </w:r>
          </w:p>
        </w:tc>
      </w:tr>
    </w:tbl>
    <w:p w14:paraId="4227DD5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3749D3F2">
        <w:tc>
          <w:tcPr>
            <w:tcW w:w="8848" w:type="dxa"/>
            <w:gridSpan w:val="14"/>
            <w:vAlign w:val="center"/>
          </w:tcPr>
          <w:p w14:paraId="575F2A9D">
            <w:pPr>
              <w:jc w:val="center"/>
            </w:pPr>
            <w:r>
              <w:rPr>
                <w:rFonts w:ascii="宋体" w:hAnsi="宋体" w:eastAsia="宋体"/>
                <w:sz w:val="24"/>
              </w:rPr>
              <w:t>项目支出绩效自评表</w:t>
            </w:r>
          </w:p>
        </w:tc>
      </w:tr>
      <w:tr w14:paraId="1467BA1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1C0A54">
            <w:pPr>
              <w:jc w:val="center"/>
            </w:pPr>
            <w:r>
              <w:rPr>
                <w:rFonts w:ascii="宋体" w:hAnsi="宋体" w:eastAsia="宋体"/>
                <w:sz w:val="24"/>
              </w:rPr>
              <w:t>(2024年度)</w:t>
            </w:r>
          </w:p>
        </w:tc>
      </w:tr>
      <w:tr w14:paraId="323EA4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ADB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DA446D">
            <w:pPr>
              <w:jc w:val="center"/>
            </w:pPr>
            <w:r>
              <w:rPr>
                <w:rFonts w:ascii="宋体" w:hAnsi="宋体" w:eastAsia="宋体"/>
                <w:sz w:val="16"/>
              </w:rPr>
              <w:t>执法办公设备及基础设施设备</w:t>
            </w:r>
          </w:p>
        </w:tc>
      </w:tr>
      <w:tr w14:paraId="490935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46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0F12A8">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BA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08D480">
            <w:pPr>
              <w:jc w:val="center"/>
            </w:pPr>
            <w:r>
              <w:rPr>
                <w:rFonts w:ascii="宋体" w:hAnsi="宋体" w:eastAsia="宋体"/>
                <w:sz w:val="16"/>
              </w:rPr>
              <w:t>昌吉回族自治州文化市场综合执法队</w:t>
            </w:r>
          </w:p>
        </w:tc>
      </w:tr>
      <w:tr w14:paraId="335350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F33B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378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FCAA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8205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570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0B90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8ECE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5844E">
            <w:pPr>
              <w:jc w:val="center"/>
            </w:pPr>
            <w:r>
              <w:rPr>
                <w:rFonts w:ascii="宋体" w:hAnsi="宋体" w:eastAsia="宋体"/>
                <w:sz w:val="16"/>
              </w:rPr>
              <w:t>得分</w:t>
            </w:r>
          </w:p>
        </w:tc>
      </w:tr>
      <w:tr w14:paraId="7843F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91E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9561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E0F2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02DD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C9A0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1359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AD78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59A33">
            <w:pPr>
              <w:jc w:val="center"/>
            </w:pPr>
            <w:r>
              <w:rPr>
                <w:rFonts w:ascii="宋体" w:hAnsi="宋体" w:eastAsia="宋体"/>
                <w:sz w:val="16"/>
              </w:rPr>
              <w:t>10.00</w:t>
            </w:r>
          </w:p>
        </w:tc>
      </w:tr>
      <w:tr w14:paraId="0A466B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C0A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21C4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FEAC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79AF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13B9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6B1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603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F17FF">
            <w:pPr>
              <w:jc w:val="center"/>
            </w:pPr>
            <w:r>
              <w:rPr>
                <w:rFonts w:ascii="宋体" w:hAnsi="宋体" w:eastAsia="宋体"/>
                <w:sz w:val="16"/>
              </w:rPr>
              <w:t>—</w:t>
            </w:r>
          </w:p>
        </w:tc>
      </w:tr>
      <w:tr w14:paraId="503A47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E48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B040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B7B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C3B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0BB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CDB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684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16436">
            <w:pPr>
              <w:jc w:val="center"/>
            </w:pPr>
            <w:r>
              <w:rPr>
                <w:rFonts w:ascii="宋体" w:hAnsi="宋体" w:eastAsia="宋体"/>
                <w:sz w:val="16"/>
              </w:rPr>
              <w:t>—</w:t>
            </w:r>
          </w:p>
        </w:tc>
      </w:tr>
      <w:tr w14:paraId="5E5B88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EE17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79CD6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125E08">
            <w:pPr>
              <w:jc w:val="center"/>
            </w:pPr>
            <w:r>
              <w:rPr>
                <w:rFonts w:ascii="宋体" w:hAnsi="宋体" w:eastAsia="宋体"/>
                <w:sz w:val="16"/>
              </w:rPr>
              <w:t>实际完成情况</w:t>
            </w:r>
          </w:p>
        </w:tc>
      </w:tr>
      <w:tr w14:paraId="43E1AA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245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B0F4B">
            <w:pPr>
              <w:jc w:val="both"/>
            </w:pPr>
            <w:r>
              <w:rPr>
                <w:rFonts w:ascii="宋体" w:hAnsi="宋体" w:eastAsia="宋体"/>
                <w:sz w:val="16"/>
              </w:rPr>
              <w:t>根据工作需要设立举报室、询问室、证据保存室、执法装备室，进一步强化提升执法检查的能</w:t>
            </w:r>
            <w:r>
              <w:rPr>
                <w:rFonts w:hint="eastAsia" w:ascii="宋体" w:hAnsi="宋体"/>
                <w:sz w:val="16"/>
                <w:lang w:eastAsia="zh-CN"/>
              </w:rPr>
              <w:t>力和</w:t>
            </w:r>
            <w:r>
              <w:rPr>
                <w:rFonts w:ascii="宋体" w:hAnsi="宋体" w:eastAsia="宋体"/>
                <w:sz w:val="16"/>
              </w:rPr>
              <w:t>水平，以高质量执法服务保障经济充分高质量发展。购置办公设备、购置办公设备、完善基础设施。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5C5483">
            <w:pPr>
              <w:jc w:val="both"/>
            </w:pPr>
            <w:r>
              <w:rPr>
                <w:rFonts w:hint="eastAsia" w:ascii="宋体" w:hAnsi="宋体"/>
                <w:sz w:val="16"/>
                <w:lang w:eastAsia="zh-CN"/>
              </w:rPr>
              <w:t>截至</w:t>
            </w:r>
            <w:r>
              <w:rPr>
                <w:rFonts w:ascii="宋体" w:hAnsi="宋体" w:eastAsia="宋体"/>
                <w:sz w:val="16"/>
              </w:rPr>
              <w:t>2024年12月31日，该项目购置办公设备1批，完成基础设施完善1批，通过该项目的实施，提升了执法质效</w:t>
            </w:r>
            <w:r>
              <w:rPr>
                <w:rFonts w:hint="eastAsia" w:ascii="宋体" w:hAnsi="宋体"/>
                <w:sz w:val="16"/>
                <w:lang w:eastAsia="zh-CN"/>
              </w:rPr>
              <w:t>，为</w:t>
            </w:r>
            <w:r>
              <w:rPr>
                <w:rFonts w:ascii="宋体" w:hAnsi="宋体" w:eastAsia="宋体"/>
                <w:sz w:val="16"/>
              </w:rPr>
              <w:t>促进文化事业全面繁荣和文化产业发展、满足人民群众精神文化需求发挥了重要作用，成为全疆首个建立文化市场综合执法与监管平台的地州，同时打造了奇台县文化市场综合执法队的标准化建设。</w:t>
            </w:r>
          </w:p>
        </w:tc>
      </w:tr>
      <w:tr w14:paraId="12843B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A6A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96B7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291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8ABB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A36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079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4DC4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A3B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B00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636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1264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1CA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A75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54B3E">
            <w:pPr>
              <w:jc w:val="center"/>
            </w:pPr>
            <w:r>
              <w:rPr>
                <w:rFonts w:ascii="宋体" w:hAnsi="宋体" w:eastAsia="宋体"/>
                <w:sz w:val="16"/>
              </w:rPr>
              <w:t>偏差原因分析及改进措施</w:t>
            </w:r>
          </w:p>
        </w:tc>
      </w:tr>
      <w:tr w14:paraId="7283D6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A174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036C2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1463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6CCB5">
            <w:pPr>
              <w:jc w:val="center"/>
            </w:pPr>
            <w:r>
              <w:rPr>
                <w:rFonts w:ascii="宋体" w:hAnsi="宋体" w:eastAsia="宋体"/>
                <w:sz w:val="16"/>
              </w:rPr>
              <w:t>购置办公设备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DEF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30AB">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575EF">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25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24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B1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B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F7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FDE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E66F1">
            <w:pPr>
              <w:jc w:val="center"/>
            </w:pPr>
          </w:p>
        </w:tc>
      </w:tr>
      <w:tr w14:paraId="126B3A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D08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2EE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AA6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0BD7">
            <w:pPr>
              <w:jc w:val="center"/>
            </w:pPr>
            <w:r>
              <w:rPr>
                <w:rFonts w:ascii="宋体" w:hAnsi="宋体" w:eastAsia="宋体"/>
                <w:sz w:val="16"/>
              </w:rPr>
              <w:t>基础设施完善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8B2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8F23">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12A2">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4B0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28D9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4B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F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83F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AC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12CF">
            <w:pPr>
              <w:jc w:val="center"/>
            </w:pPr>
          </w:p>
        </w:tc>
      </w:tr>
      <w:tr w14:paraId="627037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B7D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BB7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49ED5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32A73">
            <w:pPr>
              <w:jc w:val="center"/>
            </w:pPr>
            <w:r>
              <w:rPr>
                <w:rFonts w:ascii="宋体" w:hAnsi="宋体" w:eastAsia="宋体"/>
                <w:sz w:val="16"/>
              </w:rPr>
              <w:t>政府采购合格率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CC89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898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1C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8AE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59E7A">
            <w:pPr>
              <w:jc w:val="center"/>
            </w:pPr>
            <w:r>
              <w:rPr>
                <w:rFonts w:ascii="宋体" w:hAnsi="宋体" w:eastAsia="宋体"/>
                <w:sz w:val="16"/>
              </w:rPr>
              <w:t>7.12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A64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689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278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897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C1CE">
            <w:pPr>
              <w:jc w:val="center"/>
            </w:pPr>
            <w:r>
              <w:rPr>
                <w:rFonts w:ascii="宋体" w:hAnsi="宋体" w:eastAsia="宋体"/>
                <w:sz w:val="16"/>
              </w:rPr>
              <w:t>本年采购设备已完成，均一次性采购验收合格</w:t>
            </w:r>
          </w:p>
        </w:tc>
      </w:tr>
      <w:tr w14:paraId="668A9B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F0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0AB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2A2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91E0">
            <w:pPr>
              <w:jc w:val="center"/>
            </w:pPr>
            <w:r>
              <w:rPr>
                <w:rFonts w:ascii="宋体" w:hAnsi="宋体" w:eastAsia="宋体"/>
                <w:sz w:val="16"/>
              </w:rPr>
              <w:t>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F5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360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FDD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0A54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59176">
            <w:pPr>
              <w:jc w:val="center"/>
            </w:pPr>
            <w:r>
              <w:rPr>
                <w:rFonts w:ascii="宋体" w:hAnsi="宋体" w:eastAsia="宋体"/>
                <w:sz w:val="16"/>
              </w:rPr>
              <w:t>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E52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A6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091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230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AAEFC">
            <w:pPr>
              <w:jc w:val="center"/>
            </w:pPr>
            <w:r>
              <w:rPr>
                <w:rFonts w:ascii="宋体" w:hAnsi="宋体" w:eastAsia="宋体"/>
                <w:sz w:val="16"/>
              </w:rPr>
              <w:t>本年采购设备已完成，均一次性验收合格</w:t>
            </w:r>
          </w:p>
        </w:tc>
      </w:tr>
      <w:tr w14:paraId="0C53DC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F84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6FF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50CB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F8DA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429C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06650">
            <w:pPr>
              <w:jc w:val="center"/>
            </w:pPr>
            <w:r>
              <w:rPr>
                <w:rFonts w:ascii="宋体" w:hAnsi="宋体" w:eastAsia="宋体"/>
                <w:sz w:val="16"/>
              </w:rPr>
              <w:t>&gt;=10个月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CCF25">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5D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7940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7A1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898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EC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98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6C955">
            <w:pPr>
              <w:jc w:val="center"/>
            </w:pPr>
          </w:p>
        </w:tc>
      </w:tr>
      <w:tr w14:paraId="726247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1B9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A60E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B1A7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831F">
            <w:pPr>
              <w:jc w:val="center"/>
            </w:pPr>
            <w:r>
              <w:rPr>
                <w:rFonts w:ascii="宋体" w:hAnsi="宋体" w:eastAsia="宋体"/>
                <w:sz w:val="16"/>
              </w:rPr>
              <w:t>办公执法设备购置成本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384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6068F">
            <w:pPr>
              <w:jc w:val="center"/>
            </w:pPr>
            <w:r>
              <w:rPr>
                <w:rFonts w:ascii="宋体" w:hAnsi="宋体" w:eastAsia="宋体"/>
                <w:sz w:val="16"/>
              </w:rPr>
              <w:t>&lt;=12.12万元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4D8C6">
            <w:pPr>
              <w:jc w:val="center"/>
            </w:pPr>
            <w:r>
              <w:rPr>
                <w:rFonts w:ascii="宋体" w:hAnsi="宋体" w:eastAsia="宋体"/>
                <w:sz w:val="16"/>
              </w:rPr>
              <w:t>=12.12万元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10B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C44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318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CB7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5A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05D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9D988">
            <w:pPr>
              <w:jc w:val="center"/>
            </w:pPr>
          </w:p>
        </w:tc>
      </w:tr>
      <w:tr w14:paraId="620217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503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FCE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703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4B05">
            <w:pPr>
              <w:jc w:val="center"/>
            </w:pPr>
            <w:r>
              <w:rPr>
                <w:rFonts w:ascii="宋体" w:hAnsi="宋体" w:eastAsia="宋体"/>
                <w:sz w:val="16"/>
              </w:rPr>
              <w:t>设施完善成本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DB1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5A5C">
            <w:pPr>
              <w:jc w:val="center"/>
            </w:pPr>
            <w:r>
              <w:rPr>
                <w:rFonts w:ascii="宋体" w:hAnsi="宋体" w:eastAsia="宋体"/>
                <w:sz w:val="16"/>
              </w:rPr>
              <w:t>&lt;=2.88万元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F3BB9">
            <w:pPr>
              <w:jc w:val="center"/>
            </w:pPr>
            <w:r>
              <w:rPr>
                <w:rFonts w:ascii="宋体" w:hAnsi="宋体" w:eastAsia="宋体"/>
                <w:sz w:val="16"/>
              </w:rPr>
              <w: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E14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73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4FE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107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9D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BFB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55A5A">
            <w:pPr>
              <w:jc w:val="center"/>
            </w:pPr>
          </w:p>
        </w:tc>
      </w:tr>
      <w:tr w14:paraId="5FD3FA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2F9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E7893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18DC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1AFBA">
            <w:pPr>
              <w:jc w:val="center"/>
            </w:pPr>
            <w:r>
              <w:rPr>
                <w:rFonts w:ascii="宋体" w:hAnsi="宋体" w:eastAsia="宋体"/>
                <w:sz w:val="16"/>
              </w:rPr>
              <w:t>进一步强化提升执法检查的能</w:t>
            </w:r>
            <w:r>
              <w:rPr>
                <w:rFonts w:hint="eastAsia" w:ascii="宋体" w:hAnsi="宋体"/>
                <w:sz w:val="16"/>
                <w:lang w:eastAsia="zh-CN"/>
              </w:rPr>
              <w:t>力和</w:t>
            </w:r>
            <w:r>
              <w:rPr>
                <w:rFonts w:ascii="宋体" w:hAnsi="宋体" w:eastAsia="宋体"/>
                <w:sz w:val="16"/>
              </w:rPr>
              <w:t>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DF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15EC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465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655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F22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E6E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28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30D9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AB1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1AA13">
            <w:pPr>
              <w:jc w:val="center"/>
            </w:pPr>
          </w:p>
        </w:tc>
      </w:tr>
      <w:tr w14:paraId="10052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8A4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10B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9F9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E0F0A">
            <w:pPr>
              <w:jc w:val="center"/>
            </w:pPr>
            <w:r>
              <w:rPr>
                <w:rFonts w:ascii="宋体" w:hAnsi="宋体" w:eastAsia="宋体"/>
                <w:sz w:val="16"/>
              </w:rPr>
              <w:t>保障经济充分高质量发展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A1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5982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BBD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86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654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5D0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F96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3F2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66E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184DB">
            <w:pPr>
              <w:jc w:val="center"/>
            </w:pPr>
          </w:p>
        </w:tc>
      </w:tr>
      <w:tr w14:paraId="34231B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BFE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647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29B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FF0E">
            <w:pPr>
              <w:jc w:val="center"/>
            </w:pPr>
            <w:r>
              <w:rPr>
                <w:rFonts w:ascii="宋体" w:hAnsi="宋体" w:eastAsia="宋体"/>
                <w:sz w:val="16"/>
              </w:rPr>
              <w:t>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09A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074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6BFB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A68F">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AB4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2E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917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4DF7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8FA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1BF6">
            <w:pPr>
              <w:jc w:val="center"/>
            </w:pPr>
            <w:r>
              <w:rPr>
                <w:rFonts w:ascii="宋体" w:hAnsi="宋体" w:eastAsia="宋体"/>
                <w:sz w:val="16"/>
              </w:rPr>
              <w:t>加大工作力度，全心全意做好服务工作，达到高度满意</w:t>
            </w:r>
          </w:p>
        </w:tc>
      </w:tr>
      <w:tr w14:paraId="6633F4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EF67B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025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2571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3D40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B0D5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3A6F">
            <w:pPr>
              <w:jc w:val="center"/>
            </w:pPr>
            <w:r>
              <w:rPr>
                <w:rFonts w:ascii="宋体" w:hAnsi="宋体" w:eastAsia="宋体"/>
                <w:sz w:val="16"/>
              </w:rPr>
              <w:t>98.72分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46A7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E23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14D2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4F2C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0A782C"/>
        </w:tc>
      </w:tr>
    </w:tbl>
    <w:p w14:paraId="01EC385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0514258E">
        <w:tblPrEx>
          <w:tblCellMar>
            <w:top w:w="0" w:type="dxa"/>
            <w:left w:w="108" w:type="dxa"/>
            <w:bottom w:w="0" w:type="dxa"/>
            <w:right w:w="108" w:type="dxa"/>
          </w:tblCellMar>
        </w:tblPrEx>
        <w:tc>
          <w:tcPr>
            <w:tcW w:w="8848" w:type="dxa"/>
            <w:gridSpan w:val="14"/>
            <w:vAlign w:val="center"/>
          </w:tcPr>
          <w:p w14:paraId="4518AD91">
            <w:pPr>
              <w:jc w:val="center"/>
            </w:pPr>
            <w:r>
              <w:rPr>
                <w:rFonts w:ascii="宋体" w:hAnsi="宋体" w:eastAsia="宋体"/>
                <w:sz w:val="24"/>
              </w:rPr>
              <w:t>项目支出绩效自评表</w:t>
            </w:r>
          </w:p>
        </w:tc>
      </w:tr>
      <w:tr w14:paraId="5F7EF82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220F28">
            <w:pPr>
              <w:jc w:val="center"/>
            </w:pPr>
            <w:r>
              <w:rPr>
                <w:rFonts w:ascii="宋体" w:hAnsi="宋体" w:eastAsia="宋体"/>
                <w:sz w:val="24"/>
              </w:rPr>
              <w:t>(2024年度)</w:t>
            </w:r>
          </w:p>
        </w:tc>
      </w:tr>
      <w:tr w14:paraId="4F5E3B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9BF6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E51C0E">
            <w:pPr>
              <w:jc w:val="center"/>
            </w:pPr>
            <w:r>
              <w:rPr>
                <w:rFonts w:ascii="宋体" w:hAnsi="宋体" w:eastAsia="宋体"/>
                <w:sz w:val="16"/>
              </w:rPr>
              <w:t>文化市场执法队运转经费</w:t>
            </w:r>
          </w:p>
        </w:tc>
      </w:tr>
      <w:tr w14:paraId="16BB90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2E22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A97910">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3A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80AE7E">
            <w:pPr>
              <w:jc w:val="center"/>
            </w:pPr>
            <w:r>
              <w:rPr>
                <w:rFonts w:ascii="宋体" w:hAnsi="宋体" w:eastAsia="宋体"/>
                <w:sz w:val="16"/>
              </w:rPr>
              <w:t>昌吉回族自治州文化市场综合执法队</w:t>
            </w:r>
          </w:p>
        </w:tc>
      </w:tr>
      <w:tr w14:paraId="0B2BB2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8661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5D49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32F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98A2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359F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A7C3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A6B4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4E076">
            <w:pPr>
              <w:jc w:val="center"/>
            </w:pPr>
            <w:r>
              <w:rPr>
                <w:rFonts w:ascii="宋体" w:hAnsi="宋体" w:eastAsia="宋体"/>
                <w:sz w:val="16"/>
              </w:rPr>
              <w:t>得分</w:t>
            </w:r>
          </w:p>
        </w:tc>
      </w:tr>
      <w:tr w14:paraId="53A4F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AF9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5410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C2DE7">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64E80">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03FA7">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91E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94FD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33C9">
            <w:pPr>
              <w:jc w:val="center"/>
            </w:pPr>
            <w:r>
              <w:rPr>
                <w:rFonts w:ascii="宋体" w:hAnsi="宋体" w:eastAsia="宋体"/>
                <w:sz w:val="16"/>
              </w:rPr>
              <w:t>10.00</w:t>
            </w:r>
          </w:p>
        </w:tc>
      </w:tr>
      <w:tr w14:paraId="49D0BC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FED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1E4B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4EC20">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BF3F8">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5A00B">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D48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207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6009">
            <w:pPr>
              <w:jc w:val="center"/>
            </w:pPr>
            <w:r>
              <w:rPr>
                <w:rFonts w:ascii="宋体" w:hAnsi="宋体" w:eastAsia="宋体"/>
                <w:sz w:val="16"/>
              </w:rPr>
              <w:t>—</w:t>
            </w:r>
          </w:p>
        </w:tc>
      </w:tr>
      <w:tr w14:paraId="6B66BF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CCD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EC58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D50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F2B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A3E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7D1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B4C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66E8">
            <w:pPr>
              <w:jc w:val="center"/>
            </w:pPr>
            <w:r>
              <w:rPr>
                <w:rFonts w:ascii="宋体" w:hAnsi="宋体" w:eastAsia="宋体"/>
                <w:sz w:val="16"/>
              </w:rPr>
              <w:t>—</w:t>
            </w:r>
          </w:p>
        </w:tc>
      </w:tr>
      <w:tr w14:paraId="45A149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E1AF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82ABB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5B9DCE">
            <w:pPr>
              <w:jc w:val="center"/>
            </w:pPr>
            <w:r>
              <w:rPr>
                <w:rFonts w:ascii="宋体" w:hAnsi="宋体" w:eastAsia="宋体"/>
                <w:sz w:val="16"/>
              </w:rPr>
              <w:t>实际完成情况</w:t>
            </w:r>
          </w:p>
        </w:tc>
      </w:tr>
      <w:tr w14:paraId="5F4106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C66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1A8888">
            <w:pPr>
              <w:jc w:val="both"/>
            </w:pPr>
            <w:r>
              <w:rPr>
                <w:rFonts w:ascii="宋体" w:hAnsi="宋体" w:eastAsia="宋体"/>
                <w:sz w:val="16"/>
              </w:rPr>
              <w:t>由于单位办公地点搬迁，根据现办公地点需要，新增保安、保洁等物业费用。从而保障单位日常工作顺利开展。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18CC8F">
            <w:pPr>
              <w:jc w:val="both"/>
            </w:pPr>
            <w:r>
              <w:rPr>
                <w:rFonts w:hint="eastAsia" w:ascii="宋体" w:hAnsi="宋体"/>
                <w:sz w:val="16"/>
                <w:lang w:eastAsia="zh-CN"/>
              </w:rPr>
              <w:t>截至</w:t>
            </w:r>
            <w:r>
              <w:rPr>
                <w:rFonts w:ascii="宋体" w:hAnsi="宋体" w:eastAsia="宋体"/>
                <w:sz w:val="16"/>
              </w:rPr>
              <w:t>2024年12月31日，该项目雇佣保安1人，保洁1人，发放工资9.6</w:t>
            </w:r>
            <w:r>
              <w:rPr>
                <w:rFonts w:hint="eastAsia" w:ascii="宋体" w:hAnsi="宋体"/>
                <w:sz w:val="16"/>
                <w:lang w:eastAsia="zh-CN"/>
              </w:rPr>
              <w:t>万元</w:t>
            </w:r>
            <w:r>
              <w:rPr>
                <w:rFonts w:ascii="宋体" w:hAnsi="宋体" w:eastAsia="宋体"/>
                <w:sz w:val="16"/>
              </w:rPr>
              <w:t>，通过该项目的实施，提升单位工作环境质量、单位安全保障、单位公共形象，保安保洁工作需要有助于推动单位规范化，制度化管理，促进了单位和谐及单位规范管理。</w:t>
            </w:r>
          </w:p>
        </w:tc>
      </w:tr>
      <w:tr w14:paraId="2986D0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9A04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7F94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1AB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A5B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363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06D7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2FA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2FE2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3D9D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8B5E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E51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84E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E7B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CBEB">
            <w:pPr>
              <w:jc w:val="center"/>
            </w:pPr>
            <w:r>
              <w:rPr>
                <w:rFonts w:ascii="宋体" w:hAnsi="宋体" w:eastAsia="宋体"/>
                <w:sz w:val="16"/>
              </w:rPr>
              <w:t>偏差原因分析及改进措施</w:t>
            </w:r>
          </w:p>
        </w:tc>
      </w:tr>
      <w:tr w14:paraId="0BFC65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0473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027F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981A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5C80">
            <w:pPr>
              <w:jc w:val="center"/>
            </w:pPr>
            <w:r>
              <w:rPr>
                <w:rFonts w:ascii="宋体" w:hAnsi="宋体" w:eastAsia="宋体"/>
                <w:sz w:val="16"/>
              </w:rPr>
              <w:t>新增保安人员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7920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E7C0C">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E037">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E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DE4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4F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EC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466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49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D05E">
            <w:pPr>
              <w:jc w:val="center"/>
            </w:pPr>
          </w:p>
        </w:tc>
      </w:tr>
      <w:tr w14:paraId="26BE6B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AB8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166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23F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36EB">
            <w:pPr>
              <w:jc w:val="center"/>
            </w:pPr>
            <w:r>
              <w:rPr>
                <w:rFonts w:ascii="宋体" w:hAnsi="宋体" w:eastAsia="宋体"/>
                <w:sz w:val="16"/>
              </w:rPr>
              <w:t>新增保洁人员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BE9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054C7">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7A7FB">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744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46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0ED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25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426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70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4E6EA">
            <w:pPr>
              <w:jc w:val="center"/>
            </w:pPr>
          </w:p>
        </w:tc>
      </w:tr>
      <w:tr w14:paraId="3CB04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21D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B94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0355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F7539">
            <w:pPr>
              <w:jc w:val="center"/>
            </w:pPr>
            <w:r>
              <w:rPr>
                <w:rFonts w:ascii="宋体" w:hAnsi="宋体" w:eastAsia="宋体"/>
                <w:sz w:val="16"/>
              </w:rPr>
              <w:t>经费支出政府采购合规率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4477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8540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A3B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259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488D7">
            <w:pPr>
              <w:jc w:val="center"/>
            </w:pPr>
            <w:r>
              <w:rPr>
                <w:rFonts w:ascii="宋体" w:hAnsi="宋体" w:eastAsia="宋体"/>
                <w:sz w:val="16"/>
              </w:rPr>
              <w:t>7.12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75A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87C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0E1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F8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BDD1B">
            <w:pPr>
              <w:jc w:val="center"/>
            </w:pPr>
            <w:r>
              <w:rPr>
                <w:rFonts w:ascii="宋体" w:hAnsi="宋体" w:eastAsia="宋体"/>
                <w:sz w:val="16"/>
              </w:rPr>
              <w:t>严格按</w:t>
            </w:r>
            <w:r>
              <w:rPr>
                <w:rFonts w:hint="eastAsia" w:ascii="宋体" w:hAnsi="宋体"/>
                <w:sz w:val="16"/>
                <w:lang w:eastAsia="zh-CN"/>
              </w:rPr>
              <w:t>政府采购</w:t>
            </w:r>
            <w:r>
              <w:rPr>
                <w:rFonts w:ascii="宋体" w:hAnsi="宋体" w:eastAsia="宋体"/>
                <w:sz w:val="16"/>
              </w:rPr>
              <w:t>程序，做到应采尽采</w:t>
            </w:r>
          </w:p>
        </w:tc>
      </w:tr>
      <w:tr w14:paraId="40C91A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0A6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10D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41E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6E66E">
            <w:pPr>
              <w:jc w:val="center"/>
            </w:pPr>
            <w:r>
              <w:rPr>
                <w:rFonts w:ascii="宋体" w:hAnsi="宋体" w:eastAsia="宋体"/>
                <w:sz w:val="16"/>
              </w:rPr>
              <w:t>物业工作验收合格率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396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B02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62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90A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E0A43">
            <w:pPr>
              <w:jc w:val="center"/>
            </w:pPr>
            <w:r>
              <w:rPr>
                <w:rFonts w:ascii="宋体" w:hAnsi="宋体" w:eastAsia="宋体"/>
                <w:sz w:val="16"/>
              </w:rPr>
              <w:t>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EF8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B44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36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CC2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7CAD">
            <w:pPr>
              <w:jc w:val="center"/>
            </w:pPr>
            <w:r>
              <w:rPr>
                <w:rFonts w:ascii="宋体" w:hAnsi="宋体" w:eastAsia="宋体"/>
                <w:sz w:val="16"/>
              </w:rPr>
              <w:t>通过工作制度要求，不定期抽查，工作比之前合格</w:t>
            </w:r>
          </w:p>
        </w:tc>
      </w:tr>
      <w:tr w14:paraId="6EA05A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AB1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CC7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B691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74F8">
            <w:pPr>
              <w:jc w:val="center"/>
            </w:pPr>
            <w:r>
              <w:rPr>
                <w:rFonts w:ascii="宋体" w:hAnsi="宋体" w:eastAsia="宋体"/>
                <w:sz w:val="16"/>
              </w:rPr>
              <w:t>全年保障时间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28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C896">
            <w:pPr>
              <w:jc w:val="center"/>
            </w:pPr>
            <w:r>
              <w:rPr>
                <w:rFonts w:ascii="宋体" w:hAnsi="宋体" w:eastAsia="宋体"/>
                <w:sz w:val="16"/>
              </w:rPr>
              <w:t>&gt;=10个月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1DFE4">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9BBE">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322E8">
            <w:pPr>
              <w:jc w:val="center"/>
            </w:pPr>
            <w:r>
              <w:rPr>
                <w:rFonts w:ascii="宋体" w:hAnsi="宋体" w:eastAsia="宋体"/>
                <w:sz w:val="16"/>
              </w:rPr>
              <w:t>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7E3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D31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FB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3D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42C0">
            <w:pPr>
              <w:jc w:val="center"/>
            </w:pPr>
            <w:r>
              <w:rPr>
                <w:rFonts w:ascii="宋体" w:hAnsi="宋体" w:eastAsia="宋体"/>
                <w:sz w:val="16"/>
              </w:rPr>
              <w:t>按工作完成时间进度，分摊到12个月</w:t>
            </w:r>
          </w:p>
        </w:tc>
      </w:tr>
      <w:tr w14:paraId="54C4C2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FF3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03B7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A32A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BB1F6">
            <w:pPr>
              <w:jc w:val="center"/>
            </w:pPr>
            <w:r>
              <w:rPr>
                <w:rFonts w:ascii="宋体" w:hAnsi="宋体" w:eastAsia="宋体"/>
                <w:sz w:val="16"/>
              </w:rPr>
              <w:t>保安工作保障成本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4B8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0854">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FE088">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614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95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BB1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CD2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63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7E3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B03B1">
            <w:pPr>
              <w:jc w:val="center"/>
            </w:pPr>
          </w:p>
        </w:tc>
      </w:tr>
      <w:tr w14:paraId="44A85D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1C4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2B8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435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F8B1C">
            <w:pPr>
              <w:jc w:val="center"/>
            </w:pPr>
            <w:r>
              <w:rPr>
                <w:rFonts w:ascii="宋体" w:hAnsi="宋体" w:eastAsia="宋体"/>
                <w:sz w:val="16"/>
              </w:rPr>
              <w:t>保洁工作保障成本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2AA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10762">
            <w:pPr>
              <w:jc w:val="center"/>
            </w:pPr>
            <w:r>
              <w:rPr>
                <w:rFonts w:ascii="宋体" w:hAnsi="宋体" w:eastAsia="宋体"/>
                <w:sz w:val="16"/>
              </w:rPr>
              <w:t>&lt;=4.6万元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D07E">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B18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1E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E62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F63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C09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9B4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241BD">
            <w:pPr>
              <w:jc w:val="center"/>
            </w:pPr>
          </w:p>
        </w:tc>
      </w:tr>
      <w:tr w14:paraId="7D2C1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232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1816C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CF16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14195">
            <w:pPr>
              <w:jc w:val="center"/>
            </w:pPr>
            <w:r>
              <w:rPr>
                <w:rFonts w:ascii="宋体" w:hAnsi="宋体" w:eastAsia="宋体"/>
                <w:sz w:val="16"/>
              </w:rPr>
              <w:t>社会服务能力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883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A63E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49E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18C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1F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B8C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C7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D4AA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CA5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7EB5">
            <w:pPr>
              <w:jc w:val="center"/>
            </w:pPr>
          </w:p>
        </w:tc>
      </w:tr>
      <w:tr w14:paraId="66FB42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F7F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86A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34C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5C01">
            <w:pPr>
              <w:jc w:val="center"/>
            </w:pPr>
            <w:r>
              <w:rPr>
                <w:rFonts w:ascii="宋体" w:hAnsi="宋体" w:eastAsia="宋体"/>
                <w:sz w:val="16"/>
              </w:rPr>
              <w:t>业务保障能力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8D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100C">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D8C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431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680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5B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ED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C872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47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727D">
            <w:pPr>
              <w:jc w:val="center"/>
            </w:pPr>
          </w:p>
        </w:tc>
      </w:tr>
      <w:tr w14:paraId="2F077D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13B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94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12E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550A7">
            <w:pPr>
              <w:jc w:val="center"/>
            </w:pPr>
            <w:r>
              <w:rPr>
                <w:rFonts w:ascii="宋体" w:hAnsi="宋体" w:eastAsia="宋体"/>
                <w:sz w:val="16"/>
              </w:rPr>
              <w:t>雇佣单位满意度（%）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08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E02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AF56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0758">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FAA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21B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F87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33D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B5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FFF9E">
            <w:pPr>
              <w:jc w:val="center"/>
            </w:pPr>
            <w:r>
              <w:rPr>
                <w:rFonts w:ascii="宋体" w:hAnsi="宋体" w:eastAsia="宋体"/>
                <w:sz w:val="16"/>
              </w:rPr>
              <w:t>保洁保安素质技能不足加之夫妇沟通不足，导致执行模糊，服务不到位</w:t>
            </w:r>
          </w:p>
        </w:tc>
      </w:tr>
      <w:tr w14:paraId="299D4C4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9B01C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24E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67B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19C4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E449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AFC99">
            <w:pPr>
              <w:jc w:val="center"/>
            </w:pPr>
            <w:r>
              <w:rPr>
                <w:rFonts w:ascii="宋体" w:hAnsi="宋体" w:eastAsia="宋体"/>
                <w:sz w:val="16"/>
              </w:rPr>
              <w:t>97.12分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5FC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222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D24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327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422F5"/>
        </w:tc>
      </w:tr>
    </w:tbl>
    <w:p w14:paraId="4E7C194E">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96"/>
        <w:gridCol w:w="625"/>
        <w:gridCol w:w="776"/>
        <w:gridCol w:w="696"/>
        <w:gridCol w:w="628"/>
        <w:gridCol w:w="631"/>
        <w:gridCol w:w="623"/>
        <w:gridCol w:w="632"/>
        <w:gridCol w:w="623"/>
        <w:gridCol w:w="626"/>
        <w:gridCol w:w="632"/>
      </w:tblGrid>
      <w:tr w14:paraId="3F72663B">
        <w:tblPrEx>
          <w:tblCellMar>
            <w:top w:w="0" w:type="dxa"/>
            <w:left w:w="108" w:type="dxa"/>
            <w:bottom w:w="0" w:type="dxa"/>
            <w:right w:w="108" w:type="dxa"/>
          </w:tblCellMar>
        </w:tblPrEx>
        <w:tc>
          <w:tcPr>
            <w:tcW w:w="8848" w:type="dxa"/>
            <w:gridSpan w:val="14"/>
            <w:vAlign w:val="center"/>
          </w:tcPr>
          <w:p w14:paraId="2B1D3D2B">
            <w:pPr>
              <w:jc w:val="center"/>
            </w:pPr>
            <w:r>
              <w:rPr>
                <w:rFonts w:ascii="宋体" w:hAnsi="宋体" w:eastAsia="宋体"/>
                <w:sz w:val="24"/>
              </w:rPr>
              <w:t>项目支出绩效自评表</w:t>
            </w:r>
          </w:p>
        </w:tc>
      </w:tr>
      <w:tr w14:paraId="7A8AA73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2A925D">
            <w:pPr>
              <w:jc w:val="center"/>
            </w:pPr>
            <w:r>
              <w:rPr>
                <w:rFonts w:ascii="宋体" w:hAnsi="宋体" w:eastAsia="宋体"/>
                <w:sz w:val="24"/>
              </w:rPr>
              <w:t>(2024年度)</w:t>
            </w:r>
          </w:p>
        </w:tc>
      </w:tr>
      <w:tr w14:paraId="2977F9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534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6C2247">
            <w:pPr>
              <w:jc w:val="center"/>
            </w:pPr>
            <w:r>
              <w:rPr>
                <w:rFonts w:ascii="宋体" w:hAnsi="宋体" w:eastAsia="宋体"/>
                <w:sz w:val="16"/>
              </w:rPr>
              <w:t>文化市场管理经费</w:t>
            </w:r>
          </w:p>
        </w:tc>
      </w:tr>
      <w:tr w14:paraId="2793E1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DBA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321FAF">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0159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B8D74C">
            <w:pPr>
              <w:jc w:val="center"/>
            </w:pPr>
            <w:r>
              <w:rPr>
                <w:rFonts w:ascii="宋体" w:hAnsi="宋体" w:eastAsia="宋体"/>
                <w:sz w:val="16"/>
              </w:rPr>
              <w:t>昌吉回族自治州文化市场综合执法队</w:t>
            </w:r>
          </w:p>
        </w:tc>
      </w:tr>
      <w:tr w14:paraId="083D82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EB00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7F5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412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3CC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30F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813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326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5A276">
            <w:pPr>
              <w:jc w:val="center"/>
            </w:pPr>
            <w:r>
              <w:rPr>
                <w:rFonts w:ascii="宋体" w:hAnsi="宋体" w:eastAsia="宋体"/>
                <w:sz w:val="16"/>
              </w:rPr>
              <w:t>得分</w:t>
            </w:r>
          </w:p>
        </w:tc>
      </w:tr>
      <w:tr w14:paraId="3EC98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CAE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F2C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97772">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FB3B8">
            <w:pPr>
              <w:jc w:val="center"/>
            </w:pPr>
            <w:r>
              <w:rPr>
                <w:rFonts w:ascii="宋体" w:hAnsi="宋体" w:eastAsia="宋体"/>
                <w:sz w:val="16"/>
              </w:rPr>
              <w:t>58.21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3E269">
            <w:pPr>
              <w:jc w:val="center"/>
            </w:pPr>
            <w:r>
              <w:rPr>
                <w:rFonts w:ascii="宋体" w:hAnsi="宋体" w:eastAsia="宋体"/>
                <w:sz w:val="16"/>
              </w:rPr>
              <w:t>58.21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3C9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820E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FC707">
            <w:pPr>
              <w:jc w:val="center"/>
            </w:pPr>
            <w:r>
              <w:rPr>
                <w:rFonts w:ascii="宋体" w:hAnsi="宋体" w:eastAsia="宋体"/>
                <w:sz w:val="16"/>
              </w:rPr>
              <w:t>10.00</w:t>
            </w:r>
          </w:p>
        </w:tc>
      </w:tr>
      <w:tr w14:paraId="7259EA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634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7C93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52898">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A4C0A">
            <w:pPr>
              <w:jc w:val="center"/>
            </w:pPr>
            <w:r>
              <w:rPr>
                <w:rFonts w:ascii="宋体" w:hAnsi="宋体" w:eastAsia="宋体"/>
                <w:sz w:val="16"/>
              </w:rPr>
              <w:t>58.21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D51CF">
            <w:pPr>
              <w:jc w:val="center"/>
            </w:pPr>
            <w:r>
              <w:rPr>
                <w:rFonts w:ascii="宋体" w:hAnsi="宋体" w:eastAsia="宋体"/>
                <w:sz w:val="16"/>
              </w:rPr>
              <w:t>58.21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1B4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53D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8722D">
            <w:pPr>
              <w:jc w:val="center"/>
            </w:pPr>
            <w:r>
              <w:rPr>
                <w:rFonts w:ascii="宋体" w:hAnsi="宋体" w:eastAsia="宋体"/>
                <w:sz w:val="16"/>
              </w:rPr>
              <w:t>—</w:t>
            </w:r>
          </w:p>
        </w:tc>
      </w:tr>
      <w:tr w14:paraId="02A51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664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A234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12E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DC2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4C2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CEC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464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57BCB">
            <w:pPr>
              <w:jc w:val="center"/>
            </w:pPr>
            <w:r>
              <w:rPr>
                <w:rFonts w:ascii="宋体" w:hAnsi="宋体" w:eastAsia="宋体"/>
                <w:sz w:val="16"/>
              </w:rPr>
              <w:t>—</w:t>
            </w:r>
          </w:p>
        </w:tc>
      </w:tr>
      <w:tr w14:paraId="5E9F54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E0E9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6BD20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24D647">
            <w:pPr>
              <w:jc w:val="center"/>
            </w:pPr>
            <w:r>
              <w:rPr>
                <w:rFonts w:ascii="宋体" w:hAnsi="宋体" w:eastAsia="宋体"/>
                <w:sz w:val="16"/>
              </w:rPr>
              <w:t>实际完成情况</w:t>
            </w:r>
          </w:p>
        </w:tc>
      </w:tr>
      <w:tr w14:paraId="094E5E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844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A2B621">
            <w:pPr>
              <w:jc w:val="both"/>
            </w:pPr>
            <w:r>
              <w:rPr>
                <w:rFonts w:ascii="宋体" w:hAnsi="宋体" w:eastAsia="宋体"/>
                <w:sz w:val="16"/>
              </w:rPr>
              <w:t>昌吉州文化市场综合执法队主要负责自治州文化市场综合执法工作，拟定文化和旅游市场综合执法工作标准与规范并监督实施；指导、推动自治州文化市场综合执法队伍建设；指导、监督全州文化和旅游市场综合执法工作；深入开展意识形态领域检查、文化市场安全生产检查，常态化抓好“</w:t>
            </w:r>
            <w:r>
              <w:rPr>
                <w:rFonts w:hint="eastAsia" w:ascii="宋体" w:hAnsi="宋体"/>
                <w:sz w:val="16"/>
                <w:lang w:eastAsia="zh-CN"/>
              </w:rPr>
              <w:t>扫黄打非</w:t>
            </w:r>
            <w:r>
              <w:rPr>
                <w:rFonts w:ascii="宋体" w:hAnsi="宋体" w:eastAsia="宋体"/>
                <w:sz w:val="16"/>
              </w:rPr>
              <w:t>”和网吧歌舞娱乐场所、非法地面卫星接收设施等工作。 项目目标：开展文化市场检查50次以上，举办执法人员培训2次以上，鉴定出版物1批。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0CD701">
            <w:pPr>
              <w:jc w:val="both"/>
            </w:pPr>
            <w:r>
              <w:rPr>
                <w:rFonts w:hint="eastAsia" w:ascii="宋体" w:hAnsi="宋体"/>
                <w:sz w:val="16"/>
                <w:lang w:eastAsia="zh-CN"/>
              </w:rPr>
              <w:t>截至</w:t>
            </w:r>
            <w:r>
              <w:rPr>
                <w:rFonts w:ascii="宋体" w:hAnsi="宋体" w:eastAsia="宋体"/>
                <w:sz w:val="16"/>
              </w:rPr>
              <w:t>2024年12月31日，该项目完成全年文化市场检查50次，鉴定出版物1批，全年举办培训班2次，共6天，文化市场检查完成率达到100%，培训班培训完成率达到10%，通过该项目的实施，提升了广大群众学法懂法守法用法的意识、管理能力和水平，促进文化产业发展、满足人民群众精神文化需求发挥了重要作用</w:t>
            </w:r>
          </w:p>
        </w:tc>
      </w:tr>
      <w:tr w14:paraId="06F6F4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C826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C7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7F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B11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483F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25FD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6F7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62C9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2916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5C78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C4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2ECD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786A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ED5A">
            <w:pPr>
              <w:jc w:val="center"/>
            </w:pPr>
            <w:r>
              <w:rPr>
                <w:rFonts w:ascii="宋体" w:hAnsi="宋体" w:eastAsia="宋体"/>
                <w:sz w:val="16"/>
              </w:rPr>
              <w:t>偏差原因分析及改进措施</w:t>
            </w:r>
          </w:p>
        </w:tc>
      </w:tr>
      <w:tr w14:paraId="249C73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F232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71333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4E33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AEAF1">
            <w:pPr>
              <w:jc w:val="center"/>
            </w:pPr>
            <w:r>
              <w:rPr>
                <w:rFonts w:ascii="宋体" w:hAnsi="宋体" w:eastAsia="宋体"/>
                <w:sz w:val="16"/>
              </w:rPr>
              <w:t>全年开展文化市场检查数量（次）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101A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0514">
            <w:pPr>
              <w:jc w:val="center"/>
            </w:pPr>
            <w:r>
              <w:rPr>
                <w:rFonts w:ascii="宋体" w:hAnsi="宋体" w:eastAsia="宋体"/>
                <w:sz w:val="16"/>
              </w:rPr>
              <w:t>&gt;=50次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9E2D">
            <w:pPr>
              <w:jc w:val="center"/>
            </w:pPr>
            <w:r>
              <w:rPr>
                <w:rFonts w:ascii="宋体" w:hAnsi="宋体" w:eastAsia="宋体"/>
                <w:sz w:val="16"/>
              </w:rPr>
              <w:t>=50次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FF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26F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8A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D5981">
            <w:pPr>
              <w:jc w:val="center"/>
            </w:pPr>
            <w:r>
              <w:rPr>
                <w:rFonts w:ascii="宋体" w:hAnsi="宋体" w:eastAsia="宋体"/>
                <w:sz w:val="16"/>
              </w:rPr>
              <w:t>34次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D17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BEC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7D40">
            <w:pPr>
              <w:jc w:val="center"/>
            </w:pPr>
          </w:p>
        </w:tc>
      </w:tr>
      <w:tr w14:paraId="5B68D0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341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7B7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6D1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30B82">
            <w:pPr>
              <w:jc w:val="center"/>
            </w:pPr>
            <w:r>
              <w:rPr>
                <w:rFonts w:ascii="宋体" w:hAnsi="宋体" w:eastAsia="宋体"/>
                <w:sz w:val="16"/>
              </w:rPr>
              <w:t>全年鉴定出版物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9D87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155B1">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7093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03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4FD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A8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2A90">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67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A1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C0E87">
            <w:pPr>
              <w:jc w:val="center"/>
            </w:pPr>
          </w:p>
        </w:tc>
      </w:tr>
      <w:tr w14:paraId="284CF7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94E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6E0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07B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1829">
            <w:pPr>
              <w:jc w:val="center"/>
            </w:pPr>
            <w:r>
              <w:rPr>
                <w:rFonts w:ascii="宋体" w:hAnsi="宋体" w:eastAsia="宋体"/>
                <w:sz w:val="16"/>
              </w:rPr>
              <w:t>全年举办全州执法人员培训班数量（次）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2CC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5B8A2">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821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A25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EC1C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D3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4F1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D82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126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F9A52">
            <w:pPr>
              <w:jc w:val="center"/>
            </w:pPr>
          </w:p>
        </w:tc>
      </w:tr>
      <w:tr w14:paraId="10516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2D3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FE2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1719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C05EF">
            <w:pPr>
              <w:jc w:val="center"/>
            </w:pPr>
            <w:r>
              <w:rPr>
                <w:rFonts w:ascii="宋体" w:hAnsi="宋体" w:eastAsia="宋体"/>
                <w:sz w:val="16"/>
              </w:rPr>
              <w:t>全年开展文化市场检查完成率（%）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6FF4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89EA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7F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E473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2A3F">
            <w:pPr>
              <w:jc w:val="center"/>
            </w:pPr>
            <w:r>
              <w:rPr>
                <w:rFonts w:ascii="宋体" w:hAnsi="宋体" w:eastAsia="宋体"/>
                <w:sz w:val="16"/>
              </w:rPr>
              <w:t>6.23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0CD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5D80">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81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3FD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F373">
            <w:pPr>
              <w:jc w:val="center"/>
            </w:pPr>
            <w:r>
              <w:rPr>
                <w:rFonts w:ascii="宋体" w:hAnsi="宋体" w:eastAsia="宋体"/>
                <w:sz w:val="16"/>
              </w:rPr>
              <w:t>执法人员积极性高主动增加检查次数和范围</w:t>
            </w:r>
          </w:p>
        </w:tc>
      </w:tr>
      <w:tr w14:paraId="5902F3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972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039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05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44A1">
            <w:pPr>
              <w:jc w:val="center"/>
            </w:pPr>
            <w:r>
              <w:rPr>
                <w:rFonts w:ascii="宋体" w:hAnsi="宋体" w:eastAsia="宋体"/>
                <w:sz w:val="16"/>
              </w:rPr>
              <w:t>全年开展执法人员培训班完成率（%）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61E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CFCD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9A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8758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AA6B9">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01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7990F">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70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D2E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50196">
            <w:pPr>
              <w:jc w:val="center"/>
            </w:pPr>
            <w:r>
              <w:rPr>
                <w:rFonts w:ascii="宋体" w:hAnsi="宋体" w:eastAsia="宋体"/>
                <w:sz w:val="16"/>
              </w:rPr>
              <w:t>目标设定保守，培训资源准备充分，培训组织管理工作到位，提高了完成率</w:t>
            </w:r>
          </w:p>
        </w:tc>
      </w:tr>
      <w:tr w14:paraId="0D40F6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A37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C83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D25C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7CDAE">
            <w:pPr>
              <w:jc w:val="center"/>
            </w:pPr>
            <w:r>
              <w:rPr>
                <w:rFonts w:ascii="宋体" w:hAnsi="宋体" w:eastAsia="宋体"/>
                <w:sz w:val="16"/>
              </w:rPr>
              <w:t>培训工作开展时间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0809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4EB3">
            <w:pPr>
              <w:jc w:val="center"/>
            </w:pPr>
            <w:r>
              <w:rPr>
                <w:rFonts w:ascii="宋体" w:hAnsi="宋体" w:eastAsia="宋体"/>
                <w:sz w:val="16"/>
              </w:rPr>
              <w:t>&gt;=5天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B6802">
            <w:pPr>
              <w:jc w:val="center"/>
            </w:pPr>
            <w:r>
              <w:rPr>
                <w:rFonts w:ascii="宋体" w:hAnsi="宋体" w:eastAsia="宋体"/>
                <w:sz w:val="16"/>
              </w:rPr>
              <w:t>=6天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A8D3">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396C">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1F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6FF82">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A8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754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983DA">
            <w:pPr>
              <w:jc w:val="center"/>
            </w:pPr>
            <w:r>
              <w:rPr>
                <w:rFonts w:ascii="宋体" w:hAnsi="宋体" w:eastAsia="宋体"/>
                <w:sz w:val="16"/>
              </w:rPr>
              <w:t>培训时间目标设定保守，课程安排不合理，时间分配不合理</w:t>
            </w:r>
          </w:p>
        </w:tc>
      </w:tr>
      <w:tr w14:paraId="159B4B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F10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A37B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167E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3E17">
            <w:pPr>
              <w:jc w:val="center"/>
            </w:pPr>
            <w:r>
              <w:rPr>
                <w:rFonts w:ascii="宋体" w:hAnsi="宋体" w:eastAsia="宋体"/>
                <w:sz w:val="16"/>
              </w:rPr>
              <w:t>文化市场检查业务成本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90E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D4EE">
            <w:pPr>
              <w:jc w:val="center"/>
            </w:pPr>
            <w:r>
              <w:rPr>
                <w:rFonts w:ascii="宋体" w:hAnsi="宋体" w:eastAsia="宋体"/>
                <w:sz w:val="16"/>
              </w:rPr>
              <w:t>&lt;=47.37万元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202E7">
            <w:pPr>
              <w:jc w:val="center"/>
            </w:pPr>
            <w:r>
              <w:rPr>
                <w:rFonts w:ascii="宋体" w:hAnsi="宋体" w:eastAsia="宋体"/>
                <w:sz w:val="16"/>
              </w:rPr>
              <w:t>=47.37万元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5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78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6FE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79B87">
            <w:pPr>
              <w:jc w:val="center"/>
            </w:pPr>
            <w:r>
              <w:rPr>
                <w:rFonts w:ascii="宋体" w:hAnsi="宋体" w:eastAsia="宋体"/>
                <w:sz w:val="16"/>
              </w:rPr>
              <w:t>17.74万元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8A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2108">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8CD55">
            <w:pPr>
              <w:jc w:val="center"/>
            </w:pPr>
          </w:p>
        </w:tc>
      </w:tr>
      <w:tr w14:paraId="4C8CEF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2B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800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3F8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94D4">
            <w:pPr>
              <w:jc w:val="center"/>
            </w:pPr>
            <w:r>
              <w:rPr>
                <w:rFonts w:ascii="宋体" w:hAnsi="宋体" w:eastAsia="宋体"/>
                <w:sz w:val="16"/>
              </w:rPr>
              <w:t>文化市场培训成本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99B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70224">
            <w:pPr>
              <w:jc w:val="center"/>
            </w:pPr>
            <w:r>
              <w:rPr>
                <w:rFonts w:ascii="宋体" w:hAnsi="宋体" w:eastAsia="宋体"/>
                <w:sz w:val="16"/>
              </w:rPr>
              <w:t>&lt;=10.84万元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6DF5">
            <w:pPr>
              <w:jc w:val="center"/>
            </w:pPr>
            <w:r>
              <w:rPr>
                <w:rFonts w:ascii="宋体" w:hAnsi="宋体" w:eastAsia="宋体"/>
                <w:sz w:val="16"/>
              </w:rPr>
              <w:t>=10.84万元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BC0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C93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ED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00F8E">
            <w:pPr>
              <w:jc w:val="center"/>
            </w:pPr>
            <w:r>
              <w:rPr>
                <w:rFonts w:ascii="宋体" w:hAnsi="宋体" w:eastAsia="宋体"/>
                <w:sz w:val="16"/>
              </w:rPr>
              <w:t>4.62万元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B68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1A8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8E79">
            <w:pPr>
              <w:jc w:val="center"/>
            </w:pPr>
          </w:p>
        </w:tc>
      </w:tr>
      <w:tr w14:paraId="107240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0384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6D77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ADD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3D57D">
            <w:pPr>
              <w:jc w:val="center"/>
            </w:pPr>
            <w:r>
              <w:rPr>
                <w:rFonts w:ascii="宋体" w:hAnsi="宋体" w:eastAsia="宋体"/>
                <w:sz w:val="16"/>
              </w:rPr>
              <w:t>文化市场得到有效整治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24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9B6F1">
            <w:pPr>
              <w:jc w:val="center"/>
            </w:pPr>
            <w:r>
              <w:rPr>
                <w:rFonts w:ascii="宋体" w:hAnsi="宋体" w:eastAsia="宋体"/>
                <w:sz w:val="16"/>
              </w:rPr>
              <w:t>有效净化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9B1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5E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ABC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1C6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35D7F">
            <w:pPr>
              <w:jc w:val="center"/>
            </w:pPr>
            <w:r>
              <w:rPr>
                <w:rFonts w:ascii="宋体" w:hAnsi="宋体" w:eastAsia="宋体"/>
                <w:sz w:val="16"/>
              </w:rPr>
              <w:t>有效净化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AAA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DD7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9FED">
            <w:pPr>
              <w:jc w:val="center"/>
            </w:pPr>
          </w:p>
        </w:tc>
      </w:tr>
      <w:tr w14:paraId="5B47F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A1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ED2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D62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1F0B">
            <w:pPr>
              <w:jc w:val="center"/>
            </w:pPr>
            <w:r>
              <w:rPr>
                <w:rFonts w:ascii="宋体" w:hAnsi="宋体" w:eastAsia="宋体"/>
                <w:sz w:val="16"/>
              </w:rPr>
              <w:t>持续开展文化市场检查，大力整治文化市场，净化市场环境。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82A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8432D">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1C5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005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34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3B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9E4D">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F3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77B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902C">
            <w:pPr>
              <w:jc w:val="center"/>
            </w:pPr>
          </w:p>
        </w:tc>
      </w:tr>
      <w:tr w14:paraId="093A2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A4C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B1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3ABF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560E0">
            <w:pPr>
              <w:jc w:val="center"/>
            </w:pPr>
            <w:r>
              <w:rPr>
                <w:rFonts w:ascii="宋体" w:hAnsi="宋体" w:eastAsia="宋体"/>
                <w:sz w:val="16"/>
              </w:rPr>
              <w:t>群众对文化市场管理工作的满意度（%）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AA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D964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1975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17879">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46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96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1A44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CB5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57F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6DC4">
            <w:pPr>
              <w:jc w:val="center"/>
            </w:pPr>
            <w:r>
              <w:rPr>
                <w:rFonts w:ascii="宋体" w:hAnsi="宋体" w:eastAsia="宋体"/>
                <w:sz w:val="16"/>
              </w:rPr>
              <w:t>部分群众对管理目标，措施不了解，导致误解或者对文化市场管理工作有偏见</w:t>
            </w:r>
          </w:p>
        </w:tc>
      </w:tr>
      <w:tr w14:paraId="771C55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53BA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A57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F17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2876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5304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1EA53">
            <w:pPr>
              <w:jc w:val="center"/>
            </w:pPr>
            <w:r>
              <w:rPr>
                <w:rFonts w:ascii="宋体" w:hAnsi="宋体" w:eastAsia="宋体"/>
                <w:sz w:val="16"/>
              </w:rPr>
              <w:t>97.73分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64E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7533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6B18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1FA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AC90E"/>
        </w:tc>
      </w:tr>
    </w:tbl>
    <w:p w14:paraId="5B6355DB">
      <w:r>
        <w:br w:type="page"/>
      </w:r>
    </w:p>
    <w:p w14:paraId="2419A4A8">
      <w:pPr>
        <w:spacing w:line="640" w:lineRule="exact"/>
        <w:ind w:firstLine="640"/>
        <w:jc w:val="both"/>
        <w:outlineLvl w:val="2"/>
      </w:pPr>
      <w:r>
        <w:rPr>
          <w:rFonts w:ascii="黑体" w:hAnsi="黑体" w:eastAsia="黑体"/>
          <w:sz w:val="32"/>
        </w:rPr>
        <w:t>十二、其他需说明的事项</w:t>
      </w:r>
    </w:p>
    <w:p w14:paraId="3B3D4F61">
      <w:pPr>
        <w:spacing w:line="580" w:lineRule="exact"/>
        <w:ind w:firstLine="640"/>
        <w:jc w:val="both"/>
      </w:pPr>
      <w:r>
        <w:rPr>
          <w:rFonts w:ascii="仿宋_GB2312" w:hAnsi="仿宋_GB2312" w:eastAsia="仿宋_GB2312"/>
          <w:b w:val="0"/>
          <w:sz w:val="32"/>
        </w:rPr>
        <w:t>本单位无其他需说明的事项。</w:t>
      </w:r>
    </w:p>
    <w:p w14:paraId="23AE840D">
      <w:r>
        <w:br w:type="page"/>
      </w:r>
    </w:p>
    <w:p w14:paraId="296B4826">
      <w:pPr>
        <w:spacing w:line="240" w:lineRule="auto"/>
        <w:jc w:val="center"/>
        <w:outlineLvl w:val="1"/>
      </w:pPr>
      <w:r>
        <w:rPr>
          <w:rFonts w:ascii="黑体" w:hAnsi="黑体" w:eastAsia="黑体"/>
          <w:sz w:val="32"/>
        </w:rPr>
        <w:t>第三部分 专业名词解释</w:t>
      </w:r>
    </w:p>
    <w:p w14:paraId="2F3FF6D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E4C298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7FAA87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530606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59A546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E47105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5E3B5B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29B872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CA59E1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6B0FA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CD766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E476A1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26A8C8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E6A77E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A254C30">
      <w:r>
        <w:br w:type="page"/>
      </w:r>
    </w:p>
    <w:p w14:paraId="33CD555B">
      <w:pPr>
        <w:spacing w:line="240" w:lineRule="auto"/>
        <w:jc w:val="center"/>
        <w:outlineLvl w:val="1"/>
      </w:pPr>
      <w:r>
        <w:rPr>
          <w:rFonts w:ascii="黑体" w:hAnsi="黑体" w:eastAsia="黑体"/>
          <w:sz w:val="32"/>
        </w:rPr>
        <w:t>第四部分 部门决算报表（见附表）</w:t>
      </w:r>
    </w:p>
    <w:p w14:paraId="607CD082">
      <w:pPr>
        <w:spacing w:line="240" w:lineRule="auto"/>
        <w:ind w:firstLine="640"/>
        <w:jc w:val="both"/>
      </w:pPr>
      <w:r>
        <w:rPr>
          <w:rFonts w:ascii="仿宋_GB2312" w:hAnsi="仿宋_GB2312" w:eastAsia="仿宋_GB2312"/>
          <w:b w:val="0"/>
          <w:sz w:val="32"/>
        </w:rPr>
        <w:t>一、《收入支出决算总表》</w:t>
      </w:r>
    </w:p>
    <w:p w14:paraId="393844F6">
      <w:pPr>
        <w:spacing w:line="240" w:lineRule="auto"/>
        <w:ind w:firstLine="640"/>
        <w:jc w:val="both"/>
      </w:pPr>
      <w:r>
        <w:rPr>
          <w:rFonts w:ascii="仿宋_GB2312" w:hAnsi="仿宋_GB2312" w:eastAsia="仿宋_GB2312"/>
          <w:b w:val="0"/>
          <w:sz w:val="32"/>
        </w:rPr>
        <w:t>二、《收入决算表》</w:t>
      </w:r>
    </w:p>
    <w:p w14:paraId="593C0F04">
      <w:pPr>
        <w:spacing w:line="240" w:lineRule="auto"/>
        <w:ind w:firstLine="640"/>
        <w:jc w:val="both"/>
      </w:pPr>
      <w:r>
        <w:rPr>
          <w:rFonts w:ascii="仿宋_GB2312" w:hAnsi="仿宋_GB2312" w:eastAsia="仿宋_GB2312"/>
          <w:b w:val="0"/>
          <w:sz w:val="32"/>
        </w:rPr>
        <w:t>三、《支出决算表》</w:t>
      </w:r>
    </w:p>
    <w:p w14:paraId="1FF323EB">
      <w:pPr>
        <w:spacing w:line="240" w:lineRule="auto"/>
        <w:ind w:firstLine="640"/>
        <w:jc w:val="both"/>
      </w:pPr>
      <w:r>
        <w:rPr>
          <w:rFonts w:ascii="仿宋_GB2312" w:hAnsi="仿宋_GB2312" w:eastAsia="仿宋_GB2312"/>
          <w:b w:val="0"/>
          <w:sz w:val="32"/>
        </w:rPr>
        <w:t>四、《财政拨款收入支出决算总表》</w:t>
      </w:r>
    </w:p>
    <w:p w14:paraId="125E7046">
      <w:pPr>
        <w:spacing w:line="240" w:lineRule="auto"/>
        <w:ind w:firstLine="640"/>
        <w:jc w:val="both"/>
      </w:pPr>
      <w:r>
        <w:rPr>
          <w:rFonts w:ascii="仿宋_GB2312" w:hAnsi="仿宋_GB2312" w:eastAsia="仿宋_GB2312"/>
          <w:b w:val="0"/>
          <w:sz w:val="32"/>
        </w:rPr>
        <w:t>五、《一般公共预算财政拨款支出决算表》</w:t>
      </w:r>
    </w:p>
    <w:p w14:paraId="5AC10110">
      <w:pPr>
        <w:spacing w:line="240" w:lineRule="auto"/>
        <w:ind w:firstLine="640"/>
        <w:jc w:val="both"/>
      </w:pPr>
      <w:r>
        <w:rPr>
          <w:rFonts w:ascii="仿宋_GB2312" w:hAnsi="仿宋_GB2312" w:eastAsia="仿宋_GB2312"/>
          <w:b w:val="0"/>
          <w:sz w:val="32"/>
        </w:rPr>
        <w:t>六、《一般公共预算财政拨款基本支出决算表》</w:t>
      </w:r>
    </w:p>
    <w:p w14:paraId="5D67673F">
      <w:pPr>
        <w:spacing w:line="240" w:lineRule="auto"/>
        <w:ind w:firstLine="640"/>
        <w:jc w:val="both"/>
      </w:pPr>
      <w:r>
        <w:rPr>
          <w:rFonts w:ascii="仿宋_GB2312" w:hAnsi="仿宋_GB2312" w:eastAsia="仿宋_GB2312"/>
          <w:b w:val="0"/>
          <w:sz w:val="32"/>
        </w:rPr>
        <w:t>七、《政府性基金预算财政拨款收入支出决算表》</w:t>
      </w:r>
    </w:p>
    <w:p w14:paraId="4A067BB3">
      <w:pPr>
        <w:spacing w:line="240" w:lineRule="auto"/>
        <w:ind w:firstLine="640"/>
        <w:jc w:val="both"/>
      </w:pPr>
      <w:r>
        <w:rPr>
          <w:rFonts w:ascii="仿宋_GB2312" w:hAnsi="仿宋_GB2312" w:eastAsia="仿宋_GB2312"/>
          <w:b w:val="0"/>
          <w:sz w:val="32"/>
        </w:rPr>
        <w:t>八、《国有资本经营预算财政拨款收入支出决算表》</w:t>
      </w:r>
    </w:p>
    <w:p w14:paraId="29CA2494">
      <w:pPr>
        <w:spacing w:line="240" w:lineRule="auto"/>
        <w:ind w:firstLine="640"/>
        <w:jc w:val="both"/>
      </w:pPr>
      <w:r>
        <w:rPr>
          <w:rFonts w:ascii="仿宋_GB2312" w:hAnsi="仿宋_GB2312" w:eastAsia="仿宋_GB2312"/>
          <w:b w:val="0"/>
          <w:sz w:val="32"/>
        </w:rPr>
        <w:t>九、《财政拨款“三公”经费支出决算表》</w:t>
      </w:r>
    </w:p>
    <w:p w14:paraId="692FE846">
      <w:pPr>
        <w:spacing w:line="240" w:lineRule="auto"/>
        <w:ind w:firstLine="640"/>
        <w:jc w:val="both"/>
      </w:pPr>
    </w:p>
    <w:p w14:paraId="021D35A2">
      <w:pPr>
        <w:spacing w:line="240" w:lineRule="auto"/>
        <w:ind w:firstLine="640"/>
        <w:jc w:val="both"/>
      </w:pPr>
    </w:p>
    <w:p w14:paraId="4D6061F8">
      <w:pPr>
        <w:spacing w:line="240" w:lineRule="auto"/>
        <w:ind w:firstLine="640"/>
        <w:jc w:val="both"/>
      </w:pPr>
    </w:p>
    <w:p w14:paraId="51FB5C41">
      <w:pPr>
        <w:spacing w:line="240" w:lineRule="auto"/>
        <w:ind w:firstLine="640"/>
        <w:jc w:val="both"/>
      </w:pPr>
    </w:p>
    <w:p w14:paraId="4F13129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198E92-7DE8-4B62-BFF0-107C23C4D3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7DDD4A3-74ED-4229-A7AB-531C754D8EFC}"/>
  </w:font>
  <w:font w:name="仿宋_GB2312">
    <w:altName w:val="仿宋"/>
    <w:panose1 w:val="02010609030101010101"/>
    <w:charset w:val="86"/>
    <w:family w:val="modern"/>
    <w:pitch w:val="default"/>
    <w:sig w:usb0="00000000" w:usb1="00000000" w:usb2="00000000" w:usb3="00000000" w:csb0="00040000" w:csb1="00000000"/>
    <w:embedRegular r:id="rId3" w:fontKey="{076FDF4E-08F0-4A37-81C5-CFFB1D404CA1}"/>
  </w:font>
  <w:font w:name="楷体_GB2312">
    <w:altName w:val="楷体"/>
    <w:panose1 w:val="00000000000000000000"/>
    <w:charset w:val="00"/>
    <w:family w:val="auto"/>
    <w:pitch w:val="default"/>
    <w:sig w:usb0="00000000" w:usb1="00000000" w:usb2="00000000" w:usb3="00000000" w:csb0="00000000" w:csb1="00000000"/>
    <w:embedRegular r:id="rId4" w:fontKey="{0C404B8A-A612-482A-9321-CFAD14B9732C}"/>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BA11B4A"/>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07363E"/>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2815E6B"/>
    <w:rsid w:val="73423603"/>
    <w:rsid w:val="737A5923"/>
    <w:rsid w:val="73DE4104"/>
    <w:rsid w:val="73FB6630"/>
    <w:rsid w:val="74CE04EC"/>
    <w:rsid w:val="74E76DCD"/>
    <w:rsid w:val="76660D7C"/>
    <w:rsid w:val="77ED6F44"/>
    <w:rsid w:val="795A0A34"/>
    <w:rsid w:val="7A0D3BC7"/>
    <w:rsid w:val="7A3A3CDB"/>
    <w:rsid w:val="7B3F55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5165</Words>
  <Characters>5737</Characters>
  <Lines>0</Lines>
  <Paragraphs>0</Paragraphs>
  <TotalTime>4</TotalTime>
  <ScaleCrop>false</ScaleCrop>
  <LinksUpToDate>false</LinksUpToDate>
  <CharactersWithSpaces>5745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2025-10-15T08:38:29Z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