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昌吉回族自治州信访局2024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F6CBFB0">
      <w:r>
        <w:br w:type="page"/>
      </w:r>
    </w:p>
    <w:p w14:paraId="58898EFC">
      <w:pPr>
        <w:spacing w:line="640" w:lineRule="exact"/>
        <w:jc w:val="center"/>
        <w:outlineLvl w:val="1"/>
      </w:pPr>
      <w:r>
        <w:rPr>
          <w:rFonts w:ascii="黑体" w:hAnsi="黑体" w:eastAsia="黑体"/>
          <w:sz w:val="32"/>
        </w:rPr>
        <w:t>第一部分 单位概况</w:t>
      </w:r>
    </w:p>
    <w:p w14:paraId="3C04B1C3">
      <w:pPr>
        <w:spacing w:line="640" w:lineRule="exact"/>
        <w:ind w:firstLine="640"/>
        <w:jc w:val="both"/>
        <w:outlineLvl w:val="2"/>
      </w:pPr>
      <w:r>
        <w:rPr>
          <w:rFonts w:ascii="黑体" w:hAnsi="黑体" w:eastAsia="黑体"/>
          <w:sz w:val="32"/>
        </w:rPr>
        <w:t>一、主要职能</w:t>
      </w:r>
    </w:p>
    <w:p w14:paraId="5D4FC52F">
      <w:pPr>
        <w:spacing w:line="580" w:lineRule="exact"/>
        <w:ind w:firstLine="640"/>
        <w:jc w:val="both"/>
      </w:pPr>
      <w:r>
        <w:rPr>
          <w:rFonts w:ascii="仿宋_GB2312" w:hAnsi="仿宋_GB2312" w:eastAsia="仿宋_GB2312"/>
          <w:sz w:val="32"/>
        </w:rPr>
        <w:t>1.贯彻落实党中央、国务院和自治区党委、人民政府及自治区信访局关于信访工作的方针、政策</w:t>
      </w:r>
      <w:r>
        <w:rPr>
          <w:rFonts w:hint="eastAsia" w:ascii="仿宋_GB2312" w:hAnsi="仿宋_GB2312" w:eastAsia="仿宋_GB2312"/>
          <w:sz w:val="32"/>
          <w:lang w:eastAsia="zh-CN"/>
        </w:rPr>
        <w:t>、</w:t>
      </w:r>
      <w:r>
        <w:rPr>
          <w:rFonts w:ascii="仿宋_GB2312" w:hAnsi="仿宋_GB2312" w:eastAsia="仿宋_GB2312"/>
          <w:sz w:val="32"/>
        </w:rPr>
        <w:t>法规，指导自治州的信访工作。</w:t>
      </w:r>
    </w:p>
    <w:p w14:paraId="08746D68">
      <w:pPr>
        <w:spacing w:line="580" w:lineRule="exact"/>
        <w:ind w:firstLine="640"/>
        <w:jc w:val="both"/>
      </w:pPr>
      <w:r>
        <w:rPr>
          <w:rFonts w:ascii="仿宋_GB2312" w:hAnsi="仿宋_GB2312" w:eastAsia="仿宋_GB2312"/>
          <w:sz w:val="32"/>
        </w:rPr>
        <w:t>2.总结、推广各县市（园区）、各部门的信访工作经验，提出改进和加强信访工作的意见和建议。</w:t>
      </w:r>
    </w:p>
    <w:p w14:paraId="1DCED0C8">
      <w:pPr>
        <w:spacing w:line="580" w:lineRule="exact"/>
        <w:ind w:firstLine="640"/>
        <w:jc w:val="both"/>
      </w:pPr>
      <w:r>
        <w:rPr>
          <w:rFonts w:ascii="仿宋_GB2312" w:hAnsi="仿宋_GB2312" w:eastAsia="仿宋_GB2312"/>
          <w:sz w:val="32"/>
        </w:rPr>
        <w:t>3.代表自治州党委、自治州人民政府受理人民群众给自治州党委、自治州人民政府及其主要领导人的来信，接待群众来访，</w:t>
      </w:r>
      <w:r>
        <w:rPr>
          <w:rFonts w:ascii="仿宋_GB2312" w:hAnsi="仿宋_GB2312" w:eastAsia="仿宋_GB2312"/>
          <w:spacing w:val="-17"/>
          <w:sz w:val="32"/>
        </w:rPr>
        <w:t>受理网上投诉，为来信来访群众提供有关</w:t>
      </w:r>
      <w:r>
        <w:rPr>
          <w:rFonts w:hint="eastAsia" w:ascii="仿宋_GB2312" w:hAnsi="仿宋_GB2312" w:eastAsia="仿宋_GB2312"/>
          <w:spacing w:val="-17"/>
          <w:sz w:val="32"/>
          <w:lang w:eastAsia="zh-CN"/>
        </w:rPr>
        <w:t>法律法规</w:t>
      </w:r>
      <w:r>
        <w:rPr>
          <w:rFonts w:ascii="仿宋_GB2312" w:hAnsi="仿宋_GB2312" w:eastAsia="仿宋_GB2312"/>
          <w:spacing w:val="-17"/>
          <w:sz w:val="32"/>
        </w:rPr>
        <w:t>和政策咨询服务。</w:t>
      </w:r>
    </w:p>
    <w:p w14:paraId="5E605476">
      <w:pPr>
        <w:spacing w:line="580" w:lineRule="exact"/>
        <w:ind w:firstLine="640"/>
        <w:jc w:val="both"/>
      </w:pPr>
      <w:r>
        <w:rPr>
          <w:rFonts w:ascii="仿宋_GB2312" w:hAnsi="仿宋_GB2312" w:eastAsia="仿宋_GB2312"/>
          <w:sz w:val="32"/>
        </w:rPr>
        <w:t>4.负责分析研究自治州信访工作形势，开展调查研究，征集群众建议，向自治州党委、自治州人民政府提供信访信息和工作建议。</w:t>
      </w:r>
    </w:p>
    <w:p w14:paraId="310DD819">
      <w:pPr>
        <w:spacing w:line="580" w:lineRule="exact"/>
        <w:ind w:firstLine="640"/>
        <w:jc w:val="both"/>
      </w:pPr>
      <w:r>
        <w:rPr>
          <w:rFonts w:ascii="仿宋_GB2312" w:hAnsi="仿宋_GB2312" w:eastAsia="仿宋_GB2312"/>
          <w:sz w:val="32"/>
        </w:rPr>
        <w:t>5.承办上级领导机关、自治州党委和自治州人民政府领导交办的信访事项，督促检查领导批示件落实情况；向有关单位交办信访事项；组织和协调有关部门联合办理信访事项，会同处理复杂疑难信访事项；督促检查重要信访事项的处理和落实。</w:t>
      </w:r>
    </w:p>
    <w:p w14:paraId="0D80865C">
      <w:pPr>
        <w:spacing w:line="580" w:lineRule="exact"/>
        <w:ind w:firstLine="640"/>
        <w:jc w:val="both"/>
      </w:pPr>
      <w:r>
        <w:rPr>
          <w:rFonts w:ascii="仿宋_GB2312" w:hAnsi="仿宋_GB2312" w:eastAsia="仿宋_GB2312"/>
          <w:sz w:val="32"/>
        </w:rPr>
        <w:t>6.协调处理跨地区、跨部门、跨行业和人事分离、人户分离、人事户分离的信访事项、群众集体上访和突发上访事件；督促检查、协调指导州直各县市部门和各县市、各部门信访工作。</w:t>
      </w:r>
    </w:p>
    <w:p w14:paraId="29A0AFD0">
      <w:pPr>
        <w:spacing w:line="580" w:lineRule="exact"/>
        <w:ind w:firstLine="640"/>
        <w:jc w:val="both"/>
      </w:pPr>
      <w:r>
        <w:rPr>
          <w:rFonts w:ascii="仿宋_GB2312" w:hAnsi="仿宋_GB2312" w:eastAsia="仿宋_GB2312"/>
          <w:sz w:val="32"/>
        </w:rPr>
        <w:t>7.承担自治州信访联席会议的日常工作，督促落实联席会议决定的事项，负责自治州重大矛盾纠纷排查调处的组织协调工作，建立排查调处工作机制，掌握矛盾纠纷排查调处动态，负责对涉及自治州有关行业、系统社会政治稳定的重大信访问题进行督办。</w:t>
      </w:r>
    </w:p>
    <w:p w14:paraId="1E1FA259">
      <w:pPr>
        <w:spacing w:line="580" w:lineRule="exact"/>
        <w:ind w:firstLine="640"/>
        <w:jc w:val="both"/>
      </w:pPr>
      <w:r>
        <w:rPr>
          <w:rFonts w:ascii="仿宋_GB2312" w:hAnsi="仿宋_GB2312" w:eastAsia="仿宋_GB2312"/>
          <w:sz w:val="32"/>
        </w:rPr>
        <w:t>8.负责《信访条例》的宣传工作；负责自治州信访信息系统办公自动化建设。</w:t>
      </w:r>
    </w:p>
    <w:p w14:paraId="5AD392F9">
      <w:pPr>
        <w:spacing w:line="580" w:lineRule="exact"/>
        <w:ind w:firstLine="640"/>
        <w:jc w:val="both"/>
      </w:pPr>
      <w:r>
        <w:rPr>
          <w:rFonts w:ascii="仿宋_GB2312" w:hAnsi="仿宋_GB2312" w:eastAsia="仿宋_GB2312"/>
          <w:sz w:val="32"/>
        </w:rPr>
        <w:t>9.完成自治州党委、自治州人民政府交办的</w:t>
      </w:r>
      <w:r>
        <w:rPr>
          <w:rFonts w:hint="eastAsia" w:ascii="仿宋_GB2312" w:hAnsi="仿宋_GB2312" w:eastAsia="仿宋_GB2312"/>
          <w:sz w:val="32"/>
          <w:lang w:eastAsia="zh-CN"/>
        </w:rPr>
        <w:t>其他</w:t>
      </w:r>
      <w:r>
        <w:rPr>
          <w:rFonts w:ascii="仿宋_GB2312" w:hAnsi="仿宋_GB2312" w:eastAsia="仿宋_GB2312"/>
          <w:sz w:val="32"/>
        </w:rPr>
        <w:t>任务。</w:t>
      </w:r>
    </w:p>
    <w:p w14:paraId="54962401">
      <w:pPr>
        <w:spacing w:line="640" w:lineRule="exact"/>
        <w:ind w:firstLine="640"/>
        <w:jc w:val="both"/>
        <w:outlineLvl w:val="2"/>
      </w:pPr>
      <w:r>
        <w:rPr>
          <w:rFonts w:ascii="黑体" w:hAnsi="黑体" w:eastAsia="黑体"/>
          <w:sz w:val="32"/>
        </w:rPr>
        <w:t>二、机构设置及人员情况</w:t>
      </w:r>
    </w:p>
    <w:p w14:paraId="580B2030">
      <w:pPr>
        <w:spacing w:line="580" w:lineRule="exact"/>
        <w:ind w:firstLine="640"/>
        <w:jc w:val="both"/>
      </w:pPr>
      <w:r>
        <w:rPr>
          <w:rFonts w:ascii="仿宋_GB2312" w:hAnsi="仿宋_GB2312" w:eastAsia="仿宋_GB2312"/>
          <w:sz w:val="32"/>
        </w:rPr>
        <w:t>昌吉回族自治州信访局2024年度，实有人数24人，其中：在职人员18人，减少1人；离休人员0人，增加0人；退休人员6人,增加0人。</w:t>
      </w:r>
    </w:p>
    <w:p w14:paraId="1EA9270C">
      <w:pPr>
        <w:spacing w:line="580" w:lineRule="exact"/>
        <w:ind w:firstLine="640"/>
        <w:jc w:val="both"/>
      </w:pPr>
      <w:r>
        <w:rPr>
          <w:rFonts w:ascii="仿宋_GB2312" w:hAnsi="仿宋_GB2312" w:eastAsia="仿宋_GB2312"/>
          <w:sz w:val="32"/>
        </w:rPr>
        <w:t>昌吉回族自治州信访局无下属预算单位，下设5个科室，分别是：办公室（组织人事科）、来访接待科、网上投诉受理和来信办理科、督查办案及复查复核科、自治州信访投诉受理中心。</w:t>
      </w:r>
    </w:p>
    <w:p w14:paraId="0C133555">
      <w:r>
        <w:br w:type="page"/>
      </w:r>
    </w:p>
    <w:p w14:paraId="61BD87AB">
      <w:pPr>
        <w:spacing w:line="240" w:lineRule="auto"/>
        <w:jc w:val="center"/>
        <w:outlineLvl w:val="1"/>
      </w:pPr>
      <w:r>
        <w:rPr>
          <w:rFonts w:ascii="黑体" w:hAnsi="黑体" w:eastAsia="黑体"/>
          <w:sz w:val="32"/>
        </w:rPr>
        <w:t>第二部分 部门决算情况说明</w:t>
      </w:r>
    </w:p>
    <w:p w14:paraId="447A1F0E">
      <w:pPr>
        <w:spacing w:line="640" w:lineRule="exact"/>
        <w:ind w:firstLine="640"/>
        <w:jc w:val="both"/>
        <w:outlineLvl w:val="2"/>
      </w:pPr>
      <w:r>
        <w:rPr>
          <w:rFonts w:ascii="黑体" w:hAnsi="黑体" w:eastAsia="黑体"/>
          <w:sz w:val="32"/>
        </w:rPr>
        <w:t>一、收入支出决算总体情况说明</w:t>
      </w:r>
    </w:p>
    <w:p w14:paraId="4F023844">
      <w:pPr>
        <w:spacing w:line="580" w:lineRule="exact"/>
        <w:ind w:firstLine="640"/>
        <w:jc w:val="both"/>
      </w:pPr>
      <w:r>
        <w:rPr>
          <w:rFonts w:ascii="仿宋_GB2312" w:hAnsi="仿宋_GB2312" w:eastAsia="仿宋_GB2312"/>
          <w:b/>
          <w:sz w:val="32"/>
        </w:rPr>
        <w:t>2024年度收入总计520.44万元，</w:t>
      </w:r>
      <w:r>
        <w:rPr>
          <w:rFonts w:ascii="仿宋_GB2312" w:hAnsi="仿宋_GB2312" w:eastAsia="仿宋_GB2312"/>
          <w:b w:val="0"/>
          <w:sz w:val="32"/>
        </w:rPr>
        <w:t>其中：本年收入合计510.64万元，使用非财政拨款结余（含专用结余）0.00万元，年初结转和结余9.80万元。</w:t>
      </w:r>
    </w:p>
    <w:p w14:paraId="52828BFB">
      <w:pPr>
        <w:spacing w:line="580" w:lineRule="exact"/>
        <w:ind w:firstLine="640"/>
        <w:jc w:val="both"/>
      </w:pPr>
      <w:r>
        <w:rPr>
          <w:rFonts w:ascii="仿宋_GB2312" w:hAnsi="仿宋_GB2312" w:eastAsia="仿宋_GB2312"/>
          <w:b/>
          <w:sz w:val="32"/>
        </w:rPr>
        <w:t>2024年度支出总计520.44万元，</w:t>
      </w:r>
      <w:r>
        <w:rPr>
          <w:rFonts w:ascii="仿宋_GB2312" w:hAnsi="仿宋_GB2312" w:eastAsia="仿宋_GB2312"/>
          <w:b w:val="0"/>
          <w:sz w:val="32"/>
        </w:rPr>
        <w:t>其中：本年支出合计510.64万元，结余分配0.00万元，年末结转和结余9.80万元。</w:t>
      </w:r>
    </w:p>
    <w:p w14:paraId="2DE9B5A6">
      <w:pPr>
        <w:spacing w:line="580" w:lineRule="exact"/>
        <w:ind w:firstLine="640"/>
        <w:jc w:val="both"/>
      </w:pPr>
      <w:r>
        <w:rPr>
          <w:rFonts w:ascii="仿宋_GB2312" w:hAnsi="仿宋_GB2312" w:eastAsia="仿宋_GB2312"/>
          <w:b w:val="0"/>
          <w:sz w:val="32"/>
        </w:rPr>
        <w:t>收入支出总体与上年相比，减少50.97万元，下降8.92%，主要原因是：本年在职人员减少，人员经费减少；减少为民办实事经费。</w:t>
      </w:r>
    </w:p>
    <w:p w14:paraId="1017D9E9">
      <w:pPr>
        <w:spacing w:line="640" w:lineRule="exact"/>
        <w:ind w:firstLine="640"/>
        <w:jc w:val="both"/>
        <w:outlineLvl w:val="2"/>
      </w:pPr>
      <w:r>
        <w:rPr>
          <w:rFonts w:ascii="黑体" w:hAnsi="黑体" w:eastAsia="黑体"/>
          <w:sz w:val="32"/>
        </w:rPr>
        <w:t>二、收入决算情况说明</w:t>
      </w:r>
    </w:p>
    <w:p w14:paraId="79F746DC">
      <w:pPr>
        <w:spacing w:line="580" w:lineRule="exact"/>
        <w:ind w:firstLine="640"/>
        <w:jc w:val="both"/>
      </w:pPr>
      <w:r>
        <w:rPr>
          <w:rFonts w:ascii="仿宋_GB2312" w:hAnsi="仿宋_GB2312" w:eastAsia="仿宋_GB2312"/>
          <w:b/>
          <w:sz w:val="32"/>
        </w:rPr>
        <w:t>本年收入510.64万元，</w:t>
      </w:r>
      <w:r>
        <w:rPr>
          <w:rFonts w:ascii="仿宋_GB2312" w:hAnsi="仿宋_GB2312" w:eastAsia="仿宋_GB2312"/>
          <w:b w:val="0"/>
          <w:sz w:val="32"/>
        </w:rPr>
        <w:t>其中：财政拨款收入510.64万元，占100.00%；上级补助收入0.00万元，占0.00%；事业收入0.00万元，占0.00%；经营收入0.00万元，占0.00%；附属单位上缴收入0.00万元，占0.00%；其他收入0.00万元，占0.00%。</w:t>
      </w:r>
    </w:p>
    <w:p w14:paraId="446ED9F6">
      <w:pPr>
        <w:spacing w:line="640" w:lineRule="exact"/>
        <w:ind w:firstLine="640"/>
        <w:jc w:val="both"/>
        <w:outlineLvl w:val="2"/>
      </w:pPr>
      <w:r>
        <w:rPr>
          <w:rFonts w:ascii="黑体" w:hAnsi="黑体" w:eastAsia="黑体"/>
          <w:sz w:val="32"/>
        </w:rPr>
        <w:t>三、支出决算情况说明</w:t>
      </w:r>
    </w:p>
    <w:p w14:paraId="4248245A">
      <w:pPr>
        <w:spacing w:line="580" w:lineRule="exact"/>
        <w:ind w:firstLine="640"/>
        <w:jc w:val="both"/>
      </w:pPr>
      <w:r>
        <w:rPr>
          <w:rFonts w:ascii="仿宋_GB2312" w:hAnsi="仿宋_GB2312" w:eastAsia="仿宋_GB2312"/>
          <w:b/>
          <w:sz w:val="32"/>
        </w:rPr>
        <w:t>本年支出510.64万元，</w:t>
      </w:r>
      <w:r>
        <w:rPr>
          <w:rFonts w:ascii="仿宋_GB2312" w:hAnsi="仿宋_GB2312" w:eastAsia="仿宋_GB2312"/>
          <w:b w:val="0"/>
          <w:sz w:val="32"/>
        </w:rPr>
        <w:t>其中：基本支出430.31万元，占84.27%；项目支出80.33万元，占15.73%；上缴上级支出0.00万元，占0.00%；经营支出0.00万元，占0.00%；对附属单位补助支出0.00万元，占0.00%。</w:t>
      </w:r>
    </w:p>
    <w:p w14:paraId="78ADB625">
      <w:pPr>
        <w:spacing w:line="640" w:lineRule="exact"/>
        <w:ind w:firstLine="640"/>
        <w:jc w:val="both"/>
        <w:outlineLvl w:val="2"/>
      </w:pPr>
      <w:r>
        <w:rPr>
          <w:rFonts w:ascii="黑体" w:hAnsi="黑体" w:eastAsia="黑体"/>
          <w:sz w:val="32"/>
        </w:rPr>
        <w:t>四、财政拨款收入支出决算总体情况说明</w:t>
      </w:r>
    </w:p>
    <w:p w14:paraId="150C19EF">
      <w:pPr>
        <w:spacing w:line="580" w:lineRule="exact"/>
        <w:ind w:firstLine="640"/>
        <w:jc w:val="both"/>
      </w:pPr>
      <w:r>
        <w:rPr>
          <w:rFonts w:ascii="仿宋_GB2312" w:hAnsi="仿宋_GB2312" w:eastAsia="仿宋_GB2312"/>
          <w:b/>
          <w:sz w:val="32"/>
        </w:rPr>
        <w:t>2024年度财政拨款收入总计517.20万元，</w:t>
      </w:r>
      <w:r>
        <w:rPr>
          <w:rFonts w:ascii="仿宋_GB2312" w:hAnsi="仿宋_GB2312" w:eastAsia="仿宋_GB2312"/>
          <w:b w:val="0"/>
          <w:sz w:val="32"/>
        </w:rPr>
        <w:t>其中：年初财政拨款结转和结余6.56万元，本年财政拨款收入510.64万元。</w:t>
      </w:r>
      <w:r>
        <w:rPr>
          <w:rFonts w:ascii="仿宋_GB2312" w:hAnsi="仿宋_GB2312" w:eastAsia="仿宋_GB2312"/>
          <w:b/>
          <w:sz w:val="32"/>
        </w:rPr>
        <w:t>财政拨款支出总计517.20万元，</w:t>
      </w:r>
      <w:r>
        <w:rPr>
          <w:rFonts w:ascii="仿宋_GB2312" w:hAnsi="仿宋_GB2312" w:eastAsia="仿宋_GB2312"/>
          <w:b w:val="0"/>
          <w:sz w:val="32"/>
        </w:rPr>
        <w:t>其中：年末财政拨款结转和结余6.56万元，本年财政拨款支出510.64万元。</w:t>
      </w:r>
    </w:p>
    <w:p w14:paraId="45340ADF">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减少50.97万元，下降8.97%，主要原因是：本年在职人员减少，人员经费减少；减少为民办实事经费。</w:t>
      </w:r>
      <w:r>
        <w:rPr>
          <w:rFonts w:ascii="仿宋_GB2312" w:hAnsi="仿宋_GB2312" w:eastAsia="仿宋_GB2312"/>
          <w:b/>
          <w:sz w:val="32"/>
        </w:rPr>
        <w:t>与年初预算相比，</w:t>
      </w:r>
      <w:r>
        <w:rPr>
          <w:rFonts w:ascii="仿宋_GB2312" w:hAnsi="仿宋_GB2312" w:eastAsia="仿宋_GB2312"/>
          <w:b w:val="0"/>
          <w:sz w:val="32"/>
        </w:rPr>
        <w:t>年初预算数537.45万元，决算数517.20万元，预决算差异率-3.77%，主要原因是：本年在职人员减少，年中调减人员经费，导致预决算存在差异。</w:t>
      </w:r>
    </w:p>
    <w:p w14:paraId="305D87E4">
      <w:pPr>
        <w:spacing w:line="640" w:lineRule="exact"/>
        <w:ind w:firstLine="640"/>
        <w:jc w:val="both"/>
        <w:outlineLvl w:val="2"/>
      </w:pPr>
      <w:r>
        <w:rPr>
          <w:rFonts w:ascii="黑体" w:hAnsi="黑体" w:eastAsia="黑体"/>
          <w:sz w:val="32"/>
        </w:rPr>
        <w:t>五、一般公共预算财政拨款支出决算情况说明</w:t>
      </w:r>
    </w:p>
    <w:p w14:paraId="48CDF244">
      <w:pPr>
        <w:spacing w:line="640" w:lineRule="exact"/>
        <w:ind w:firstLine="640"/>
        <w:jc w:val="both"/>
        <w:outlineLvl w:val="3"/>
      </w:pPr>
      <w:r>
        <w:rPr>
          <w:rFonts w:ascii="楷体_GB2312" w:hAnsi="楷体_GB2312" w:eastAsia="楷体_GB2312"/>
          <w:b/>
          <w:sz w:val="32"/>
        </w:rPr>
        <w:t>（一）一般公共预算财政拨款支出决算总体情况</w:t>
      </w:r>
    </w:p>
    <w:p w14:paraId="77ECAA65">
      <w:pPr>
        <w:spacing w:line="580" w:lineRule="exact"/>
        <w:ind w:firstLine="640"/>
        <w:jc w:val="both"/>
      </w:pPr>
      <w:r>
        <w:rPr>
          <w:rFonts w:ascii="仿宋_GB2312" w:hAnsi="仿宋_GB2312" w:eastAsia="仿宋_GB2312"/>
          <w:b/>
          <w:sz w:val="32"/>
        </w:rPr>
        <w:t>2024年度一般公共预算财政拨款支出510.64万元，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减少50.97万元，下降9.08%，主要原因是：本年在职人员减少，人员经费减少；减少为民办实事经费。</w:t>
      </w:r>
      <w:r>
        <w:rPr>
          <w:rFonts w:ascii="仿宋_GB2312" w:hAnsi="仿宋_GB2312" w:eastAsia="仿宋_GB2312"/>
          <w:b/>
          <w:sz w:val="32"/>
        </w:rPr>
        <w:t>与年初预算相比,</w:t>
      </w:r>
      <w:r>
        <w:rPr>
          <w:rFonts w:ascii="仿宋_GB2312" w:hAnsi="仿宋_GB2312" w:eastAsia="仿宋_GB2312"/>
          <w:b w:val="0"/>
          <w:sz w:val="32"/>
        </w:rPr>
        <w:t>年初预算数537.45万元，决算数510.64万元，预决算差异率-4.99%，主要原因是：本年在职人员减少，年中调减人员经费，导致预决算存在差异。</w:t>
      </w:r>
    </w:p>
    <w:p w14:paraId="36D5BD5A">
      <w:pPr>
        <w:spacing w:line="640" w:lineRule="exact"/>
        <w:ind w:firstLine="640"/>
        <w:jc w:val="both"/>
        <w:outlineLvl w:val="3"/>
      </w:pPr>
      <w:r>
        <w:rPr>
          <w:rFonts w:ascii="楷体_GB2312" w:hAnsi="楷体_GB2312" w:eastAsia="楷体_GB2312"/>
          <w:b/>
          <w:sz w:val="32"/>
        </w:rPr>
        <w:t>（二）一般公共预算财政拨款支出决算结构情况</w:t>
      </w:r>
    </w:p>
    <w:p w14:paraId="21568E1B">
      <w:pPr>
        <w:spacing w:line="580" w:lineRule="exact"/>
        <w:ind w:firstLine="640"/>
        <w:jc w:val="both"/>
      </w:pPr>
      <w:r>
        <w:rPr>
          <w:rFonts w:ascii="仿宋_GB2312" w:hAnsi="仿宋_GB2312" w:eastAsia="仿宋_GB2312"/>
          <w:b w:val="0"/>
          <w:sz w:val="32"/>
        </w:rPr>
        <w:t>1.一般公共服务支出(类)383.84万元,占75.17%。</w:t>
      </w:r>
    </w:p>
    <w:p w14:paraId="2F1B75E0">
      <w:pPr>
        <w:spacing w:line="580" w:lineRule="exact"/>
        <w:ind w:firstLine="640"/>
        <w:jc w:val="both"/>
      </w:pPr>
      <w:r>
        <w:rPr>
          <w:rFonts w:ascii="仿宋_GB2312" w:hAnsi="仿宋_GB2312" w:eastAsia="仿宋_GB2312"/>
          <w:b w:val="0"/>
          <w:sz w:val="32"/>
        </w:rPr>
        <w:t>2.社会保障和就业支出(类)72.31万元,占14.16%。</w:t>
      </w:r>
    </w:p>
    <w:p w14:paraId="76BBCEBA">
      <w:pPr>
        <w:spacing w:line="580" w:lineRule="exact"/>
        <w:ind w:firstLine="640"/>
        <w:jc w:val="both"/>
      </w:pPr>
      <w:r>
        <w:rPr>
          <w:rFonts w:ascii="仿宋_GB2312" w:hAnsi="仿宋_GB2312" w:eastAsia="仿宋_GB2312"/>
          <w:b w:val="0"/>
          <w:sz w:val="32"/>
        </w:rPr>
        <w:t>3.卫生健康支出(类)21.39万元,占4.19%。</w:t>
      </w:r>
    </w:p>
    <w:p w14:paraId="5FFC0FCC">
      <w:pPr>
        <w:spacing w:line="580" w:lineRule="exact"/>
        <w:ind w:firstLine="640"/>
        <w:jc w:val="both"/>
      </w:pPr>
      <w:r>
        <w:rPr>
          <w:rFonts w:ascii="仿宋_GB2312" w:hAnsi="仿宋_GB2312" w:eastAsia="仿宋_GB2312"/>
          <w:b w:val="0"/>
          <w:sz w:val="32"/>
        </w:rPr>
        <w:t>4.住房保障支出(类)31.90万元,占6.25%。</w:t>
      </w:r>
    </w:p>
    <w:p w14:paraId="6FA23B38">
      <w:pPr>
        <w:spacing w:line="580" w:lineRule="exact"/>
        <w:ind w:firstLine="640"/>
        <w:jc w:val="both"/>
      </w:pPr>
      <w:r>
        <w:rPr>
          <w:rFonts w:ascii="仿宋_GB2312" w:hAnsi="仿宋_GB2312" w:eastAsia="仿宋_GB2312"/>
          <w:b w:val="0"/>
          <w:sz w:val="32"/>
        </w:rPr>
        <w:t>5.其他支出(类)1.20万元,占0.23%。</w:t>
      </w:r>
    </w:p>
    <w:p w14:paraId="264BD47A">
      <w:pPr>
        <w:spacing w:line="640" w:lineRule="exact"/>
        <w:ind w:firstLine="640"/>
        <w:jc w:val="both"/>
        <w:outlineLvl w:val="3"/>
      </w:pPr>
      <w:r>
        <w:rPr>
          <w:rFonts w:ascii="楷体_GB2312" w:hAnsi="楷体_GB2312" w:eastAsia="楷体_GB2312"/>
          <w:b/>
          <w:sz w:val="32"/>
        </w:rPr>
        <w:t>（三）一般公共预算财政拨款支出决算具体情况</w:t>
      </w:r>
    </w:p>
    <w:p w14:paraId="3CF0A7EC">
      <w:pPr>
        <w:spacing w:line="580" w:lineRule="exact"/>
        <w:ind w:firstLine="640"/>
        <w:jc w:val="both"/>
      </w:pPr>
      <w:r>
        <w:rPr>
          <w:rFonts w:ascii="仿宋_GB2312" w:hAnsi="仿宋_GB2312" w:eastAsia="仿宋_GB2312"/>
          <w:b w:val="0"/>
          <w:sz w:val="32"/>
        </w:rPr>
        <w:t>1.一般公共服务支出(类)政府办公厅（室）及相关机构事务(款)行政运行(项):支出决算数为235.37万元，比上年决算减少44.96万元，下降16.04%,主要原因是：本年在职人员减少，人员经费减少；减少公用经费及开展信访业务项目经费。</w:t>
      </w:r>
    </w:p>
    <w:p w14:paraId="2B408F99">
      <w:pPr>
        <w:spacing w:line="580" w:lineRule="exact"/>
        <w:ind w:firstLine="640"/>
        <w:jc w:val="both"/>
      </w:pPr>
      <w:r>
        <w:rPr>
          <w:rFonts w:ascii="仿宋_GB2312" w:hAnsi="仿宋_GB2312" w:eastAsia="仿宋_GB2312"/>
          <w:b w:val="0"/>
          <w:sz w:val="32"/>
        </w:rPr>
        <w:t>2.一般公共服务支出(类)政府办公厅（室）及相关机构事务(款)一般行政管理事务(项):支出决算数为9.23万元，比上年决算减少97.78万元，下降91.37%,主要原因是：本年科目调整，开展信访业务项目上年在一般行政管理事务列支，本年调整至其他政府办公厅（室）及相关机构事务支出列支，导致经费减少。</w:t>
      </w:r>
    </w:p>
    <w:p w14:paraId="1C6A2CD8">
      <w:pPr>
        <w:spacing w:line="580" w:lineRule="exact"/>
        <w:ind w:firstLine="640"/>
        <w:jc w:val="both"/>
      </w:pPr>
      <w:r>
        <w:rPr>
          <w:rFonts w:ascii="仿宋_GB2312" w:hAnsi="仿宋_GB2312" w:eastAsia="仿宋_GB2312"/>
          <w:b w:val="0"/>
          <w:sz w:val="32"/>
        </w:rPr>
        <w:t>3.一般公共服务支出(类)政府办公厅（室）及相关机构事务(款)事业运行(项):支出决算数为69.34万元，比上年决算增加8.86万元，增长14.65%,主要原因是：本年在职人员工资调增，导致相关人员经费较上年有所增加。</w:t>
      </w:r>
    </w:p>
    <w:p w14:paraId="0B570E92">
      <w:pPr>
        <w:spacing w:line="580" w:lineRule="exact"/>
        <w:ind w:firstLine="640"/>
        <w:jc w:val="both"/>
      </w:pPr>
      <w:r>
        <w:rPr>
          <w:rFonts w:ascii="仿宋_GB2312" w:hAnsi="仿宋_GB2312" w:eastAsia="仿宋_GB2312"/>
          <w:b w:val="0"/>
          <w:sz w:val="32"/>
        </w:rPr>
        <w:t>4.一般公共服务支出(类)政府办公厅（室）及相关机构事务(款)其他政府办公厅（室）及相关机构事务支出(项):支出决算数为69.89万元，比上年决算增加69.89万元，增长100.00%,主要原因是：本年科目调整，开展信访业务项目上年在一般行政管理事务列支，本年调整至其他政府办公厅（室）及相关机构事务支出列支，导致经费增加。</w:t>
      </w:r>
    </w:p>
    <w:p w14:paraId="7A98DE4E">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5.社会保障和就业支出(类)行政事业单位养老支出(款)行政单位离退休(项):支出决算数为4.44万元，比上年决算增加1.72万元，增长63.24%,主要原因是：本年增加退休人员基础绩效奖，退休费支出增加。</w:t>
      </w:r>
    </w:p>
    <w:p w14:paraId="379FBE13">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39.98万元，比上年决算增加12.35万元，增长44.70%,主要原因是：本年在职人员工资基数调增，养老缴费基数上涨，相应支出增加。</w:t>
      </w:r>
    </w:p>
    <w:p w14:paraId="59BFD6B7">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27.89万元，比上年决算增加4.49万元，增长19.19%,主要原因是：本年度在职人员按月缴纳职业年金，导致职业年金缴费支出增加。</w:t>
      </w:r>
    </w:p>
    <w:p w14:paraId="6D3A05E6">
      <w:pPr>
        <w:spacing w:line="580" w:lineRule="exact"/>
        <w:ind w:firstLine="640"/>
        <w:jc w:val="both"/>
      </w:pPr>
      <w:r>
        <w:rPr>
          <w:rFonts w:ascii="仿宋_GB2312" w:hAnsi="仿宋_GB2312" w:eastAsia="仿宋_GB2312"/>
          <w:b w:val="0"/>
          <w:sz w:val="32"/>
        </w:rPr>
        <w:t>8.卫生健康支出(类)行政事业单位医疗(款)行政单位医疗(项):支出决算数为15.17万元，比上年决算减少0.33万元，下降2.13%,主要原因是：本年在职人员减少，行政单位医疗支出较上年减少。</w:t>
      </w:r>
    </w:p>
    <w:p w14:paraId="1051261B">
      <w:pPr>
        <w:spacing w:line="580" w:lineRule="exact"/>
        <w:ind w:firstLine="640"/>
        <w:jc w:val="both"/>
      </w:pPr>
      <w:r>
        <w:rPr>
          <w:rFonts w:ascii="仿宋_GB2312" w:hAnsi="仿宋_GB2312" w:eastAsia="仿宋_GB2312"/>
          <w:b w:val="0"/>
          <w:sz w:val="32"/>
        </w:rPr>
        <w:t>9.卫生健康支出(类)行政事业单位医疗(款)事业单位医疗(项):支出决算数为4.82万元，比上年决算增加3.57万元，增长285.60%,主要原因是：本年在职人员工资基数调增，医疗缴费基数上涨，相应支出增加。</w:t>
      </w:r>
    </w:p>
    <w:p w14:paraId="4A7A394F">
      <w:pPr>
        <w:spacing w:line="580" w:lineRule="exact"/>
        <w:ind w:firstLine="640"/>
        <w:jc w:val="both"/>
      </w:pPr>
      <w:r>
        <w:rPr>
          <w:rFonts w:ascii="仿宋_GB2312" w:hAnsi="仿宋_GB2312" w:eastAsia="仿宋_GB2312"/>
          <w:b w:val="0"/>
          <w:sz w:val="32"/>
        </w:rPr>
        <w:t>10.卫生健康支出(类)行政事业单位医疗(款)公务员医疗补助(项):支出决算数为1.25万元，比上年决算增加0.73万元，增长140.38%,主要原因是：本年在职人员工资基数调增，公务员医疗补助相应支出增加。</w:t>
      </w:r>
    </w:p>
    <w:p w14:paraId="0B7DC88A">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0.15万元，比上年决算增加0.11万元，增长275.00%,主要原因是：本年在职人员工资基数调增，医疗缴费基数上涨，相应支出增加。</w:t>
      </w:r>
    </w:p>
    <w:p w14:paraId="16CC8D8D">
      <w:pPr>
        <w:spacing w:line="580" w:lineRule="exact"/>
        <w:ind w:firstLine="640"/>
        <w:jc w:val="both"/>
      </w:pPr>
      <w:r>
        <w:rPr>
          <w:rFonts w:ascii="仿宋_GB2312" w:hAnsi="仿宋_GB2312" w:eastAsia="仿宋_GB2312"/>
          <w:b w:val="0"/>
          <w:sz w:val="32"/>
        </w:rPr>
        <w:t>12.住房保障支出(类)住房改革支出(款)住房公积金(项):支出决算数为31.90万元，比上年决算增加4.46万元，增长16.25%,主要原因是：本年在职人员工资基数调增，公积金缴费基数上涨，相应支出增加。</w:t>
      </w:r>
    </w:p>
    <w:p w14:paraId="1130EAA2">
      <w:pPr>
        <w:spacing w:line="580" w:lineRule="exact"/>
        <w:ind w:firstLine="640"/>
        <w:jc w:val="both"/>
      </w:pPr>
      <w:r>
        <w:rPr>
          <w:rFonts w:ascii="仿宋_GB2312" w:hAnsi="仿宋_GB2312" w:eastAsia="仿宋_GB2312"/>
          <w:b w:val="0"/>
          <w:sz w:val="32"/>
        </w:rPr>
        <w:t>13.其他支出(类)其他支出(款)其他支出(项):支出决算数为1.20万元，比上年决算减少14.10万元，下降92.16%,主要原因是：本年为民办实事工作经费减少。</w:t>
      </w:r>
    </w:p>
    <w:p w14:paraId="30611C01">
      <w:pPr>
        <w:spacing w:line="640" w:lineRule="exact"/>
        <w:ind w:firstLine="640"/>
        <w:jc w:val="both"/>
        <w:outlineLvl w:val="2"/>
      </w:pPr>
      <w:r>
        <w:rPr>
          <w:rFonts w:ascii="黑体" w:hAnsi="黑体" w:eastAsia="黑体"/>
          <w:sz w:val="32"/>
        </w:rPr>
        <w:t>六、一般公共预算财政拨款基本支出决算情况说明</w:t>
      </w:r>
    </w:p>
    <w:p w14:paraId="064A7543">
      <w:pPr>
        <w:spacing w:line="580" w:lineRule="exact"/>
        <w:ind w:firstLine="640"/>
        <w:jc w:val="both"/>
      </w:pPr>
      <w:r>
        <w:rPr>
          <w:rFonts w:ascii="仿宋_GB2312" w:hAnsi="仿宋_GB2312" w:eastAsia="仿宋_GB2312"/>
          <w:b w:val="0"/>
          <w:sz w:val="32"/>
        </w:rPr>
        <w:t>2024年度一般公共预算财政拨款基本支出430.31万元，其中：</w:t>
      </w:r>
      <w:r>
        <w:rPr>
          <w:rFonts w:ascii="仿宋_GB2312" w:hAnsi="仿宋_GB2312" w:eastAsia="仿宋_GB2312"/>
          <w:b/>
          <w:sz w:val="32"/>
        </w:rPr>
        <w:t>人员经费400.30万元，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29B72633">
      <w:pPr>
        <w:spacing w:line="580" w:lineRule="exact"/>
        <w:ind w:firstLine="640"/>
        <w:jc w:val="both"/>
      </w:pPr>
      <w:r>
        <w:rPr>
          <w:rFonts w:ascii="仿宋_GB2312" w:hAnsi="仿宋_GB2312" w:eastAsia="仿宋_GB2312"/>
          <w:b/>
          <w:sz w:val="32"/>
        </w:rPr>
        <w:t>公用经费30.02万元，</w:t>
      </w:r>
      <w:r>
        <w:rPr>
          <w:rFonts w:ascii="仿宋_GB2312" w:hAnsi="仿宋_GB2312" w:eastAsia="仿宋_GB2312"/>
          <w:b w:val="0"/>
          <w:sz w:val="32"/>
        </w:rPr>
        <w:t>包括：办公费、印刷费、邮电费、差旅费、公务接待费、工会经费、福利费、公务用车运行维护费、其他商品和服务支出。</w:t>
      </w:r>
    </w:p>
    <w:p w14:paraId="31197BD2">
      <w:pPr>
        <w:spacing w:line="640" w:lineRule="exact"/>
        <w:ind w:firstLine="640"/>
        <w:jc w:val="both"/>
        <w:outlineLvl w:val="2"/>
      </w:pPr>
      <w:r>
        <w:rPr>
          <w:rFonts w:ascii="黑体" w:hAnsi="黑体" w:eastAsia="黑体"/>
          <w:sz w:val="32"/>
        </w:rPr>
        <w:t>七、政府性基金预算财政拨款收入支出决算情况说明</w:t>
      </w:r>
    </w:p>
    <w:p w14:paraId="1EB02FC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2795D79">
      <w:pPr>
        <w:spacing w:line="640" w:lineRule="exact"/>
        <w:ind w:firstLine="640"/>
        <w:jc w:val="both"/>
        <w:outlineLvl w:val="2"/>
      </w:pPr>
      <w:r>
        <w:rPr>
          <w:rFonts w:ascii="黑体" w:hAnsi="黑体" w:eastAsia="黑体"/>
          <w:sz w:val="32"/>
        </w:rPr>
        <w:t>八、国有资本经营预算财政拨款收入支出决算情况说明</w:t>
      </w:r>
    </w:p>
    <w:p w14:paraId="0391773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9B45A95">
      <w:pPr>
        <w:spacing w:line="640" w:lineRule="exact"/>
        <w:ind w:firstLine="640"/>
        <w:jc w:val="both"/>
        <w:outlineLvl w:val="2"/>
      </w:pPr>
      <w:r>
        <w:rPr>
          <w:rFonts w:ascii="黑体" w:hAnsi="黑体" w:eastAsia="黑体"/>
          <w:sz w:val="32"/>
        </w:rPr>
        <w:t>九、财政拨款“三公”经费支出决算情况说明</w:t>
      </w:r>
    </w:p>
    <w:p w14:paraId="205A4DFF">
      <w:pPr>
        <w:spacing w:line="580" w:lineRule="exact"/>
        <w:ind w:firstLine="640"/>
        <w:jc w:val="both"/>
      </w:pPr>
      <w:r>
        <w:rPr>
          <w:rFonts w:ascii="仿宋_GB2312" w:hAnsi="仿宋_GB2312" w:eastAsia="仿宋_GB2312"/>
          <w:b/>
          <w:sz w:val="32"/>
        </w:rPr>
        <w:t>2024年度财政拨款“三公”经费支出4.35万元，</w:t>
      </w:r>
      <w:r>
        <w:rPr>
          <w:rFonts w:ascii="仿宋_GB2312" w:hAnsi="仿宋_GB2312" w:eastAsia="仿宋_GB2312"/>
          <w:b w:val="0"/>
          <w:sz w:val="32"/>
        </w:rPr>
        <w:t>比上年减少0.10万元，下降2.25%，主要原因是：严格落实中央八项规定精神，厉行节约，减少公务接待费。其中：因公出国（境）费支出0.00万元，占0.00%，比上年增加0.00万元，增长0.00%，主要原因是：2023年与2024年均未安排因公出国（境）费支出。公务用车购置及运行维护费支出4.20万元，占96.55%，比上年增加0.00万元，增长0.00%，主要原因是：本单位公务用车运行维护费与上年一致无变化。公务接待费支出0.15万元，占3.45%，比上年减少0.10万元，下降40.00%，主要原因是：严格落实中央八项规定精神，厉行节约，减少公务接待费。</w:t>
      </w:r>
    </w:p>
    <w:p w14:paraId="151B4CD1">
      <w:pPr>
        <w:spacing w:line="580" w:lineRule="exact"/>
        <w:ind w:firstLine="640"/>
        <w:jc w:val="both"/>
      </w:pPr>
      <w:r>
        <w:rPr>
          <w:rFonts w:ascii="仿宋_GB2312" w:hAnsi="仿宋_GB2312" w:eastAsia="仿宋_GB2312"/>
          <w:b/>
          <w:sz w:val="32"/>
        </w:rPr>
        <w:t>具体情况如下：</w:t>
      </w:r>
    </w:p>
    <w:p w14:paraId="5470FF7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258249D">
      <w:pPr>
        <w:spacing w:line="580" w:lineRule="exact"/>
        <w:ind w:firstLine="640"/>
        <w:jc w:val="both"/>
      </w:pPr>
      <w:r>
        <w:rPr>
          <w:rFonts w:ascii="仿宋_GB2312" w:hAnsi="仿宋_GB2312" w:eastAsia="仿宋_GB2312"/>
          <w:b w:val="0"/>
          <w:sz w:val="32"/>
        </w:rPr>
        <w:t>公务用车购置及运行维护费4.20万元，其中：公务用车购置费0.00万元，公务用车运行维护费4.20万元。公务用车运行维护费开支内容包括车辆燃油费、保险费、过路费、维修费。公务用车购置数0辆，公务用车保有量2辆。国有资产占用情况中固定资产车辆2辆，与公务用车保有量差异原因是：本单位固定资产车辆与公务用车保有量一致无差异。</w:t>
      </w:r>
    </w:p>
    <w:p w14:paraId="30BA6570">
      <w:pPr>
        <w:spacing w:line="580" w:lineRule="exact"/>
        <w:ind w:firstLine="640"/>
        <w:jc w:val="both"/>
      </w:pPr>
      <w:r>
        <w:rPr>
          <w:rFonts w:ascii="仿宋_GB2312" w:hAnsi="仿宋_GB2312" w:eastAsia="仿宋_GB2312"/>
          <w:b w:val="0"/>
          <w:sz w:val="32"/>
        </w:rPr>
        <w:t>公务接待费0.15万元，开支内容包括本年开展处理疑难信访工作经验交流活动产生的餐费。单位全年安排的国内公务接待9批次，29人次。</w:t>
      </w:r>
    </w:p>
    <w:p w14:paraId="3232AF3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4.35万元，决算数4.35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4.20万元，决算数4.20万元，预决算差异率0.00%，主要原因是：严格按照预算执行，预决算无差异。公务接待费全年预算数0.15万元，决算数0.15万元，预决算差异率0.00%，主要原因是：严格按照预算执行，预决算无差异。</w:t>
      </w:r>
    </w:p>
    <w:p w14:paraId="09B237E7">
      <w:pPr>
        <w:spacing w:line="640" w:lineRule="exact"/>
        <w:ind w:firstLine="640"/>
        <w:jc w:val="both"/>
        <w:outlineLvl w:val="2"/>
      </w:pPr>
      <w:r>
        <w:rPr>
          <w:rFonts w:ascii="黑体" w:hAnsi="黑体" w:eastAsia="黑体"/>
          <w:sz w:val="32"/>
        </w:rPr>
        <w:t>十、其他重要事项的情况说明</w:t>
      </w:r>
    </w:p>
    <w:p w14:paraId="35B0F0E8">
      <w:pPr>
        <w:spacing w:line="640" w:lineRule="exact"/>
        <w:ind w:firstLine="640"/>
        <w:jc w:val="both"/>
        <w:outlineLvl w:val="3"/>
      </w:pPr>
      <w:r>
        <w:rPr>
          <w:rFonts w:ascii="楷体_GB2312" w:hAnsi="楷体_GB2312" w:eastAsia="楷体_GB2312"/>
          <w:b/>
          <w:sz w:val="32"/>
        </w:rPr>
        <w:t>（一）机关运行经费及公用经费支出情况</w:t>
      </w:r>
    </w:p>
    <w:p w14:paraId="7F0F5CEA">
      <w:pPr>
        <w:spacing w:line="580" w:lineRule="exact"/>
        <w:ind w:firstLine="640"/>
        <w:jc w:val="both"/>
      </w:pPr>
      <w:r>
        <w:rPr>
          <w:rFonts w:ascii="仿宋_GB2312" w:hAnsi="仿宋_GB2312" w:eastAsia="仿宋_GB2312"/>
          <w:b w:val="0"/>
          <w:sz w:val="32"/>
        </w:rPr>
        <w:t>2024年度昌吉回族自治州信访局（行政单位和参照公务员法管理事业单位）机关运行经费支出30.02万元，比上年减少7.00万元，下降18.91%，主要原因是：严格控制公用经费，合理节约办公用品，减少不必要开支。</w:t>
      </w:r>
    </w:p>
    <w:p w14:paraId="0BEF3EC2">
      <w:pPr>
        <w:spacing w:line="640" w:lineRule="exact"/>
        <w:ind w:firstLine="640"/>
        <w:jc w:val="both"/>
        <w:outlineLvl w:val="3"/>
      </w:pPr>
      <w:r>
        <w:rPr>
          <w:rFonts w:ascii="楷体_GB2312" w:hAnsi="楷体_GB2312" w:eastAsia="楷体_GB2312"/>
          <w:b/>
          <w:sz w:val="32"/>
        </w:rPr>
        <w:t>（二）政府采购情况</w:t>
      </w:r>
    </w:p>
    <w:p w14:paraId="0D22131F">
      <w:pPr>
        <w:spacing w:line="580" w:lineRule="exact"/>
        <w:ind w:firstLine="640"/>
        <w:jc w:val="both"/>
      </w:pPr>
      <w:r>
        <w:rPr>
          <w:rFonts w:ascii="仿宋_GB2312" w:hAnsi="仿宋_GB2312" w:eastAsia="仿宋_GB2312"/>
          <w:b w:val="0"/>
          <w:sz w:val="32"/>
        </w:rPr>
        <w:t>2024年度政府采购支出总额66.18万元，其中：政府采购货物支出25.42万元、政府采购工程支出0.00万元、政府采购服务支出40.76万元。</w:t>
      </w:r>
    </w:p>
    <w:p w14:paraId="71E00136">
      <w:pPr>
        <w:spacing w:line="580" w:lineRule="exact"/>
        <w:ind w:firstLine="640"/>
        <w:jc w:val="both"/>
      </w:pPr>
      <w:r>
        <w:rPr>
          <w:rFonts w:ascii="仿宋_GB2312" w:hAnsi="仿宋_GB2312" w:eastAsia="仿宋_GB2312"/>
          <w:b w:val="0"/>
          <w:sz w:val="32"/>
        </w:rPr>
        <w:t>授予中小企业合同金额66.18万元，占政府采购支出总额的100.00%，其中：授予小微企业合同金额66.18万元，占政府采购支出总额的100.00%。</w:t>
      </w:r>
    </w:p>
    <w:p w14:paraId="31E21A7E">
      <w:pPr>
        <w:spacing w:line="640" w:lineRule="exact"/>
        <w:ind w:firstLine="640"/>
        <w:jc w:val="both"/>
        <w:outlineLvl w:val="3"/>
      </w:pPr>
      <w:r>
        <w:rPr>
          <w:rFonts w:ascii="楷体_GB2312" w:hAnsi="楷体_GB2312" w:eastAsia="楷体_GB2312"/>
          <w:b/>
          <w:sz w:val="32"/>
        </w:rPr>
        <w:t>（三）国有资产占用情况说明</w:t>
      </w:r>
    </w:p>
    <w:p w14:paraId="1CBB7EF5">
      <w:pPr>
        <w:spacing w:line="580" w:lineRule="exact"/>
        <w:ind w:firstLine="640"/>
        <w:jc w:val="both"/>
      </w:pPr>
      <w:r>
        <w:rPr>
          <w:rFonts w:ascii="仿宋_GB2312" w:hAnsi="仿宋_GB2312" w:eastAsia="仿宋_GB2312"/>
          <w:b w:val="0"/>
          <w:sz w:val="32"/>
        </w:rPr>
        <w:t>截至2024年12月31日，房屋0.00平方米，价值0.00万元。车辆2辆，价值45.06万元，其中：副部（省）级及以上领导用车0辆、主要负责人用车0辆、机要通信用车0辆、应急保障用车0辆、执法执勤用车0辆、特种专业技术用车0辆、离退休干部服务用车0辆、其他用车2辆，其他用车主要是：保障开展日常公务活动车辆。单价100万元（含）以上设备（不含车辆）0台（套）。</w:t>
      </w:r>
    </w:p>
    <w:p w14:paraId="214F1495">
      <w:pPr>
        <w:spacing w:line="640" w:lineRule="exact"/>
        <w:ind w:firstLine="640"/>
        <w:jc w:val="both"/>
        <w:outlineLvl w:val="2"/>
      </w:pPr>
      <w:r>
        <w:rPr>
          <w:rFonts w:ascii="黑体" w:hAnsi="黑体" w:eastAsia="黑体"/>
          <w:sz w:val="32"/>
        </w:rPr>
        <w:t>十一、预算绩效的情况说明</w:t>
      </w:r>
    </w:p>
    <w:p w14:paraId="1C03955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520.44万元，实际执行总额510.64万元；预算绩效评价项目2个，全年预算数81.82万元，全年执行数79.63万元。预算绩效管理取得的成效：一是领导重视、周密安排，认真做好项目建设发展工作，积极配合相关人员做好相关申报资料的收集整理归档工作，思路清晰，保证时效性。二是合理分工，安排专人负责相关工作，责任到人，认真落实各时间节点的相关工作，各部门人员紧密配合，做好相关协调工作。发现的问题及原因：一是绩效监控存在</w:t>
      </w:r>
      <w:r>
        <w:rPr>
          <w:rFonts w:hint="eastAsia" w:ascii="仿宋_GB2312" w:hAnsi="仿宋_GB2312" w:eastAsia="仿宋_GB2312"/>
          <w:b w:val="0"/>
          <w:sz w:val="32"/>
          <w:lang w:eastAsia="zh-CN"/>
        </w:rPr>
        <w:t>监督管理</w:t>
      </w:r>
      <w:r>
        <w:rPr>
          <w:rFonts w:ascii="仿宋_GB2312" w:hAnsi="仿宋_GB2312" w:eastAsia="仿宋_GB2312"/>
          <w:b w:val="0"/>
          <w:sz w:val="32"/>
        </w:rPr>
        <w:t>力度不够；二是整体支出绩效执行者缺乏培训及权威机构的指导性学习。下一步改进措施：一是认真总结经验教训，对工作中的不足及时进行纠正，改变工作思路，合理利用资金，做到资源优化配置；二是进一步做好绩效监控管理工作，加快绩效监控信息化建设，提升管理效率，加强预算绩效管理理论和实际操作培训。具体附整体支出绩效自评表，项目支出绩效自评表和评价报告。</w:t>
      </w:r>
    </w:p>
    <w:p w14:paraId="6A17059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E2252DE">
        <w:tblPrEx>
          <w:tblCellMar>
            <w:top w:w="0" w:type="dxa"/>
            <w:left w:w="108" w:type="dxa"/>
            <w:bottom w:w="0" w:type="dxa"/>
            <w:right w:w="108" w:type="dxa"/>
          </w:tblCellMar>
        </w:tblPrEx>
        <w:tc>
          <w:tcPr>
            <w:tcW w:w="8847" w:type="dxa"/>
            <w:gridSpan w:val="9"/>
            <w:vAlign w:val="center"/>
          </w:tcPr>
          <w:p w14:paraId="61FBDF1B">
            <w:pPr>
              <w:jc w:val="center"/>
            </w:pPr>
            <w:r>
              <w:rPr>
                <w:rFonts w:ascii="宋体" w:hAnsi="宋体" w:eastAsia="宋体"/>
                <w:sz w:val="24"/>
              </w:rPr>
              <w:t>单位整体支出绩效自评表</w:t>
            </w:r>
          </w:p>
        </w:tc>
      </w:tr>
      <w:tr w14:paraId="08500737">
        <w:tblPrEx>
          <w:tblCellMar>
            <w:top w:w="0" w:type="dxa"/>
            <w:left w:w="108" w:type="dxa"/>
            <w:bottom w:w="0" w:type="dxa"/>
            <w:right w:w="108" w:type="dxa"/>
          </w:tblCellMar>
        </w:tblPrEx>
        <w:tc>
          <w:tcPr>
            <w:tcW w:w="8847" w:type="dxa"/>
            <w:gridSpan w:val="9"/>
            <w:vAlign w:val="center"/>
          </w:tcPr>
          <w:p w14:paraId="44D394DE">
            <w:pPr>
              <w:jc w:val="center"/>
            </w:pPr>
            <w:r>
              <w:rPr>
                <w:rFonts w:ascii="宋体" w:hAnsi="宋体" w:eastAsia="宋体"/>
                <w:sz w:val="24"/>
              </w:rPr>
              <w:t>（2024年度）</w:t>
            </w:r>
          </w:p>
        </w:tc>
      </w:tr>
      <w:tr w14:paraId="784FA5E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DB465">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F1624C6">
            <w:pPr>
              <w:jc w:val="center"/>
            </w:pPr>
            <w:r>
              <w:rPr>
                <w:rFonts w:ascii="宋体" w:hAnsi="宋体" w:eastAsia="宋体"/>
                <w:sz w:val="16"/>
              </w:rPr>
              <w:t>昌吉回族自治州信访局</w:t>
            </w:r>
          </w:p>
        </w:tc>
      </w:tr>
      <w:tr w14:paraId="69A0215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78C9D9">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CD9BC">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82914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6F89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5FA8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D48F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5B72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2E06E">
            <w:pPr>
              <w:jc w:val="center"/>
            </w:pPr>
            <w:r>
              <w:rPr>
                <w:rFonts w:ascii="宋体" w:hAnsi="宋体" w:eastAsia="宋体"/>
                <w:sz w:val="16"/>
              </w:rPr>
              <w:t>得分</w:t>
            </w:r>
          </w:p>
        </w:tc>
      </w:tr>
      <w:tr w14:paraId="12CEB9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F02A2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799EF">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EB1C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9AD6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52DA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E789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457A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7EB92">
            <w:pPr>
              <w:jc w:val="center"/>
            </w:pPr>
            <w:r>
              <w:rPr>
                <w:rFonts w:ascii="宋体" w:hAnsi="宋体" w:eastAsia="宋体"/>
                <w:sz w:val="16"/>
              </w:rPr>
              <w:t>-</w:t>
            </w:r>
          </w:p>
        </w:tc>
      </w:tr>
      <w:tr w14:paraId="48B193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2FF1A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6C40D">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F5092">
            <w:pPr>
              <w:jc w:val="center"/>
            </w:pPr>
            <w:r>
              <w:rPr>
                <w:rFonts w:ascii="宋体" w:hAnsi="宋体" w:eastAsia="宋体"/>
                <w:sz w:val="16"/>
              </w:rPr>
              <w:t>537.45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99E9F">
            <w:pPr>
              <w:jc w:val="center"/>
            </w:pPr>
            <w:r>
              <w:rPr>
                <w:rFonts w:ascii="宋体" w:hAnsi="宋体" w:eastAsia="宋体"/>
                <w:sz w:val="16"/>
              </w:rPr>
              <w:t>506.45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537E3">
            <w:pPr>
              <w:jc w:val="center"/>
            </w:pPr>
            <w:r>
              <w:rPr>
                <w:rFonts w:ascii="宋体" w:hAnsi="宋体" w:eastAsia="宋体"/>
                <w:sz w:val="16"/>
              </w:rPr>
              <w:t>496.65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3C82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CA1D0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B065E">
            <w:pPr>
              <w:jc w:val="center"/>
            </w:pPr>
            <w:r>
              <w:rPr>
                <w:rFonts w:ascii="宋体" w:hAnsi="宋体" w:eastAsia="宋体"/>
                <w:sz w:val="16"/>
              </w:rPr>
              <w:t>-</w:t>
            </w:r>
          </w:p>
        </w:tc>
      </w:tr>
      <w:tr w14:paraId="1A4512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50C0A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C131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FF872">
            <w:pPr>
              <w:jc w:val="center"/>
            </w:pPr>
            <w:r>
              <w:rPr>
                <w:rFonts w:ascii="宋体" w:hAnsi="宋体" w:eastAsia="宋体"/>
                <w:sz w:val="16"/>
              </w:rPr>
              <w:t>13.99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63F2E">
            <w:pPr>
              <w:jc w:val="center"/>
            </w:pPr>
            <w:r>
              <w:rPr>
                <w:rFonts w:ascii="宋体" w:hAnsi="宋体" w:eastAsia="宋体"/>
                <w:sz w:val="16"/>
              </w:rPr>
              <w:t>13.99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220EA">
            <w:pPr>
              <w:jc w:val="center"/>
            </w:pPr>
            <w:r>
              <w:rPr>
                <w:rFonts w:ascii="宋体" w:hAnsi="宋体" w:eastAsia="宋体"/>
                <w:sz w:val="16"/>
              </w:rPr>
              <w:t>13.99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AC7DD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802F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467FC">
            <w:pPr>
              <w:jc w:val="center"/>
            </w:pPr>
            <w:r>
              <w:rPr>
                <w:rFonts w:ascii="宋体" w:hAnsi="宋体" w:eastAsia="宋体"/>
                <w:sz w:val="16"/>
              </w:rPr>
              <w:t>-</w:t>
            </w:r>
          </w:p>
        </w:tc>
      </w:tr>
      <w:tr w14:paraId="3DB89D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E7A44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EE58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707F1">
            <w:pPr>
              <w:jc w:val="center"/>
            </w:pPr>
            <w:r>
              <w:rPr>
                <w:rFonts w:ascii="宋体" w:hAnsi="宋体" w:eastAsia="宋体"/>
                <w:sz w:val="16"/>
              </w:rPr>
              <w:t>551.44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A1B57">
            <w:pPr>
              <w:jc w:val="center"/>
            </w:pPr>
            <w:r>
              <w:rPr>
                <w:rFonts w:ascii="宋体" w:hAnsi="宋体" w:eastAsia="宋体"/>
                <w:sz w:val="16"/>
              </w:rPr>
              <w:t>520.44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E2699">
            <w:pPr>
              <w:jc w:val="center"/>
            </w:pPr>
            <w:r>
              <w:rPr>
                <w:rFonts w:ascii="宋体" w:hAnsi="宋体" w:eastAsia="宋体"/>
                <w:sz w:val="16"/>
              </w:rPr>
              <w:t>510.64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BDA2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9D854">
            <w:pPr>
              <w:jc w:val="center"/>
            </w:pPr>
            <w:r>
              <w:rPr>
                <w:rFonts w:ascii="宋体" w:hAnsi="宋体" w:eastAsia="宋体"/>
                <w:sz w:val="16"/>
              </w:rPr>
              <w:t>98.12%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1B316">
            <w:pPr>
              <w:jc w:val="center"/>
            </w:pPr>
            <w:r>
              <w:rPr>
                <w:rFonts w:ascii="宋体" w:hAnsi="宋体" w:eastAsia="宋体"/>
                <w:sz w:val="16"/>
              </w:rPr>
              <w:t>9.81</w:t>
            </w:r>
          </w:p>
        </w:tc>
      </w:tr>
      <w:tr w14:paraId="7983242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4B367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DDC29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129AD9">
            <w:pPr>
              <w:jc w:val="center"/>
            </w:pPr>
            <w:r>
              <w:rPr>
                <w:rFonts w:ascii="宋体" w:hAnsi="宋体" w:eastAsia="宋体"/>
                <w:sz w:val="16"/>
              </w:rPr>
              <w:t>实际完成情况</w:t>
            </w:r>
          </w:p>
        </w:tc>
      </w:tr>
      <w:tr w14:paraId="4A8486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10AFA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11F849A">
            <w:pPr>
              <w:jc w:val="both"/>
            </w:pPr>
            <w:r>
              <w:rPr>
                <w:rFonts w:ascii="宋体" w:hAnsi="宋体" w:eastAsia="宋体"/>
                <w:sz w:val="16"/>
              </w:rPr>
              <w:t>重要敏感时期制定信访安全保障方案并实施，确保三个不发生；做好州领导接访下访约访工作；制定《昌吉州进京越级上访集中治理年工作方案》，排查梳理重点人群人员并分类造册；开展重复信访集中治理工作；开展贯彻落实《信访工作条例》宣传培训及重点工作任务指导；信访工作及时受理率、按期办结率100%</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AE7854">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全年预算数为520.44万元，全年执行数为510.64 万元，总预算执行率为98.12%。2024 年</w:t>
            </w:r>
            <w:r>
              <w:rPr>
                <w:rFonts w:hint="eastAsia" w:ascii="宋体" w:hAnsi="宋体"/>
                <w:sz w:val="16"/>
                <w:lang w:eastAsia="zh-CN"/>
              </w:rPr>
              <w:t>本单位</w:t>
            </w:r>
            <w:r>
              <w:rPr>
                <w:rFonts w:ascii="宋体" w:hAnsi="宋体" w:eastAsia="宋体"/>
                <w:sz w:val="16"/>
              </w:rPr>
              <w:t>完成以下工作内容：1.重要敏感节点驻京驻乌开展值守工作3次；2.做好州领导接访下访约访工作1次；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3.排查梳理重点人群人员并分类造册2次；4.开展重复信访集中治理工作1次；5.完成信访快报（困难诉求专报）20期； 6.开展贯彻落实《信访工作条例》宣传培训及重点工作任务指导工作10次； 7.信访工作及时受理率、按期办结率</w:t>
            </w:r>
            <w:r>
              <w:rPr>
                <w:rFonts w:ascii="宋体" w:hAnsi="宋体" w:eastAsia="宋体"/>
                <w:sz w:val="16"/>
              </w:rPr>
              <w:tab/>
            </w:r>
            <w:r>
              <w:rPr>
                <w:rFonts w:ascii="宋体" w:hAnsi="宋体" w:eastAsia="宋体"/>
                <w:sz w:val="16"/>
              </w:rPr>
              <w:t>达100%。通过以上工作的实施，强化“事要解决”，深入开展治重化积百日攻坚行动和“全国满意示范县”和“人民满意窗口”创建活动以及扎实开展《信访工作条例》学习宣传贯彻落实活动；通过活动的开展加强信访部门自身建设，不断提高信访业务规范化水平。</w:t>
            </w:r>
          </w:p>
        </w:tc>
      </w:tr>
      <w:tr w14:paraId="37D95F5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2B34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58B20">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9F4F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19C0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D62E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DDCD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A0BB3">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4DB0C">
            <w:pPr>
              <w:jc w:val="center"/>
            </w:pPr>
            <w:r>
              <w:rPr>
                <w:rFonts w:ascii="宋体" w:hAnsi="宋体" w:eastAsia="宋体"/>
                <w:sz w:val="16"/>
              </w:rPr>
              <w:t>得分</w:t>
            </w:r>
          </w:p>
        </w:tc>
      </w:tr>
      <w:tr w14:paraId="2760DA0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95E41">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A64B96">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5C29EA">
            <w:pPr>
              <w:jc w:val="center"/>
            </w:pPr>
            <w:r>
              <w:rPr>
                <w:rFonts w:ascii="宋体" w:hAnsi="宋体" w:eastAsia="宋体"/>
                <w:sz w:val="16"/>
              </w:rPr>
              <w:t>重要敏感节点驻京驻乌开展值守工作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6D1B0">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C4ED84">
            <w:pPr>
              <w:jc w:val="center"/>
            </w:pPr>
            <w:r>
              <w:rPr>
                <w:rFonts w:ascii="宋体" w:hAnsi="宋体" w:eastAsia="宋体"/>
                <w:sz w:val="16"/>
              </w:rPr>
              <w:t>2024年绩效考核工作要点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E5EA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CE185">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1EE9A">
            <w:pPr>
              <w:jc w:val="center"/>
            </w:pPr>
            <w:r>
              <w:rPr>
                <w:rFonts w:ascii="宋体" w:hAnsi="宋体" w:eastAsia="宋体"/>
                <w:sz w:val="16"/>
              </w:rPr>
              <w:t>15</w:t>
            </w:r>
          </w:p>
        </w:tc>
      </w:tr>
      <w:tr w14:paraId="2EA2B8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A3D4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DB7E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3E454">
            <w:pPr>
              <w:jc w:val="center"/>
            </w:pPr>
            <w:r>
              <w:rPr>
                <w:rFonts w:ascii="宋体" w:hAnsi="宋体" w:eastAsia="宋体"/>
                <w:sz w:val="16"/>
              </w:rPr>
              <w:t>做好州领导接访下访约访工作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C7689">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1546B">
            <w:pPr>
              <w:jc w:val="center"/>
            </w:pPr>
            <w:r>
              <w:rPr>
                <w:rFonts w:ascii="宋体" w:hAnsi="宋体" w:eastAsia="宋体"/>
                <w:sz w:val="16"/>
              </w:rPr>
              <w:t>2024年绩效考核工作要点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D641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7C36C">
            <w:pPr>
              <w:jc w:val="center"/>
            </w:pPr>
            <w:r>
              <w:rPr>
                <w:rFonts w:ascii="宋体" w:hAnsi="宋体" w:eastAsia="宋体"/>
                <w:sz w:val="16"/>
              </w:rPr>
              <w:t>1次</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56ACF">
            <w:pPr>
              <w:jc w:val="center"/>
            </w:pPr>
            <w:r>
              <w:rPr>
                <w:rFonts w:ascii="宋体" w:hAnsi="宋体" w:eastAsia="宋体"/>
                <w:sz w:val="16"/>
              </w:rPr>
              <w:t>10</w:t>
            </w:r>
          </w:p>
        </w:tc>
      </w:tr>
      <w:tr w14:paraId="35294C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42BCC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64F13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B6C88">
            <w:pPr>
              <w:jc w:val="center"/>
            </w:pPr>
            <w:r>
              <w:rPr>
                <w:rFonts w:ascii="宋体" w:hAnsi="宋体" w:eastAsia="宋体"/>
                <w:sz w:val="16"/>
              </w:rPr>
              <w:t>排查梳理重点人群人员并分类造册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CD8DD">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BAB7C">
            <w:pPr>
              <w:jc w:val="center"/>
            </w:pPr>
            <w:r>
              <w:rPr>
                <w:rFonts w:ascii="宋体" w:hAnsi="宋体" w:eastAsia="宋体"/>
                <w:sz w:val="16"/>
              </w:rPr>
              <w:t>2024年绩效考核工作要点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ABC0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1CE12">
            <w:pPr>
              <w:jc w:val="center"/>
            </w:pPr>
            <w:r>
              <w:rPr>
                <w:rFonts w:ascii="宋体" w:hAnsi="宋体" w:eastAsia="宋体"/>
                <w:sz w:val="16"/>
              </w:rPr>
              <w:t>2次</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7EF6DA">
            <w:pPr>
              <w:jc w:val="center"/>
            </w:pPr>
            <w:r>
              <w:rPr>
                <w:rFonts w:ascii="宋体" w:hAnsi="宋体" w:eastAsia="宋体"/>
                <w:sz w:val="16"/>
              </w:rPr>
              <w:t>15</w:t>
            </w:r>
          </w:p>
        </w:tc>
      </w:tr>
      <w:tr w14:paraId="116DB2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78DFA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E4C6E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9778A">
            <w:pPr>
              <w:jc w:val="center"/>
            </w:pPr>
            <w:r>
              <w:rPr>
                <w:rFonts w:ascii="宋体" w:hAnsi="宋体" w:eastAsia="宋体"/>
                <w:sz w:val="16"/>
              </w:rPr>
              <w:t>开展重复信访集中治理工作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C6F91F">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11A47">
            <w:pPr>
              <w:jc w:val="center"/>
            </w:pPr>
            <w:r>
              <w:rPr>
                <w:rFonts w:ascii="宋体" w:hAnsi="宋体" w:eastAsia="宋体"/>
                <w:sz w:val="16"/>
              </w:rPr>
              <w:t>2024年绩效考核工作要点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514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59C2E">
            <w:pPr>
              <w:jc w:val="center"/>
            </w:pPr>
            <w:r>
              <w:rPr>
                <w:rFonts w:ascii="宋体" w:hAnsi="宋体" w:eastAsia="宋体"/>
                <w:sz w:val="16"/>
              </w:rPr>
              <w:t>1次</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404C9">
            <w:pPr>
              <w:jc w:val="center"/>
            </w:pPr>
            <w:r>
              <w:rPr>
                <w:rFonts w:ascii="宋体" w:hAnsi="宋体" w:eastAsia="宋体"/>
                <w:sz w:val="16"/>
              </w:rPr>
              <w:t>10</w:t>
            </w:r>
          </w:p>
        </w:tc>
      </w:tr>
      <w:tr w14:paraId="5F4F79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4A23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00C20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364E9">
            <w:pPr>
              <w:jc w:val="center"/>
            </w:pPr>
            <w:r>
              <w:rPr>
                <w:rFonts w:ascii="宋体" w:hAnsi="宋体" w:eastAsia="宋体"/>
                <w:sz w:val="16"/>
              </w:rPr>
              <w:t>完成信访快报（困难诉求专报）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EA467">
            <w:pPr>
              <w:jc w:val="center"/>
            </w:pPr>
            <w:r>
              <w:rPr>
                <w:rFonts w:ascii="宋体" w:hAnsi="宋体" w:eastAsia="宋体"/>
                <w:sz w:val="16"/>
              </w:rPr>
              <w:t>&gt;=20期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69F845">
            <w:pPr>
              <w:jc w:val="center"/>
            </w:pPr>
            <w:r>
              <w:rPr>
                <w:rFonts w:ascii="宋体" w:hAnsi="宋体" w:eastAsia="宋体"/>
                <w:sz w:val="16"/>
              </w:rPr>
              <w:t>2024年绩效考核工作要点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7EE9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B9B5BA">
            <w:pPr>
              <w:jc w:val="center"/>
            </w:pPr>
            <w:r>
              <w:rPr>
                <w:rFonts w:ascii="宋体" w:hAnsi="宋体" w:eastAsia="宋体"/>
                <w:sz w:val="16"/>
              </w:rPr>
              <w:t>20期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0131F">
            <w:pPr>
              <w:jc w:val="center"/>
            </w:pPr>
            <w:r>
              <w:rPr>
                <w:rFonts w:ascii="宋体" w:hAnsi="宋体" w:eastAsia="宋体"/>
                <w:sz w:val="16"/>
              </w:rPr>
              <w:t>10</w:t>
            </w:r>
          </w:p>
        </w:tc>
      </w:tr>
      <w:tr w14:paraId="456181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CDF74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B455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99816">
            <w:pPr>
              <w:jc w:val="center"/>
            </w:pPr>
            <w:r>
              <w:rPr>
                <w:rFonts w:ascii="宋体" w:hAnsi="宋体" w:eastAsia="宋体"/>
                <w:sz w:val="16"/>
              </w:rPr>
              <w:t>开展贯彻落实《信访工作条例》宣传培训及重点工作任务指导工作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396BB">
            <w:pPr>
              <w:jc w:val="center"/>
            </w:pPr>
            <w:r>
              <w:rPr>
                <w:rFonts w:ascii="宋体" w:hAnsi="宋体" w:eastAsia="宋体"/>
                <w:sz w:val="16"/>
              </w:rPr>
              <w:t>&gt;=10次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C5855">
            <w:pPr>
              <w:jc w:val="center"/>
            </w:pPr>
            <w:r>
              <w:rPr>
                <w:rFonts w:ascii="宋体" w:hAnsi="宋体" w:eastAsia="宋体"/>
                <w:sz w:val="16"/>
              </w:rPr>
              <w:t>2024年绩效考核工作要点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D9713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019E6">
            <w:pPr>
              <w:jc w:val="center"/>
            </w:pPr>
            <w:r>
              <w:rPr>
                <w:rFonts w:ascii="宋体" w:hAnsi="宋体" w:eastAsia="宋体"/>
                <w:sz w:val="16"/>
              </w:rPr>
              <w:t>10次</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A753E">
            <w:pPr>
              <w:jc w:val="center"/>
            </w:pPr>
            <w:r>
              <w:rPr>
                <w:rFonts w:ascii="宋体" w:hAnsi="宋体" w:eastAsia="宋体"/>
                <w:sz w:val="16"/>
              </w:rPr>
              <w:t>15</w:t>
            </w:r>
          </w:p>
        </w:tc>
      </w:tr>
      <w:tr w14:paraId="0580B1B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24478">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E949B">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47795">
            <w:pPr>
              <w:jc w:val="center"/>
            </w:pPr>
            <w:r>
              <w:rPr>
                <w:rFonts w:ascii="宋体" w:hAnsi="宋体" w:eastAsia="宋体"/>
                <w:sz w:val="16"/>
              </w:rPr>
              <w:t>信访工作及时受理率、按期办结率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7D97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211CB">
            <w:pPr>
              <w:jc w:val="center"/>
            </w:pPr>
            <w:r>
              <w:rPr>
                <w:rFonts w:ascii="宋体" w:hAnsi="宋体" w:eastAsia="宋体"/>
                <w:sz w:val="16"/>
              </w:rPr>
              <w:t>2024年绩效考核工作要点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44A8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DB70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B485E">
            <w:pPr>
              <w:jc w:val="center"/>
            </w:pPr>
            <w:r>
              <w:rPr>
                <w:rFonts w:ascii="宋体" w:hAnsi="宋体" w:eastAsia="宋体"/>
                <w:sz w:val="16"/>
              </w:rPr>
              <w:t>15</w:t>
            </w:r>
          </w:p>
        </w:tc>
      </w:tr>
    </w:tbl>
    <w:p w14:paraId="719D8BB4">
      <w:r>
        <w:br w:type="page"/>
      </w:r>
    </w:p>
    <w:tbl>
      <w:tblPr>
        <w:tblStyle w:val="9"/>
        <w:tblW w:w="0" w:type="auto"/>
        <w:tblInd w:w="0" w:type="dxa"/>
        <w:tblLayout w:type="autofit"/>
        <w:tblCellMar>
          <w:top w:w="0" w:type="dxa"/>
          <w:left w:w="108" w:type="dxa"/>
          <w:bottom w:w="0" w:type="dxa"/>
          <w:right w:w="108" w:type="dxa"/>
        </w:tblCellMar>
      </w:tblPr>
      <w:tblGrid>
        <w:gridCol w:w="615"/>
        <w:gridCol w:w="589"/>
        <w:gridCol w:w="589"/>
        <w:gridCol w:w="696"/>
        <w:gridCol w:w="602"/>
        <w:gridCol w:w="776"/>
        <w:gridCol w:w="776"/>
        <w:gridCol w:w="776"/>
        <w:gridCol w:w="629"/>
        <w:gridCol w:w="589"/>
        <w:gridCol w:w="629"/>
        <w:gridCol w:w="589"/>
        <w:gridCol w:w="589"/>
        <w:gridCol w:w="616"/>
      </w:tblGrid>
      <w:tr w14:paraId="12B817A8">
        <w:tblPrEx>
          <w:tblCellMar>
            <w:top w:w="0" w:type="dxa"/>
            <w:left w:w="108" w:type="dxa"/>
            <w:bottom w:w="0" w:type="dxa"/>
            <w:right w:w="108" w:type="dxa"/>
          </w:tblCellMar>
        </w:tblPrEx>
        <w:tc>
          <w:tcPr>
            <w:tcW w:w="8848" w:type="dxa"/>
            <w:gridSpan w:val="14"/>
            <w:vAlign w:val="center"/>
          </w:tcPr>
          <w:p w14:paraId="49541BC0">
            <w:pPr>
              <w:jc w:val="center"/>
            </w:pPr>
            <w:r>
              <w:rPr>
                <w:rFonts w:ascii="宋体" w:hAnsi="宋体" w:eastAsia="宋体"/>
                <w:sz w:val="24"/>
              </w:rPr>
              <w:t>项目支出绩效自评表</w:t>
            </w:r>
          </w:p>
        </w:tc>
      </w:tr>
      <w:tr w14:paraId="49A1E66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C25E6C3">
            <w:pPr>
              <w:jc w:val="center"/>
            </w:pPr>
            <w:r>
              <w:rPr>
                <w:rFonts w:ascii="宋体" w:hAnsi="宋体" w:eastAsia="宋体"/>
                <w:sz w:val="24"/>
              </w:rPr>
              <w:t>(2024年度)</w:t>
            </w:r>
          </w:p>
        </w:tc>
      </w:tr>
      <w:tr w14:paraId="43586B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9B47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C3DE1B">
            <w:pPr>
              <w:jc w:val="center"/>
            </w:pPr>
            <w:r>
              <w:rPr>
                <w:rFonts w:ascii="宋体" w:hAnsi="宋体" w:eastAsia="宋体"/>
                <w:sz w:val="16"/>
              </w:rPr>
              <w:t>开展信访业务项目</w:t>
            </w:r>
          </w:p>
        </w:tc>
      </w:tr>
      <w:tr w14:paraId="13F9B7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2A95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F357C6">
            <w:pPr>
              <w:jc w:val="center"/>
            </w:pPr>
            <w:r>
              <w:rPr>
                <w:rFonts w:ascii="宋体" w:hAnsi="宋体" w:eastAsia="宋体"/>
                <w:sz w:val="16"/>
              </w:rPr>
              <w:t>昌吉回族自治州信访局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6956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85EF00">
            <w:pPr>
              <w:jc w:val="center"/>
            </w:pPr>
            <w:r>
              <w:rPr>
                <w:rFonts w:ascii="宋体" w:hAnsi="宋体" w:eastAsia="宋体"/>
                <w:sz w:val="16"/>
              </w:rPr>
              <w:t>昌吉回族自治州信访局</w:t>
            </w:r>
          </w:p>
        </w:tc>
      </w:tr>
      <w:tr w14:paraId="540EC1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9E1F7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FED7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2FDE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FD3E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A0B2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A507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D242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78546">
            <w:pPr>
              <w:jc w:val="center"/>
            </w:pPr>
            <w:r>
              <w:rPr>
                <w:rFonts w:ascii="宋体" w:hAnsi="宋体" w:eastAsia="宋体"/>
                <w:sz w:val="16"/>
              </w:rPr>
              <w:t>得分</w:t>
            </w:r>
          </w:p>
        </w:tc>
      </w:tr>
      <w:tr w14:paraId="6E7893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45D0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70EE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6F8AD">
            <w:pPr>
              <w:jc w:val="center"/>
            </w:pPr>
            <w:r>
              <w:rPr>
                <w:rFonts w:ascii="宋体" w:hAnsi="宋体" w:eastAsia="宋体"/>
                <w:sz w:val="16"/>
              </w:rPr>
              <w:t>76.00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4A142">
            <w:pPr>
              <w:jc w:val="center"/>
            </w:pPr>
            <w:r>
              <w:rPr>
                <w:rFonts w:ascii="宋体" w:hAnsi="宋体" w:eastAsia="宋体"/>
                <w:sz w:val="16"/>
              </w:rPr>
              <w:t>81.32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2C609">
            <w:pPr>
              <w:jc w:val="center"/>
            </w:pPr>
            <w:r>
              <w:rPr>
                <w:rFonts w:ascii="宋体" w:hAnsi="宋体" w:eastAsia="宋体"/>
                <w:sz w:val="16"/>
              </w:rPr>
              <w:t>79.13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06CD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136E4">
            <w:pPr>
              <w:jc w:val="center"/>
            </w:pPr>
            <w:r>
              <w:rPr>
                <w:rFonts w:ascii="宋体" w:hAnsi="宋体" w:eastAsia="宋体"/>
                <w:sz w:val="16"/>
              </w:rPr>
              <w:t>97.31%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9005F">
            <w:pPr>
              <w:jc w:val="center"/>
            </w:pPr>
            <w:r>
              <w:rPr>
                <w:rFonts w:ascii="宋体" w:hAnsi="宋体" w:eastAsia="宋体"/>
                <w:sz w:val="16"/>
              </w:rPr>
              <w:t>9.33</w:t>
            </w:r>
          </w:p>
        </w:tc>
      </w:tr>
      <w:tr w14:paraId="5F2A7B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74E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A279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801F0">
            <w:pPr>
              <w:jc w:val="center"/>
            </w:pPr>
            <w:r>
              <w:rPr>
                <w:rFonts w:ascii="宋体" w:hAnsi="宋体" w:eastAsia="宋体"/>
                <w:sz w:val="16"/>
              </w:rPr>
              <w:t>76.00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3D4C5">
            <w:pPr>
              <w:jc w:val="center"/>
            </w:pPr>
            <w:r>
              <w:rPr>
                <w:rFonts w:ascii="宋体" w:hAnsi="宋体" w:eastAsia="宋体"/>
                <w:sz w:val="16"/>
              </w:rPr>
              <w:t>81.32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05FAC">
            <w:pPr>
              <w:jc w:val="center"/>
            </w:pPr>
            <w:r>
              <w:rPr>
                <w:rFonts w:ascii="宋体" w:hAnsi="宋体" w:eastAsia="宋体"/>
                <w:sz w:val="16"/>
              </w:rPr>
              <w:t>79.13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869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117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1CE8B">
            <w:pPr>
              <w:jc w:val="center"/>
            </w:pPr>
            <w:r>
              <w:rPr>
                <w:rFonts w:ascii="宋体" w:hAnsi="宋体" w:eastAsia="宋体"/>
                <w:sz w:val="16"/>
              </w:rPr>
              <w:t>—</w:t>
            </w:r>
          </w:p>
        </w:tc>
      </w:tr>
      <w:tr w14:paraId="07ACBA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91E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315E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2B3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4F8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B41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76C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703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C8B48">
            <w:pPr>
              <w:jc w:val="center"/>
            </w:pPr>
            <w:r>
              <w:rPr>
                <w:rFonts w:ascii="宋体" w:hAnsi="宋体" w:eastAsia="宋体"/>
                <w:sz w:val="16"/>
              </w:rPr>
              <w:t>—</w:t>
            </w:r>
          </w:p>
        </w:tc>
      </w:tr>
      <w:tr w14:paraId="785865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E9EA9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E352C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D1E298">
            <w:pPr>
              <w:jc w:val="center"/>
            </w:pPr>
            <w:r>
              <w:rPr>
                <w:rFonts w:ascii="宋体" w:hAnsi="宋体" w:eastAsia="宋体"/>
                <w:sz w:val="16"/>
              </w:rPr>
              <w:t>实际完成情况</w:t>
            </w:r>
          </w:p>
        </w:tc>
      </w:tr>
      <w:tr w14:paraId="602C34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C605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F7EAEF">
            <w:pPr>
              <w:jc w:val="both"/>
            </w:pPr>
            <w:r>
              <w:rPr>
                <w:rFonts w:ascii="宋体" w:hAnsi="宋体" w:eastAsia="宋体"/>
                <w:sz w:val="16"/>
              </w:rPr>
              <w:t>对相关部门单位培训，开展业务指导,带案下访，对重点信访事项进行包联指导</w:t>
            </w:r>
            <w:r>
              <w:rPr>
                <w:rFonts w:hint="eastAsia" w:ascii="宋体" w:hAnsi="宋体"/>
                <w:sz w:val="16"/>
                <w:lang w:eastAsia="zh-CN"/>
              </w:rPr>
              <w:t>；</w:t>
            </w:r>
            <w:r>
              <w:rPr>
                <w:rFonts w:ascii="宋体" w:hAnsi="宋体" w:eastAsia="宋体"/>
                <w:sz w:val="16"/>
              </w:rPr>
              <w:t>律师开展法律咨询服务</w:t>
            </w:r>
            <w:r>
              <w:rPr>
                <w:rFonts w:hint="eastAsia" w:ascii="宋体" w:hAnsi="宋体"/>
                <w:sz w:val="16"/>
                <w:lang w:eastAsia="zh-CN"/>
              </w:rPr>
              <w:t>，在</w:t>
            </w:r>
            <w:r>
              <w:rPr>
                <w:rFonts w:ascii="宋体" w:hAnsi="宋体" w:eastAsia="宋体"/>
                <w:sz w:val="16"/>
              </w:rPr>
              <w:t>重要敏感节点驻京驻乌开展信访保障工作</w:t>
            </w:r>
            <w:r>
              <w:rPr>
                <w:rFonts w:hint="eastAsia" w:ascii="宋体" w:hAnsi="宋体"/>
                <w:sz w:val="16"/>
                <w:lang w:eastAsia="zh-CN"/>
              </w:rPr>
              <w:t>；</w:t>
            </w:r>
            <w:r>
              <w:rPr>
                <w:rFonts w:ascii="宋体" w:hAnsi="宋体" w:eastAsia="宋体"/>
                <w:sz w:val="16"/>
              </w:rPr>
              <w:t>保障正常办公运行</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78B56D">
            <w:pPr>
              <w:jc w:val="both"/>
            </w:pPr>
            <w:r>
              <w:rPr>
                <w:rFonts w:hint="eastAsia" w:ascii="宋体" w:hAnsi="宋体"/>
                <w:sz w:val="16"/>
                <w:lang w:eastAsia="zh-CN"/>
              </w:rPr>
              <w:t>截至</w:t>
            </w:r>
            <w:r>
              <w:rPr>
                <w:rFonts w:ascii="宋体" w:hAnsi="宋体" w:eastAsia="宋体"/>
                <w:sz w:val="16"/>
              </w:rPr>
              <w:t>2024年12月31日，该项目实际完成：1.对相关部门单位、县市（园区）信访骨干开展业务培训，开展业务指导10次，进一步提高了信访干部业务能力水平；2.带案下访，对重点信访事项进行包联指导6次；3.律师每周为来访群众开展1次法律法规咨询服务，全年54次；4.重要敏感节点驻京驻乌开展信访保障工作2次；5.保障驻京人数1人；6.信访案件督办进度达85%。通过该项目的实施，提升了信访工作业务水平，促进了单位正常办公运行。</w:t>
            </w:r>
          </w:p>
        </w:tc>
      </w:tr>
      <w:tr w14:paraId="53FA57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DD77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78B8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95CC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338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5FB7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D45A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F156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86E5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97EC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4CB8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6D1A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992C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06B6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F87F6">
            <w:pPr>
              <w:jc w:val="center"/>
            </w:pPr>
            <w:r>
              <w:rPr>
                <w:rFonts w:ascii="宋体" w:hAnsi="宋体" w:eastAsia="宋体"/>
                <w:sz w:val="16"/>
              </w:rPr>
              <w:t>偏差原因分析及改进措施</w:t>
            </w:r>
          </w:p>
        </w:tc>
      </w:tr>
      <w:tr w14:paraId="7957AA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4B6B9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A36A3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CB615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32DB4">
            <w:pPr>
              <w:jc w:val="center"/>
            </w:pPr>
            <w:r>
              <w:rPr>
                <w:rFonts w:ascii="宋体" w:hAnsi="宋体" w:eastAsia="宋体"/>
                <w:sz w:val="16"/>
              </w:rPr>
              <w:t>重要敏感节点驻京驻乌开展信访保障工作（次）（次）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C3D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1E6D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EBA7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7BB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838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994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CC1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E98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D22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1ED94">
            <w:pPr>
              <w:jc w:val="center"/>
            </w:pPr>
          </w:p>
        </w:tc>
      </w:tr>
      <w:tr w14:paraId="277A27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853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8FF3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68B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561D">
            <w:pPr>
              <w:jc w:val="center"/>
            </w:pPr>
            <w:r>
              <w:rPr>
                <w:rFonts w:ascii="宋体" w:hAnsi="宋体" w:eastAsia="宋体"/>
                <w:sz w:val="16"/>
              </w:rPr>
              <w:t>带案下访，对重点信访事项进行包联指导（次）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9F0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9E820">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8AABE">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6E4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1F6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E8A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53ED5">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A17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754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BC7AA">
            <w:pPr>
              <w:jc w:val="center"/>
            </w:pPr>
          </w:p>
        </w:tc>
      </w:tr>
      <w:tr w14:paraId="491BD9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972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013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835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7D9C9">
            <w:pPr>
              <w:jc w:val="center"/>
            </w:pPr>
            <w:r>
              <w:rPr>
                <w:rFonts w:ascii="宋体" w:hAnsi="宋体" w:eastAsia="宋体"/>
                <w:sz w:val="16"/>
              </w:rPr>
              <w:t>律师开展法律咨询服务（次）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FD5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853FA">
            <w:pPr>
              <w:jc w:val="center"/>
            </w:pPr>
            <w:r>
              <w:rPr>
                <w:rFonts w:ascii="宋体" w:hAnsi="宋体" w:eastAsia="宋体"/>
                <w:sz w:val="16"/>
              </w:rPr>
              <w:t>&gt;=48次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B7B00">
            <w:pPr>
              <w:jc w:val="center"/>
            </w:pPr>
            <w:r>
              <w:rPr>
                <w:rFonts w:ascii="宋体" w:hAnsi="宋体" w:eastAsia="宋体"/>
                <w:sz w:val="16"/>
              </w:rPr>
              <w:t>=48次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236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161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5B9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24771">
            <w:pPr>
              <w:jc w:val="center"/>
            </w:pPr>
            <w:r>
              <w:rPr>
                <w:rFonts w:ascii="宋体" w:hAnsi="宋体" w:eastAsia="宋体"/>
                <w:sz w:val="16"/>
              </w:rPr>
              <w:t>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BF0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D86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C2C03">
            <w:pPr>
              <w:jc w:val="center"/>
            </w:pPr>
          </w:p>
        </w:tc>
      </w:tr>
      <w:tr w14:paraId="538494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A45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E62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645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A232C">
            <w:pPr>
              <w:jc w:val="center"/>
            </w:pPr>
            <w:r>
              <w:rPr>
                <w:rFonts w:ascii="宋体" w:hAnsi="宋体" w:eastAsia="宋体"/>
                <w:sz w:val="16"/>
              </w:rPr>
              <w:t>开展信访工作法治化培训（次）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A3F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C58EC">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8590A">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1EF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F9A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3D1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DA7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293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41D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4A14B">
            <w:pPr>
              <w:jc w:val="center"/>
            </w:pPr>
          </w:p>
        </w:tc>
      </w:tr>
      <w:tr w14:paraId="7A72BA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556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005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3B5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2A864">
            <w:pPr>
              <w:jc w:val="center"/>
            </w:pPr>
            <w:r>
              <w:rPr>
                <w:rFonts w:ascii="宋体" w:hAnsi="宋体" w:eastAsia="宋体"/>
                <w:sz w:val="16"/>
              </w:rPr>
              <w:t>驻京人数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2AF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4ADCD">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570F0">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698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EB21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C93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CDD42">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59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5C8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10C1C">
            <w:pPr>
              <w:jc w:val="center"/>
            </w:pPr>
          </w:p>
        </w:tc>
      </w:tr>
      <w:tr w14:paraId="3F002F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0D93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CC7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DD1A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01756">
            <w:pPr>
              <w:jc w:val="center"/>
            </w:pPr>
            <w:r>
              <w:rPr>
                <w:rFonts w:ascii="宋体" w:hAnsi="宋体" w:eastAsia="宋体"/>
                <w:sz w:val="16"/>
              </w:rPr>
              <w:t>信访案件督办进度（%）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B40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D3C21">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954D2">
            <w:pPr>
              <w:jc w:val="center"/>
            </w:pPr>
            <w:r>
              <w:rPr>
                <w:rFonts w:ascii="宋体" w:hAnsi="宋体" w:eastAsia="宋体"/>
                <w:sz w:val="16"/>
              </w:rPr>
              <w:t>=90.39%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717F4">
            <w:pPr>
              <w:jc w:val="center"/>
            </w:pPr>
            <w:r>
              <w:rPr>
                <w:rFonts w:ascii="宋体" w:hAnsi="宋体" w:eastAsia="宋体"/>
                <w:sz w:val="16"/>
              </w:rPr>
              <w:t>106.34%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CF3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F58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AB2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8197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9E4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5F037">
            <w:pPr>
              <w:jc w:val="center"/>
            </w:pPr>
            <w:r>
              <w:rPr>
                <w:rFonts w:ascii="宋体" w:hAnsi="宋体" w:eastAsia="宋体"/>
                <w:sz w:val="16"/>
              </w:rPr>
              <w:t>由于指标设置比较</w:t>
            </w:r>
            <w:r>
              <w:rPr>
                <w:rFonts w:hint="eastAsia" w:ascii="宋体" w:hAnsi="宋体"/>
                <w:sz w:val="16"/>
                <w:lang w:eastAsia="zh-CN"/>
              </w:rPr>
              <w:t>过于</w:t>
            </w:r>
            <w:r>
              <w:rPr>
                <w:rFonts w:ascii="宋体" w:hAnsi="宋体" w:eastAsia="宋体"/>
                <w:sz w:val="16"/>
              </w:rPr>
              <w:t>保守，</w:t>
            </w:r>
            <w:r>
              <w:rPr>
                <w:rFonts w:hint="eastAsia" w:ascii="宋体" w:hAnsi="宋体"/>
                <w:sz w:val="16"/>
                <w:lang w:eastAsia="zh-CN"/>
              </w:rPr>
              <w:t>导致</w:t>
            </w:r>
            <w:r>
              <w:rPr>
                <w:rFonts w:ascii="宋体" w:hAnsi="宋体" w:eastAsia="宋体"/>
                <w:sz w:val="16"/>
              </w:rPr>
              <w:t>信访案件督办进度指标出现偏差。</w:t>
            </w:r>
          </w:p>
        </w:tc>
      </w:tr>
      <w:tr w14:paraId="1583BE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06D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533A8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062A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2CA7A">
            <w:pPr>
              <w:jc w:val="center"/>
            </w:pPr>
            <w:r>
              <w:rPr>
                <w:rFonts w:ascii="宋体" w:hAnsi="宋体" w:eastAsia="宋体"/>
                <w:sz w:val="16"/>
              </w:rPr>
              <w:t>安全服务费（万元）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110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DD973">
            <w:pPr>
              <w:jc w:val="center"/>
            </w:pPr>
            <w:r>
              <w:rPr>
                <w:rFonts w:ascii="宋体" w:hAnsi="宋体" w:eastAsia="宋体"/>
                <w:sz w:val="16"/>
              </w:rPr>
              <w:t>&lt;=26万元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C4DBD">
            <w:pPr>
              <w:jc w:val="center"/>
            </w:pPr>
            <w:r>
              <w:rPr>
                <w:rFonts w:ascii="宋体" w:hAnsi="宋体" w:eastAsia="宋体"/>
                <w:sz w:val="16"/>
              </w:rPr>
              <w:t>=25.56万元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F283B">
            <w:pPr>
              <w:jc w:val="center"/>
            </w:pPr>
            <w:r>
              <w:rPr>
                <w:rFonts w:ascii="宋体" w:hAnsi="宋体" w:eastAsia="宋体"/>
                <w:sz w:val="16"/>
              </w:rPr>
              <w:t>98.31%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2ECF4">
            <w:pPr>
              <w:jc w:val="center"/>
            </w:pPr>
            <w:r>
              <w:rPr>
                <w:rFonts w:ascii="宋体" w:hAnsi="宋体" w:eastAsia="宋体"/>
                <w:sz w:val="16"/>
              </w:rPr>
              <w:t>4.79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919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465BC">
            <w:pPr>
              <w:jc w:val="center"/>
            </w:pPr>
            <w:r>
              <w:rPr>
                <w:rFonts w:ascii="宋体" w:hAnsi="宋体" w:eastAsia="宋体"/>
                <w:sz w:val="16"/>
              </w:rPr>
              <w:t>22.56万元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873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644A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A1795">
            <w:pPr>
              <w:jc w:val="center"/>
            </w:pPr>
            <w:r>
              <w:rPr>
                <w:rFonts w:ascii="宋体" w:hAnsi="宋体" w:eastAsia="宋体"/>
                <w:sz w:val="16"/>
              </w:rPr>
              <w:t>由于安全服务费减少，导致安全服务费指标出现偏差。</w:t>
            </w:r>
          </w:p>
        </w:tc>
      </w:tr>
      <w:tr w14:paraId="0750EF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94CA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870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0CF3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C5338">
            <w:pPr>
              <w:jc w:val="center"/>
            </w:pPr>
            <w:r>
              <w:rPr>
                <w:rFonts w:ascii="宋体" w:hAnsi="宋体" w:eastAsia="宋体"/>
                <w:sz w:val="16"/>
              </w:rPr>
              <w:t>保障正常办公运行费用（万元）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7E58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FEB8B">
            <w:pPr>
              <w:jc w:val="center"/>
            </w:pPr>
            <w:r>
              <w:rPr>
                <w:rFonts w:ascii="宋体" w:hAnsi="宋体" w:eastAsia="宋体"/>
                <w:sz w:val="16"/>
              </w:rPr>
              <w:t>&lt;=21.89万元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C4AAA">
            <w:pPr>
              <w:jc w:val="center"/>
            </w:pPr>
            <w:r>
              <w:rPr>
                <w:rFonts w:ascii="宋体" w:hAnsi="宋体" w:eastAsia="宋体"/>
                <w:sz w:val="16"/>
              </w:rPr>
              <w:t>=22.7万元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594BA">
            <w:pPr>
              <w:jc w:val="center"/>
            </w:pPr>
            <w:r>
              <w:rPr>
                <w:rFonts w:ascii="宋体" w:hAnsi="宋体" w:eastAsia="宋体"/>
                <w:sz w:val="16"/>
              </w:rPr>
              <w:t>103.7%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40B30">
            <w:pPr>
              <w:jc w:val="center"/>
            </w:pPr>
            <w:r>
              <w:rPr>
                <w:rFonts w:ascii="宋体" w:hAnsi="宋体" w:eastAsia="宋体"/>
                <w:sz w:val="16"/>
              </w:rPr>
              <w:t>4.81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E33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7A001">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885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5044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49963">
            <w:pPr>
              <w:jc w:val="center"/>
            </w:pPr>
            <w:r>
              <w:rPr>
                <w:rFonts w:ascii="宋体" w:hAnsi="宋体" w:eastAsia="宋体"/>
                <w:sz w:val="16"/>
              </w:rPr>
              <w:t>由于压缩开支</w:t>
            </w:r>
            <w:r>
              <w:rPr>
                <w:rFonts w:hint="eastAsia" w:ascii="宋体" w:hAnsi="宋体"/>
                <w:sz w:val="16"/>
                <w:lang w:eastAsia="zh-CN"/>
              </w:rPr>
              <w:t>厉行节约</w:t>
            </w:r>
            <w:r>
              <w:rPr>
                <w:rFonts w:ascii="宋体" w:hAnsi="宋体" w:eastAsia="宋体"/>
                <w:sz w:val="16"/>
              </w:rPr>
              <w:t>，导致办公运行费用指标出现偏差。</w:t>
            </w:r>
          </w:p>
        </w:tc>
      </w:tr>
      <w:tr w14:paraId="400DF8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6C7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82A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2B7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2BA4B">
            <w:pPr>
              <w:jc w:val="center"/>
            </w:pPr>
            <w:r>
              <w:rPr>
                <w:rFonts w:ascii="宋体" w:hAnsi="宋体" w:eastAsia="宋体"/>
                <w:sz w:val="16"/>
              </w:rPr>
              <w:t>律师开展法律咨询服务费（万元）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A239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99FDE">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3390C">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A95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126B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C4D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D08CD">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F8C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3D20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D0441">
            <w:pPr>
              <w:jc w:val="center"/>
            </w:pPr>
          </w:p>
        </w:tc>
      </w:tr>
      <w:tr w14:paraId="72D9E2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D6B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317D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C84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CC46C">
            <w:pPr>
              <w:jc w:val="center"/>
            </w:pPr>
            <w:r>
              <w:rPr>
                <w:rFonts w:ascii="宋体" w:hAnsi="宋体" w:eastAsia="宋体"/>
                <w:sz w:val="16"/>
              </w:rPr>
              <w:t>节点开展信访保障工作及带案下访工作经费（万元）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033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D3B6F">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47183">
            <w:pPr>
              <w:jc w:val="center"/>
            </w:pPr>
            <w:r>
              <w:rPr>
                <w:rFonts w:ascii="宋体" w:hAnsi="宋体" w:eastAsia="宋体"/>
                <w:sz w:val="16"/>
              </w:rPr>
              <w:t>=15.63万元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EF846">
            <w:pPr>
              <w:jc w:val="center"/>
            </w:pPr>
            <w:r>
              <w:rPr>
                <w:rFonts w:ascii="宋体" w:hAnsi="宋体" w:eastAsia="宋体"/>
                <w:sz w:val="16"/>
              </w:rPr>
              <w:t>97.69%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3A6D3">
            <w:pPr>
              <w:jc w:val="center"/>
            </w:pPr>
            <w:r>
              <w:rPr>
                <w:rFonts w:ascii="宋体" w:hAnsi="宋体" w:eastAsia="宋体"/>
                <w:sz w:val="16"/>
              </w:rPr>
              <w:t>4.71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306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E96FC">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B3E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89F0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78FCD">
            <w:pPr>
              <w:jc w:val="center"/>
            </w:pPr>
            <w:r>
              <w:rPr>
                <w:rFonts w:ascii="宋体" w:hAnsi="宋体" w:eastAsia="宋体"/>
                <w:sz w:val="16"/>
              </w:rPr>
              <w:t>由于压缩开支</w:t>
            </w:r>
            <w:r>
              <w:rPr>
                <w:rFonts w:hint="eastAsia" w:ascii="宋体" w:hAnsi="宋体"/>
                <w:sz w:val="16"/>
                <w:lang w:eastAsia="zh-CN"/>
              </w:rPr>
              <w:t>厉行节约</w:t>
            </w:r>
            <w:r>
              <w:rPr>
                <w:rFonts w:ascii="宋体" w:hAnsi="宋体" w:eastAsia="宋体"/>
                <w:sz w:val="16"/>
              </w:rPr>
              <w:t>，导致工作经费指标出现偏差。</w:t>
            </w:r>
          </w:p>
        </w:tc>
      </w:tr>
      <w:tr w14:paraId="398E80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F97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04C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706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C153B">
            <w:pPr>
              <w:jc w:val="center"/>
            </w:pPr>
            <w:r>
              <w:rPr>
                <w:rFonts w:ascii="宋体" w:hAnsi="宋体" w:eastAsia="宋体"/>
                <w:sz w:val="16"/>
              </w:rPr>
              <w:t>京人员差旅驻费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9705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38CBB">
            <w:pPr>
              <w:jc w:val="center"/>
            </w:pPr>
            <w:r>
              <w:rPr>
                <w:rFonts w:ascii="宋体" w:hAnsi="宋体" w:eastAsia="宋体"/>
                <w:sz w:val="16"/>
              </w:rPr>
              <w:t>&lt;=11.43万元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E0FC2">
            <w:pPr>
              <w:jc w:val="center"/>
            </w:pPr>
            <w:r>
              <w:rPr>
                <w:rFonts w:ascii="宋体" w:hAnsi="宋体" w:eastAsia="宋体"/>
                <w:sz w:val="16"/>
              </w:rPr>
              <w:t>=9.24万元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FF559">
            <w:pPr>
              <w:jc w:val="center"/>
            </w:pPr>
            <w:r>
              <w:rPr>
                <w:rFonts w:ascii="宋体" w:hAnsi="宋体" w:eastAsia="宋体"/>
                <w:sz w:val="16"/>
              </w:rPr>
              <w:t>80.84%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6E20B">
            <w:pPr>
              <w:jc w:val="center"/>
            </w:pPr>
            <w:r>
              <w:rPr>
                <w:rFonts w:ascii="宋体" w:hAnsi="宋体" w:eastAsia="宋体"/>
                <w:sz w:val="16"/>
              </w:rPr>
              <w:t>1.56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A8F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B3FE5">
            <w:pPr>
              <w:jc w:val="center"/>
            </w:pPr>
            <w:r>
              <w:rPr>
                <w:rFonts w:ascii="宋体" w:hAnsi="宋体" w:eastAsia="宋体"/>
                <w:sz w:val="16"/>
              </w:rPr>
              <w:t>11.43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C69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0D2A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65A1E">
            <w:pPr>
              <w:jc w:val="center"/>
            </w:pPr>
            <w:r>
              <w:rPr>
                <w:rFonts w:ascii="宋体" w:hAnsi="宋体" w:eastAsia="宋体"/>
                <w:sz w:val="16"/>
              </w:rPr>
              <w:t>由于驻京人员差旅费需在2025年1季度支出，导致指标出现偏差。</w:t>
            </w:r>
          </w:p>
        </w:tc>
      </w:tr>
      <w:tr w14:paraId="543DE5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03C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96C5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9004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B47A0">
            <w:pPr>
              <w:jc w:val="center"/>
            </w:pPr>
            <w:r>
              <w:rPr>
                <w:rFonts w:ascii="宋体" w:hAnsi="宋体" w:eastAsia="宋体"/>
                <w:sz w:val="16"/>
              </w:rPr>
              <w:t>提高信访干部业务能力水平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5AE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B84D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82F0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D98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49FA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97E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4F4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CF82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2FD5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61907">
            <w:pPr>
              <w:jc w:val="center"/>
            </w:pPr>
          </w:p>
        </w:tc>
      </w:tr>
      <w:tr w14:paraId="519857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CB9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28AD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4BA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78A1E">
            <w:pPr>
              <w:jc w:val="center"/>
            </w:pPr>
            <w:r>
              <w:rPr>
                <w:rFonts w:ascii="宋体" w:hAnsi="宋体" w:eastAsia="宋体"/>
                <w:sz w:val="16"/>
              </w:rPr>
              <w:t>参评群众满意度（%）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9D3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6651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5FDA0">
            <w:pPr>
              <w:jc w:val="center"/>
            </w:pPr>
            <w:r>
              <w:rPr>
                <w:rFonts w:ascii="宋体" w:hAnsi="宋体" w:eastAsia="宋体"/>
                <w:sz w:val="16"/>
              </w:rPr>
              <w:t>=93.05%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3A369">
            <w:pPr>
              <w:jc w:val="center"/>
            </w:pPr>
            <w:r>
              <w:rPr>
                <w:rFonts w:ascii="宋体" w:hAnsi="宋体" w:eastAsia="宋体"/>
                <w:sz w:val="16"/>
              </w:rPr>
              <w:t>103.39%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E0C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CE3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14E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33E9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517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354B4">
            <w:pPr>
              <w:jc w:val="center"/>
            </w:pPr>
            <w:r>
              <w:rPr>
                <w:rFonts w:ascii="宋体" w:hAnsi="宋体" w:eastAsia="宋体"/>
                <w:sz w:val="16"/>
              </w:rPr>
              <w:t>由于指标设置比较</w:t>
            </w:r>
            <w:r>
              <w:rPr>
                <w:rFonts w:hint="eastAsia" w:ascii="宋体" w:hAnsi="宋体"/>
                <w:sz w:val="16"/>
                <w:lang w:eastAsia="zh-CN"/>
              </w:rPr>
              <w:t>过于</w:t>
            </w:r>
            <w:r>
              <w:rPr>
                <w:rFonts w:ascii="宋体" w:hAnsi="宋体" w:eastAsia="宋体"/>
                <w:sz w:val="16"/>
              </w:rPr>
              <w:t>保守，</w:t>
            </w:r>
            <w:r>
              <w:rPr>
                <w:rFonts w:hint="eastAsia" w:ascii="宋体" w:hAnsi="宋体"/>
                <w:sz w:val="16"/>
                <w:lang w:eastAsia="zh-CN"/>
              </w:rPr>
              <w:t>导致</w:t>
            </w:r>
            <w:r>
              <w:rPr>
                <w:rFonts w:ascii="宋体" w:hAnsi="宋体" w:eastAsia="宋体"/>
                <w:sz w:val="16"/>
              </w:rPr>
              <w:t>满意度指标出现偏差。</w:t>
            </w:r>
          </w:p>
        </w:tc>
      </w:tr>
      <w:tr w14:paraId="202D40E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65B74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BD8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1BE7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44B0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9BE6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5D03A">
            <w:pPr>
              <w:jc w:val="center"/>
            </w:pPr>
            <w:r>
              <w:rPr>
                <w:rFonts w:ascii="宋体" w:hAnsi="宋体" w:eastAsia="宋体"/>
                <w:sz w:val="16"/>
              </w:rPr>
              <w:t>97.20分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0338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A916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D69B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047C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FEE994"/>
        </w:tc>
      </w:tr>
    </w:tbl>
    <w:p w14:paraId="2BB05217">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96"/>
        <w:gridCol w:w="626"/>
        <w:gridCol w:w="696"/>
        <w:gridCol w:w="631"/>
        <w:gridCol w:w="776"/>
        <w:gridCol w:w="631"/>
        <w:gridCol w:w="623"/>
        <w:gridCol w:w="629"/>
        <w:gridCol w:w="623"/>
        <w:gridCol w:w="623"/>
        <w:gridCol w:w="631"/>
      </w:tblGrid>
      <w:tr w14:paraId="78C761CE">
        <w:tblPrEx>
          <w:tblCellMar>
            <w:top w:w="0" w:type="dxa"/>
            <w:left w:w="108" w:type="dxa"/>
            <w:bottom w:w="0" w:type="dxa"/>
            <w:right w:w="108" w:type="dxa"/>
          </w:tblCellMar>
        </w:tblPrEx>
        <w:tc>
          <w:tcPr>
            <w:tcW w:w="8848" w:type="dxa"/>
            <w:gridSpan w:val="14"/>
            <w:vAlign w:val="center"/>
          </w:tcPr>
          <w:p w14:paraId="0F4C2D54">
            <w:pPr>
              <w:jc w:val="center"/>
            </w:pPr>
            <w:r>
              <w:rPr>
                <w:rFonts w:ascii="宋体" w:hAnsi="宋体" w:eastAsia="宋体"/>
                <w:sz w:val="24"/>
              </w:rPr>
              <w:t>项目支出绩效自评表</w:t>
            </w:r>
          </w:p>
        </w:tc>
      </w:tr>
      <w:tr w14:paraId="1FD7D54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5AEFCFD">
            <w:pPr>
              <w:jc w:val="center"/>
            </w:pPr>
            <w:r>
              <w:rPr>
                <w:rFonts w:ascii="宋体" w:hAnsi="宋体" w:eastAsia="宋体"/>
                <w:sz w:val="24"/>
              </w:rPr>
              <w:t>(2024年度)</w:t>
            </w:r>
          </w:p>
        </w:tc>
      </w:tr>
      <w:tr w14:paraId="51E05D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20F1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9F1FD5">
            <w:pPr>
              <w:jc w:val="center"/>
            </w:pPr>
            <w:r>
              <w:rPr>
                <w:rFonts w:ascii="宋体" w:hAnsi="宋体" w:eastAsia="宋体"/>
                <w:sz w:val="16"/>
              </w:rPr>
              <w:t>机关运行经费</w:t>
            </w:r>
          </w:p>
        </w:tc>
      </w:tr>
      <w:tr w14:paraId="138935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A5DC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702A43">
            <w:pPr>
              <w:jc w:val="center"/>
            </w:pPr>
            <w:r>
              <w:rPr>
                <w:rFonts w:ascii="宋体" w:hAnsi="宋体" w:eastAsia="宋体"/>
                <w:sz w:val="16"/>
              </w:rPr>
              <w:t>昌吉回族自治州信访局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70FA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690157">
            <w:pPr>
              <w:jc w:val="center"/>
            </w:pPr>
            <w:r>
              <w:rPr>
                <w:rFonts w:ascii="宋体" w:hAnsi="宋体" w:eastAsia="宋体"/>
                <w:sz w:val="16"/>
              </w:rPr>
              <w:t>昌吉回族自治州信访局</w:t>
            </w:r>
          </w:p>
        </w:tc>
      </w:tr>
      <w:tr w14:paraId="2477AE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78C07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2B7A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BF9E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2407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4302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F4CB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B569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DE6FA">
            <w:pPr>
              <w:jc w:val="center"/>
            </w:pPr>
            <w:r>
              <w:rPr>
                <w:rFonts w:ascii="宋体" w:hAnsi="宋体" w:eastAsia="宋体"/>
                <w:sz w:val="16"/>
              </w:rPr>
              <w:t>得分</w:t>
            </w:r>
          </w:p>
        </w:tc>
      </w:tr>
      <w:tr w14:paraId="5B6E4D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C09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A24D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8EB09">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67CCF">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B1DBB">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3902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FFAD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8876B">
            <w:pPr>
              <w:jc w:val="center"/>
            </w:pPr>
            <w:r>
              <w:rPr>
                <w:rFonts w:ascii="宋体" w:hAnsi="宋体" w:eastAsia="宋体"/>
                <w:sz w:val="16"/>
              </w:rPr>
              <w:t>10.00</w:t>
            </w:r>
          </w:p>
        </w:tc>
      </w:tr>
      <w:tr w14:paraId="53499E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B4B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35DB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F7B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4D9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105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05E2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FDF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08E14">
            <w:pPr>
              <w:jc w:val="center"/>
            </w:pPr>
            <w:r>
              <w:rPr>
                <w:rFonts w:ascii="宋体" w:hAnsi="宋体" w:eastAsia="宋体"/>
                <w:sz w:val="16"/>
              </w:rPr>
              <w:t>—</w:t>
            </w:r>
          </w:p>
        </w:tc>
      </w:tr>
      <w:tr w14:paraId="7C72B0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398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1A21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0AC34">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C4902">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0B14F">
            <w:pPr>
              <w:jc w:val="center"/>
            </w:pPr>
            <w:r>
              <w:rPr>
                <w:rFonts w:ascii="宋体" w:hAnsi="宋体" w:eastAsia="宋体"/>
                <w:sz w:val="16"/>
              </w:rPr>
              <w:t>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2E5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80A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5192B">
            <w:pPr>
              <w:jc w:val="center"/>
            </w:pPr>
            <w:r>
              <w:rPr>
                <w:rFonts w:ascii="宋体" w:hAnsi="宋体" w:eastAsia="宋体"/>
                <w:sz w:val="16"/>
              </w:rPr>
              <w:t>—</w:t>
            </w:r>
          </w:p>
        </w:tc>
      </w:tr>
      <w:tr w14:paraId="1BA212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F64E5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EA0C2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83F795">
            <w:pPr>
              <w:jc w:val="center"/>
            </w:pPr>
            <w:r>
              <w:rPr>
                <w:rFonts w:ascii="宋体" w:hAnsi="宋体" w:eastAsia="宋体"/>
                <w:sz w:val="16"/>
              </w:rPr>
              <w:t>实际完成情况</w:t>
            </w:r>
          </w:p>
        </w:tc>
      </w:tr>
      <w:tr w14:paraId="3182DD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E859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DE919C">
            <w:pPr>
              <w:jc w:val="both"/>
            </w:pPr>
            <w:r>
              <w:rPr>
                <w:rFonts w:ascii="宋体" w:hAnsi="宋体" w:eastAsia="宋体"/>
                <w:sz w:val="16"/>
              </w:rPr>
              <w:t>1.办公楼及院内维修维护费；2.购买办公用品等费用，确保单位正常运行。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B50C1E">
            <w:pPr>
              <w:jc w:val="both"/>
            </w:pPr>
            <w:r>
              <w:rPr>
                <w:rFonts w:hint="eastAsia" w:ascii="宋体" w:hAnsi="宋体"/>
                <w:sz w:val="16"/>
                <w:lang w:eastAsia="zh-CN"/>
              </w:rPr>
              <w:t>截至2024</w:t>
            </w:r>
            <w:r>
              <w:rPr>
                <w:rFonts w:ascii="宋体" w:hAnsi="宋体" w:eastAsia="宋体"/>
                <w:sz w:val="16"/>
              </w:rPr>
              <w:t>年1</w:t>
            </w:r>
            <w:bookmarkStart w:id="0" w:name="_GoBack"/>
            <w:r>
              <w:rPr>
                <w:rFonts w:ascii="宋体" w:hAnsi="宋体" w:eastAsia="宋体"/>
                <w:sz w:val="16"/>
              </w:rPr>
              <w:t>2月31日</w:t>
            </w:r>
            <w:bookmarkEnd w:id="0"/>
            <w:r>
              <w:rPr>
                <w:rFonts w:ascii="宋体" w:hAnsi="宋体" w:eastAsia="宋体"/>
                <w:sz w:val="16"/>
              </w:rPr>
              <w:t>，该项目实际完成</w:t>
            </w:r>
            <w:r>
              <w:rPr>
                <w:rFonts w:hint="eastAsia" w:ascii="宋体" w:hAnsi="宋体"/>
                <w:sz w:val="16"/>
                <w:lang w:eastAsia="zh-CN"/>
              </w:rPr>
              <w:t>：项</w:t>
            </w:r>
            <w:r>
              <w:rPr>
                <w:rFonts w:ascii="宋体" w:hAnsi="宋体" w:eastAsia="宋体"/>
                <w:sz w:val="16"/>
              </w:rPr>
              <w:t>目购置办公用品1批；验收合格率：100%；运转经费支付及时率：100%；办公楼及院内维修维护费1次，费用0.45万元；购置办公用品费用：0.05；保障单位运转流畅；工作人员满意度达85%。通过该项目的实施，提升了单位服务质量，促进了单位正常业务工作运行。</w:t>
            </w:r>
          </w:p>
        </w:tc>
      </w:tr>
      <w:tr w14:paraId="3A108D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5FBF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4903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2ECF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FA8D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6FBD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A65C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C017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67B9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B91B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AAC8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2C46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9653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0346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6396E">
            <w:pPr>
              <w:jc w:val="center"/>
            </w:pPr>
            <w:r>
              <w:rPr>
                <w:rFonts w:ascii="宋体" w:hAnsi="宋体" w:eastAsia="宋体"/>
                <w:sz w:val="16"/>
              </w:rPr>
              <w:t>偏差原因分析及改进措施</w:t>
            </w:r>
          </w:p>
        </w:tc>
      </w:tr>
      <w:tr w14:paraId="677914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F696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85418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DC613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74C5B">
            <w:pPr>
              <w:jc w:val="center"/>
            </w:pPr>
            <w:r>
              <w:rPr>
                <w:rFonts w:ascii="宋体" w:hAnsi="宋体" w:eastAsia="宋体"/>
                <w:sz w:val="16"/>
              </w:rPr>
              <w:t>办公楼及院内维修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330F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0E9F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66F4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E9A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7732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711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C5A8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2A0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980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55BB8">
            <w:pPr>
              <w:jc w:val="center"/>
            </w:pPr>
          </w:p>
        </w:tc>
      </w:tr>
      <w:tr w14:paraId="05D1DA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6F1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3C9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3D5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45013">
            <w:pPr>
              <w:jc w:val="center"/>
            </w:pPr>
            <w:r>
              <w:rPr>
                <w:rFonts w:ascii="宋体" w:hAnsi="宋体" w:eastAsia="宋体"/>
                <w:sz w:val="16"/>
              </w:rPr>
              <w:t>购置办公用品（批）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18C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389E6">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32753">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659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551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6A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BDCF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710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011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B2366">
            <w:pPr>
              <w:jc w:val="center"/>
            </w:pPr>
          </w:p>
        </w:tc>
      </w:tr>
      <w:tr w14:paraId="5AEC13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B91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68F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42C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98897">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7FE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563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314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F85B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745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038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BB2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CA2D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2DD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E1956">
            <w:pPr>
              <w:jc w:val="center"/>
            </w:pPr>
            <w:r>
              <w:rPr>
                <w:rFonts w:ascii="宋体" w:hAnsi="宋体" w:eastAsia="宋体"/>
                <w:sz w:val="16"/>
              </w:rPr>
              <w:t>指标设置比较由于保守，导致验收合格率出现偏差。</w:t>
            </w:r>
          </w:p>
        </w:tc>
      </w:tr>
      <w:tr w14:paraId="6EE08D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0B8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411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E424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2F382">
            <w:pPr>
              <w:jc w:val="center"/>
            </w:pPr>
            <w:r>
              <w:rPr>
                <w:rFonts w:ascii="宋体" w:hAnsi="宋体" w:eastAsia="宋体"/>
                <w:sz w:val="16"/>
              </w:rPr>
              <w:t>运转经费支付及时率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343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5463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881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269F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F923F">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EAB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2B2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AC9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33A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424AD">
            <w:pPr>
              <w:jc w:val="center"/>
            </w:pPr>
            <w:r>
              <w:rPr>
                <w:rFonts w:ascii="宋体" w:hAnsi="宋体" w:eastAsia="宋体"/>
                <w:sz w:val="16"/>
              </w:rPr>
              <w:t>由于指标设置比较保守，导致运转经费支付及时率出现偏差。</w:t>
            </w:r>
          </w:p>
        </w:tc>
      </w:tr>
      <w:tr w14:paraId="7FC782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C48C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B5677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0F541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8F824">
            <w:pPr>
              <w:jc w:val="center"/>
            </w:pPr>
            <w:r>
              <w:rPr>
                <w:rFonts w:ascii="宋体" w:hAnsi="宋体" w:eastAsia="宋体"/>
                <w:sz w:val="16"/>
              </w:rPr>
              <w:t>办公楼及院内维修维护费等费用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DC799">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48834">
            <w:pPr>
              <w:jc w:val="center"/>
            </w:pPr>
            <w:r>
              <w:rPr>
                <w:rFonts w:ascii="宋体" w:hAnsi="宋体" w:eastAsia="宋体"/>
                <w:sz w:val="16"/>
              </w:rPr>
              <w:t>&lt;=0.45万元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C7919">
            <w:pPr>
              <w:jc w:val="center"/>
            </w:pPr>
            <w:r>
              <w:rPr>
                <w:rFonts w:ascii="宋体" w:hAnsi="宋体" w:eastAsia="宋体"/>
                <w:sz w:val="16"/>
              </w:rPr>
              <w:t>=0.45万元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45D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71C3D">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69B3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98068">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88D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4BCE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14565">
            <w:pPr>
              <w:jc w:val="center"/>
            </w:pPr>
          </w:p>
        </w:tc>
      </w:tr>
      <w:tr w14:paraId="04C0F0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930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10D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AD9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89CBD">
            <w:pPr>
              <w:jc w:val="center"/>
            </w:pPr>
            <w:r>
              <w:rPr>
                <w:rFonts w:ascii="宋体" w:hAnsi="宋体" w:eastAsia="宋体"/>
                <w:sz w:val="16"/>
              </w:rPr>
              <w:t>购置办公用品费用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B756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A1AAE">
            <w:pPr>
              <w:jc w:val="center"/>
            </w:pPr>
            <w:r>
              <w:rPr>
                <w:rFonts w:ascii="宋体" w:hAnsi="宋体" w:eastAsia="宋体"/>
                <w:sz w:val="16"/>
              </w:rPr>
              <w:t>&lt;=0.05万元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A8116">
            <w:pPr>
              <w:jc w:val="center"/>
            </w:pPr>
            <w:r>
              <w:rPr>
                <w:rFonts w:ascii="宋体" w:hAnsi="宋体" w:eastAsia="宋体"/>
                <w:sz w:val="16"/>
              </w:rPr>
              <w:t>=0.05万元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EBE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174A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F9D3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4F1AA">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B6A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97C6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B3094">
            <w:pPr>
              <w:jc w:val="center"/>
            </w:pPr>
          </w:p>
        </w:tc>
      </w:tr>
      <w:tr w14:paraId="22EC7A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2EE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42E9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5124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16FFC">
            <w:pPr>
              <w:jc w:val="center"/>
            </w:pPr>
            <w:r>
              <w:rPr>
                <w:rFonts w:ascii="宋体" w:hAnsi="宋体" w:eastAsia="宋体"/>
                <w:sz w:val="16"/>
              </w:rPr>
              <w:t>保障单位运转流畅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6C45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FED5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5576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275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26F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A38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C38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B1A4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5B7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F0488">
            <w:pPr>
              <w:jc w:val="center"/>
            </w:pPr>
          </w:p>
        </w:tc>
      </w:tr>
      <w:tr w14:paraId="19588E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1DC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7C5C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CB92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4CB31">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4D5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30E88">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710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CB8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A1D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827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DB6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61E6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2D0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49FF4">
            <w:pPr>
              <w:jc w:val="center"/>
            </w:pPr>
          </w:p>
        </w:tc>
      </w:tr>
      <w:tr w14:paraId="19675BA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5124E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D3F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C73B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1C86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A8F4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A8011">
            <w:pPr>
              <w:jc w:val="center"/>
            </w:pPr>
            <w:r>
              <w:rPr>
                <w:rFonts w:ascii="宋体" w:hAnsi="宋体" w:eastAsia="宋体"/>
                <w:sz w:val="16"/>
              </w:rPr>
              <w:t>99.44分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7409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8BB2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05ED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ACA7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A3C092"/>
        </w:tc>
      </w:tr>
    </w:tbl>
    <w:p w14:paraId="62C69744">
      <w:r>
        <w:br w:type="page"/>
      </w:r>
    </w:p>
    <w:p w14:paraId="796E62A7">
      <w:pPr>
        <w:spacing w:line="640" w:lineRule="exact"/>
        <w:ind w:firstLine="640"/>
        <w:jc w:val="both"/>
        <w:outlineLvl w:val="2"/>
      </w:pPr>
      <w:r>
        <w:rPr>
          <w:rFonts w:ascii="黑体" w:hAnsi="黑体" w:eastAsia="黑体"/>
          <w:sz w:val="32"/>
        </w:rPr>
        <w:t>十二、其他需说明的事项</w:t>
      </w:r>
    </w:p>
    <w:p w14:paraId="7538ED79">
      <w:pPr>
        <w:spacing w:line="580" w:lineRule="exact"/>
        <w:ind w:firstLine="640"/>
        <w:jc w:val="both"/>
      </w:pPr>
      <w:r>
        <w:rPr>
          <w:rFonts w:ascii="仿宋_GB2312" w:hAnsi="仿宋_GB2312" w:eastAsia="仿宋_GB2312"/>
          <w:b w:val="0"/>
          <w:sz w:val="32"/>
        </w:rPr>
        <w:t>本单位无其他需说明的事项。</w:t>
      </w:r>
    </w:p>
    <w:p w14:paraId="48802185">
      <w:r>
        <w:br w:type="page"/>
      </w:r>
    </w:p>
    <w:p w14:paraId="75D7E4B7">
      <w:pPr>
        <w:spacing w:line="240" w:lineRule="auto"/>
        <w:jc w:val="center"/>
        <w:outlineLvl w:val="1"/>
      </w:pPr>
      <w:r>
        <w:rPr>
          <w:rFonts w:ascii="黑体" w:hAnsi="黑体" w:eastAsia="黑体"/>
          <w:sz w:val="32"/>
        </w:rPr>
        <w:t>第三部分 专业名词解释</w:t>
      </w:r>
    </w:p>
    <w:p w14:paraId="5E8AEE4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6B4AA9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492F16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5DC6E4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7C6B03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C3D933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380AA3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4EDC8F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723603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1D5FED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52A4C1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D83145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257AE0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2EB0A4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64179BA">
      <w:r>
        <w:br w:type="page"/>
      </w:r>
    </w:p>
    <w:p w14:paraId="277766C2">
      <w:pPr>
        <w:spacing w:line="240" w:lineRule="auto"/>
        <w:jc w:val="center"/>
        <w:outlineLvl w:val="1"/>
      </w:pPr>
      <w:r>
        <w:rPr>
          <w:rFonts w:ascii="黑体" w:hAnsi="黑体" w:eastAsia="黑体"/>
          <w:sz w:val="32"/>
        </w:rPr>
        <w:t>第四部分 部门决算报表（见附表）</w:t>
      </w:r>
    </w:p>
    <w:p w14:paraId="1ECB58CF">
      <w:pPr>
        <w:spacing w:line="240" w:lineRule="auto"/>
        <w:ind w:firstLine="640"/>
        <w:jc w:val="both"/>
      </w:pPr>
      <w:r>
        <w:rPr>
          <w:rFonts w:ascii="仿宋_GB2312" w:hAnsi="仿宋_GB2312" w:eastAsia="仿宋_GB2312"/>
          <w:b w:val="0"/>
          <w:sz w:val="32"/>
        </w:rPr>
        <w:t>一、《收入支出决算总表》</w:t>
      </w:r>
    </w:p>
    <w:p w14:paraId="038AE4F6">
      <w:pPr>
        <w:spacing w:line="240" w:lineRule="auto"/>
        <w:ind w:firstLine="640"/>
        <w:jc w:val="both"/>
      </w:pPr>
      <w:r>
        <w:rPr>
          <w:rFonts w:ascii="仿宋_GB2312" w:hAnsi="仿宋_GB2312" w:eastAsia="仿宋_GB2312"/>
          <w:b w:val="0"/>
          <w:sz w:val="32"/>
        </w:rPr>
        <w:t>二、《收入决算表》</w:t>
      </w:r>
    </w:p>
    <w:p w14:paraId="48117ADD">
      <w:pPr>
        <w:spacing w:line="240" w:lineRule="auto"/>
        <w:ind w:firstLine="640"/>
        <w:jc w:val="both"/>
      </w:pPr>
      <w:r>
        <w:rPr>
          <w:rFonts w:ascii="仿宋_GB2312" w:hAnsi="仿宋_GB2312" w:eastAsia="仿宋_GB2312"/>
          <w:b w:val="0"/>
          <w:sz w:val="32"/>
        </w:rPr>
        <w:t>三、《支出决算表》</w:t>
      </w:r>
    </w:p>
    <w:p w14:paraId="456EFC98">
      <w:pPr>
        <w:spacing w:line="240" w:lineRule="auto"/>
        <w:ind w:firstLine="640"/>
        <w:jc w:val="both"/>
      </w:pPr>
      <w:r>
        <w:rPr>
          <w:rFonts w:ascii="仿宋_GB2312" w:hAnsi="仿宋_GB2312" w:eastAsia="仿宋_GB2312"/>
          <w:b w:val="0"/>
          <w:sz w:val="32"/>
        </w:rPr>
        <w:t>四、《财政拨款收入支出决算总表》</w:t>
      </w:r>
    </w:p>
    <w:p w14:paraId="39CAFBE8">
      <w:pPr>
        <w:spacing w:line="240" w:lineRule="auto"/>
        <w:ind w:firstLine="640"/>
        <w:jc w:val="both"/>
      </w:pPr>
      <w:r>
        <w:rPr>
          <w:rFonts w:ascii="仿宋_GB2312" w:hAnsi="仿宋_GB2312" w:eastAsia="仿宋_GB2312"/>
          <w:b w:val="0"/>
          <w:sz w:val="32"/>
        </w:rPr>
        <w:t>五、《一般公共预算财政拨款支出决算表》</w:t>
      </w:r>
    </w:p>
    <w:p w14:paraId="7D31AA69">
      <w:pPr>
        <w:spacing w:line="240" w:lineRule="auto"/>
        <w:ind w:firstLine="640"/>
        <w:jc w:val="both"/>
      </w:pPr>
      <w:r>
        <w:rPr>
          <w:rFonts w:ascii="仿宋_GB2312" w:hAnsi="仿宋_GB2312" w:eastAsia="仿宋_GB2312"/>
          <w:b w:val="0"/>
          <w:sz w:val="32"/>
        </w:rPr>
        <w:t>六、《一般公共预算财政拨款基本支出决算表》</w:t>
      </w:r>
    </w:p>
    <w:p w14:paraId="2A48CF24">
      <w:pPr>
        <w:spacing w:line="240" w:lineRule="auto"/>
        <w:ind w:firstLine="640"/>
        <w:jc w:val="both"/>
      </w:pPr>
      <w:r>
        <w:rPr>
          <w:rFonts w:ascii="仿宋_GB2312" w:hAnsi="仿宋_GB2312" w:eastAsia="仿宋_GB2312"/>
          <w:b w:val="0"/>
          <w:sz w:val="32"/>
        </w:rPr>
        <w:t>七、《政府性基金预算财政拨款收入支出决算表》</w:t>
      </w:r>
    </w:p>
    <w:p w14:paraId="4FFD6861">
      <w:pPr>
        <w:spacing w:line="240" w:lineRule="auto"/>
        <w:ind w:firstLine="640"/>
        <w:jc w:val="both"/>
      </w:pPr>
      <w:r>
        <w:rPr>
          <w:rFonts w:ascii="仿宋_GB2312" w:hAnsi="仿宋_GB2312" w:eastAsia="仿宋_GB2312"/>
          <w:b w:val="0"/>
          <w:sz w:val="32"/>
        </w:rPr>
        <w:t>八、《国有资本经营预算财政拨款收入支出决算表》</w:t>
      </w:r>
    </w:p>
    <w:p w14:paraId="7EEA823C">
      <w:pPr>
        <w:spacing w:line="240" w:lineRule="auto"/>
        <w:ind w:firstLine="640"/>
        <w:jc w:val="both"/>
      </w:pPr>
      <w:r>
        <w:rPr>
          <w:rFonts w:ascii="仿宋_GB2312" w:hAnsi="仿宋_GB2312" w:eastAsia="仿宋_GB2312"/>
          <w:b w:val="0"/>
          <w:sz w:val="32"/>
        </w:rPr>
        <w:t>九、《财政拨款“三公”经费支出决算表》</w:t>
      </w:r>
    </w:p>
    <w:p w14:paraId="10732B0F">
      <w:pPr>
        <w:spacing w:line="240" w:lineRule="auto"/>
        <w:ind w:firstLine="640"/>
        <w:jc w:val="both"/>
      </w:pPr>
    </w:p>
    <w:p w14:paraId="6425A009">
      <w:pPr>
        <w:spacing w:line="240" w:lineRule="auto"/>
        <w:ind w:firstLine="640"/>
        <w:jc w:val="both"/>
      </w:pPr>
    </w:p>
    <w:p w14:paraId="5A07E4A4">
      <w:pPr>
        <w:spacing w:line="240" w:lineRule="auto"/>
        <w:ind w:firstLine="640"/>
        <w:jc w:val="both"/>
      </w:pPr>
    </w:p>
    <w:p w14:paraId="057D055D">
      <w:pPr>
        <w:spacing w:line="240" w:lineRule="auto"/>
        <w:ind w:firstLine="640"/>
        <w:jc w:val="both"/>
      </w:pPr>
    </w:p>
    <w:p w14:paraId="08713E6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42F1474"/>
    <w:rsid w:val="19071D6C"/>
    <w:rsid w:val="19B5554D"/>
    <w:rsid w:val="1B8F2D19"/>
    <w:rsid w:val="1C317E4F"/>
    <w:rsid w:val="1C472464"/>
    <w:rsid w:val="1DAF458D"/>
    <w:rsid w:val="1E086ACE"/>
    <w:rsid w:val="1E167F8B"/>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C776E1"/>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5505</Words>
  <Characters>6247</Characters>
  <Lines>0</Lines>
  <Paragraphs>0</Paragraphs>
  <TotalTime>7</TotalTime>
  <ScaleCrop>false</ScaleCrop>
  <LinksUpToDate>false</LinksUpToDate>
  <CharactersWithSpaces>6255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2025-10-15T07:39:53Z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