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昌吉回族自治州伊斯兰教协会2024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1BBDC730">
      <w:r>
        <w:br w:type="page"/>
      </w:r>
    </w:p>
    <w:p w14:paraId="78036A56">
      <w:pPr>
        <w:spacing w:line="640" w:lineRule="exact"/>
        <w:jc w:val="center"/>
        <w:outlineLvl w:val="1"/>
      </w:pPr>
      <w:r>
        <w:rPr>
          <w:rFonts w:ascii="黑体" w:hAnsi="黑体" w:eastAsia="黑体"/>
          <w:sz w:val="32"/>
        </w:rPr>
        <w:t>第一部分 单位概况</w:t>
      </w:r>
    </w:p>
    <w:p w14:paraId="23D0E557">
      <w:pPr>
        <w:spacing w:line="640" w:lineRule="exact"/>
        <w:ind w:firstLine="640"/>
        <w:jc w:val="both"/>
        <w:outlineLvl w:val="2"/>
      </w:pPr>
      <w:r>
        <w:rPr>
          <w:rFonts w:ascii="黑体" w:hAnsi="黑体" w:eastAsia="黑体"/>
          <w:sz w:val="32"/>
        </w:rPr>
        <w:t>一、主要职能</w:t>
      </w:r>
    </w:p>
    <w:p w14:paraId="64C6CEB2">
      <w:pPr>
        <w:spacing w:line="580" w:lineRule="exact"/>
        <w:ind w:firstLine="640"/>
        <w:jc w:val="both"/>
      </w:pPr>
      <w:r>
        <w:rPr>
          <w:rFonts w:ascii="仿宋_GB2312" w:hAnsi="仿宋_GB2312" w:eastAsia="仿宋_GB2312"/>
          <w:sz w:val="32"/>
        </w:rPr>
        <w:t>（1）协助政府贯彻执行国家的</w:t>
      </w:r>
      <w:r>
        <w:rPr>
          <w:rFonts w:hint="eastAsia" w:ascii="仿宋_GB2312" w:hAnsi="仿宋_GB2312" w:eastAsia="仿宋_GB2312"/>
          <w:sz w:val="32"/>
          <w:lang w:eastAsia="zh-CN"/>
        </w:rPr>
        <w:t>法律法规</w:t>
      </w:r>
      <w:r>
        <w:rPr>
          <w:rFonts w:ascii="仿宋_GB2312" w:hAnsi="仿宋_GB2312" w:eastAsia="仿宋_GB2312"/>
          <w:sz w:val="32"/>
        </w:rPr>
        <w:t>、信仰自由政策，保护正常、合法的活动及合法权益，教育引导伊斯兰教人士和信教群众提高爱国主义、社会主义觉悟。</w:t>
      </w:r>
    </w:p>
    <w:p w14:paraId="10310ED1">
      <w:pPr>
        <w:spacing w:line="580" w:lineRule="exact"/>
        <w:ind w:firstLine="640"/>
        <w:jc w:val="both"/>
      </w:pPr>
      <w:r>
        <w:rPr>
          <w:rFonts w:ascii="仿宋_GB2312" w:hAnsi="仿宋_GB2312" w:eastAsia="仿宋_GB2312"/>
          <w:sz w:val="32"/>
        </w:rPr>
        <w:t>（2）在法律、政策范围内开展伊斯兰教教务指导活动，反对民族分裂和非法活动。</w:t>
      </w:r>
    </w:p>
    <w:p w14:paraId="4D00C5CF">
      <w:pPr>
        <w:spacing w:line="580" w:lineRule="exact"/>
        <w:ind w:firstLine="640"/>
        <w:jc w:val="both"/>
      </w:pPr>
      <w:r>
        <w:rPr>
          <w:rFonts w:ascii="仿宋_GB2312" w:hAnsi="仿宋_GB2312" w:eastAsia="仿宋_GB2312"/>
          <w:sz w:val="32"/>
        </w:rPr>
        <w:t>（3）向党委和政府反映穆斯林信教群众的意见和要求，提出合理化的建议。</w:t>
      </w:r>
    </w:p>
    <w:p w14:paraId="36D0C5C1">
      <w:pPr>
        <w:spacing w:line="580" w:lineRule="exact"/>
        <w:ind w:firstLine="640"/>
        <w:jc w:val="both"/>
      </w:pPr>
      <w:r>
        <w:rPr>
          <w:rFonts w:ascii="仿宋_GB2312" w:hAnsi="仿宋_GB2312" w:eastAsia="仿宋_GB2312"/>
          <w:sz w:val="32"/>
        </w:rPr>
        <w:t>（4）依照政策规定，对伊斯兰教界人士进行政治和经文考核，做好我州爱国职业人员的培养培训工作；负责伊斯兰教教职人员资格认定的审核申报工作；协助做好中国经学院、自治区经学院在我州的招生工作。</w:t>
      </w:r>
    </w:p>
    <w:p w14:paraId="7A7BD95A">
      <w:pPr>
        <w:spacing w:line="580" w:lineRule="exact"/>
        <w:ind w:firstLine="640"/>
        <w:jc w:val="both"/>
      </w:pPr>
      <w:r>
        <w:rPr>
          <w:rFonts w:ascii="仿宋_GB2312" w:hAnsi="仿宋_GB2312" w:eastAsia="仿宋_GB2312"/>
          <w:sz w:val="32"/>
        </w:rPr>
        <w:t>（5）负责伊斯兰教教务指导工作。配合政府民族部门在广大人士和活动场所中开展《五好活动场所》的评比活动；配合政府民族部门做好穆斯林信教群众管理、培训和服务工作。</w:t>
      </w:r>
    </w:p>
    <w:p w14:paraId="60D99301">
      <w:pPr>
        <w:spacing w:line="580" w:lineRule="exact"/>
        <w:ind w:firstLine="640"/>
        <w:jc w:val="both"/>
      </w:pPr>
      <w:r>
        <w:rPr>
          <w:rFonts w:ascii="仿宋_GB2312" w:hAnsi="仿宋_GB2312" w:eastAsia="仿宋_GB2312"/>
          <w:sz w:val="32"/>
        </w:rPr>
        <w:t>（6）收集、整理伊斯兰教文史资料，组织开展伊斯兰教文化学术交流活动；负责有关伊斯兰教经书、刊物、画册、</w:t>
      </w:r>
      <w:r>
        <w:rPr>
          <w:rFonts w:hint="eastAsia" w:ascii="仿宋_GB2312" w:hAnsi="仿宋_GB2312" w:eastAsia="仿宋_GB2312"/>
          <w:sz w:val="32"/>
          <w:lang w:eastAsia="zh-CN"/>
        </w:rPr>
        <w:t>音像制品</w:t>
      </w:r>
      <w:r>
        <w:rPr>
          <w:rFonts w:ascii="仿宋_GB2312" w:hAnsi="仿宋_GB2312" w:eastAsia="仿宋_GB2312"/>
          <w:sz w:val="32"/>
        </w:rPr>
        <w:t>的审定、出版和发行工作；建立健全相关人员、活动场所档案，为党和政府加强对工作的规范管理提供可靠依据。</w:t>
      </w:r>
    </w:p>
    <w:p w14:paraId="2C3A8C86">
      <w:pPr>
        <w:spacing w:line="580" w:lineRule="exact"/>
        <w:ind w:firstLine="640"/>
        <w:jc w:val="both"/>
      </w:pPr>
      <w:r>
        <w:rPr>
          <w:rFonts w:ascii="仿宋_GB2312" w:hAnsi="仿宋_GB2312" w:eastAsia="仿宋_GB2312"/>
          <w:sz w:val="32"/>
        </w:rPr>
        <w:t>（7）负责做好国内外团体和友好人士的来访接待和伊斯兰教界信教群众的来信来访工作，组织自治州人士到区内外参观、考察学习。</w:t>
      </w:r>
    </w:p>
    <w:p w14:paraId="033C5362">
      <w:pPr>
        <w:spacing w:line="580" w:lineRule="exact"/>
        <w:ind w:firstLine="640"/>
        <w:jc w:val="both"/>
      </w:pPr>
      <w:r>
        <w:rPr>
          <w:rFonts w:ascii="仿宋_GB2312" w:hAnsi="仿宋_GB2312" w:eastAsia="仿宋_GB2312"/>
          <w:sz w:val="32"/>
        </w:rPr>
        <w:t>（8）依法兴办公益事业，积极参加社会公益活动。</w:t>
      </w:r>
    </w:p>
    <w:p w14:paraId="649FA73E">
      <w:pPr>
        <w:spacing w:line="580" w:lineRule="exact"/>
        <w:ind w:firstLine="640"/>
        <w:jc w:val="both"/>
      </w:pPr>
      <w:r>
        <w:rPr>
          <w:rFonts w:ascii="仿宋_GB2312" w:hAnsi="仿宋_GB2312" w:eastAsia="仿宋_GB2312"/>
          <w:sz w:val="32"/>
        </w:rPr>
        <w:t>（9）接受上级伊协的业务指导，并对各县市伊协组织进行业务指导。</w:t>
      </w:r>
    </w:p>
    <w:p w14:paraId="582665F7">
      <w:pPr>
        <w:spacing w:line="580" w:lineRule="exact"/>
        <w:ind w:firstLine="640"/>
        <w:jc w:val="both"/>
      </w:pPr>
      <w:r>
        <w:rPr>
          <w:rFonts w:ascii="仿宋_GB2312" w:hAnsi="仿宋_GB2312" w:eastAsia="仿宋_GB2312"/>
          <w:sz w:val="32"/>
        </w:rPr>
        <w:t>（10）承办州党委、州人民政府和有关部门交办的其他工作。</w:t>
      </w:r>
    </w:p>
    <w:p w14:paraId="3F86C7F6">
      <w:pPr>
        <w:spacing w:line="640" w:lineRule="exact"/>
        <w:ind w:firstLine="640"/>
        <w:jc w:val="both"/>
        <w:outlineLvl w:val="2"/>
      </w:pPr>
      <w:r>
        <w:rPr>
          <w:rFonts w:ascii="黑体" w:hAnsi="黑体" w:eastAsia="黑体"/>
          <w:sz w:val="32"/>
        </w:rPr>
        <w:t>二、机构设置及人员情况</w:t>
      </w:r>
    </w:p>
    <w:p w14:paraId="325C5448">
      <w:pPr>
        <w:spacing w:line="580" w:lineRule="exact"/>
        <w:ind w:firstLine="640"/>
        <w:jc w:val="both"/>
      </w:pPr>
      <w:r>
        <w:rPr>
          <w:rFonts w:ascii="仿宋_GB2312" w:hAnsi="仿宋_GB2312" w:eastAsia="仿宋_GB2312"/>
          <w:sz w:val="32"/>
        </w:rPr>
        <w:t>昌吉回族自治州伊斯兰教协会2024年度，实有人数10人，其中：在职人员6人，增加1人；离休人员0人，增加0人；退休人员4人,增加1人。</w:t>
      </w:r>
    </w:p>
    <w:p w14:paraId="67AF58D9">
      <w:pPr>
        <w:spacing w:line="580" w:lineRule="exact"/>
        <w:ind w:firstLine="640"/>
        <w:jc w:val="both"/>
      </w:pPr>
      <w:r>
        <w:rPr>
          <w:rFonts w:ascii="仿宋_GB2312" w:hAnsi="仿宋_GB2312" w:eastAsia="仿宋_GB2312"/>
          <w:sz w:val="32"/>
        </w:rPr>
        <w:t>昌吉回族自治州伊斯兰教协会无下属预算单位，下设2个科室，分别是：秘书处、综合业务科。</w:t>
      </w:r>
    </w:p>
    <w:p w14:paraId="5DABA88E">
      <w:r>
        <w:br w:type="page"/>
      </w:r>
    </w:p>
    <w:p w14:paraId="6ABC1D6E">
      <w:pPr>
        <w:spacing w:line="240" w:lineRule="auto"/>
        <w:jc w:val="center"/>
        <w:outlineLvl w:val="1"/>
      </w:pPr>
      <w:r>
        <w:rPr>
          <w:rFonts w:ascii="黑体" w:hAnsi="黑体" w:eastAsia="黑体"/>
          <w:sz w:val="32"/>
        </w:rPr>
        <w:t>第二部分 部门决算情况说明</w:t>
      </w:r>
    </w:p>
    <w:p w14:paraId="5D7520DA">
      <w:pPr>
        <w:spacing w:line="640" w:lineRule="exact"/>
        <w:ind w:firstLine="640"/>
        <w:jc w:val="both"/>
        <w:outlineLvl w:val="2"/>
      </w:pPr>
      <w:r>
        <w:rPr>
          <w:rFonts w:ascii="黑体" w:hAnsi="黑体" w:eastAsia="黑体"/>
          <w:sz w:val="32"/>
        </w:rPr>
        <w:t>一、收入支出决算总体情况说明</w:t>
      </w:r>
    </w:p>
    <w:p w14:paraId="5D3A7C63">
      <w:pPr>
        <w:spacing w:line="580" w:lineRule="exact"/>
        <w:ind w:firstLine="640"/>
        <w:jc w:val="both"/>
      </w:pPr>
      <w:r>
        <w:rPr>
          <w:rFonts w:ascii="仿宋_GB2312" w:hAnsi="仿宋_GB2312" w:eastAsia="仿宋_GB2312"/>
          <w:b/>
          <w:sz w:val="32"/>
        </w:rPr>
        <w:t>2024年度收入总计205.02万元，</w:t>
      </w:r>
      <w:r>
        <w:rPr>
          <w:rFonts w:ascii="仿宋_GB2312" w:hAnsi="仿宋_GB2312" w:eastAsia="仿宋_GB2312"/>
          <w:b w:val="0"/>
          <w:sz w:val="32"/>
        </w:rPr>
        <w:t>其中：本年收入合计203.73万元，使用非财政拨款结余（含专用结余）0.00万元，年初结转和结余1.28万元。</w:t>
      </w:r>
    </w:p>
    <w:p w14:paraId="226C95F4">
      <w:pPr>
        <w:spacing w:line="580" w:lineRule="exact"/>
        <w:ind w:firstLine="640"/>
        <w:jc w:val="both"/>
      </w:pPr>
      <w:r>
        <w:rPr>
          <w:rFonts w:ascii="仿宋_GB2312" w:hAnsi="仿宋_GB2312" w:eastAsia="仿宋_GB2312"/>
          <w:b/>
          <w:sz w:val="32"/>
        </w:rPr>
        <w:t>2024年度支出总计205.02万元，</w:t>
      </w:r>
      <w:r>
        <w:rPr>
          <w:rFonts w:ascii="仿宋_GB2312" w:hAnsi="仿宋_GB2312" w:eastAsia="仿宋_GB2312"/>
          <w:b w:val="0"/>
          <w:sz w:val="32"/>
        </w:rPr>
        <w:t>其中：本年支出合计203.71万元，结余分配0.00万元，年末结转和结余1.31万元。</w:t>
      </w:r>
    </w:p>
    <w:p w14:paraId="4F191CA7">
      <w:pPr>
        <w:spacing w:line="580" w:lineRule="exact"/>
        <w:ind w:firstLine="640"/>
        <w:jc w:val="both"/>
      </w:pPr>
      <w:r>
        <w:rPr>
          <w:rFonts w:ascii="仿宋_GB2312" w:hAnsi="仿宋_GB2312" w:eastAsia="仿宋_GB2312"/>
          <w:b w:val="0"/>
          <w:sz w:val="32"/>
        </w:rPr>
        <w:t>收入支出总体与上年相比，增加24.80万元，增长13.76%，主要原因是：本年伊协业务费项目经费较上年增加；新增退休人员，职业年金缴费较上年增加。</w:t>
      </w:r>
    </w:p>
    <w:p w14:paraId="7FB36BDB">
      <w:pPr>
        <w:spacing w:line="640" w:lineRule="exact"/>
        <w:ind w:firstLine="640"/>
        <w:jc w:val="both"/>
        <w:outlineLvl w:val="2"/>
      </w:pPr>
      <w:r>
        <w:rPr>
          <w:rFonts w:ascii="黑体" w:hAnsi="黑体" w:eastAsia="黑体"/>
          <w:sz w:val="32"/>
        </w:rPr>
        <w:t>二、收入决算情况说明</w:t>
      </w:r>
    </w:p>
    <w:p w14:paraId="10115C59">
      <w:pPr>
        <w:spacing w:line="580" w:lineRule="exact"/>
        <w:ind w:firstLine="640"/>
        <w:jc w:val="both"/>
      </w:pPr>
      <w:r>
        <w:rPr>
          <w:rFonts w:ascii="仿宋_GB2312" w:hAnsi="仿宋_GB2312" w:eastAsia="仿宋_GB2312"/>
          <w:b/>
          <w:sz w:val="32"/>
        </w:rPr>
        <w:t>本年收入203.73万元，</w:t>
      </w:r>
      <w:r>
        <w:rPr>
          <w:rFonts w:ascii="仿宋_GB2312" w:hAnsi="仿宋_GB2312" w:eastAsia="仿宋_GB2312"/>
          <w:b w:val="0"/>
          <w:sz w:val="32"/>
        </w:rPr>
        <w:t>其中：财政拨款收入203.70万元，占99.99%；上级补助收入0.00万元，占0.00%；事业收入0.00万元，占0.00%；经营收入0.00万元，占0.00%；附属单位上缴收入0.00万元，占0.00%；其他收入0.04万元，占0.02%。</w:t>
      </w:r>
    </w:p>
    <w:p w14:paraId="7D372A2E">
      <w:pPr>
        <w:spacing w:line="640" w:lineRule="exact"/>
        <w:ind w:firstLine="640"/>
        <w:jc w:val="both"/>
        <w:outlineLvl w:val="2"/>
      </w:pPr>
      <w:r>
        <w:rPr>
          <w:rFonts w:ascii="黑体" w:hAnsi="黑体" w:eastAsia="黑体"/>
          <w:sz w:val="32"/>
        </w:rPr>
        <w:t>三、支出决算情况说明</w:t>
      </w:r>
    </w:p>
    <w:p w14:paraId="43B61B2A">
      <w:pPr>
        <w:spacing w:line="580" w:lineRule="exact"/>
        <w:ind w:firstLine="640"/>
        <w:jc w:val="both"/>
      </w:pPr>
      <w:r>
        <w:rPr>
          <w:rFonts w:ascii="仿宋_GB2312" w:hAnsi="仿宋_GB2312" w:eastAsia="仿宋_GB2312"/>
          <w:b/>
          <w:sz w:val="32"/>
        </w:rPr>
        <w:t>本年支出203.71万元，</w:t>
      </w:r>
      <w:r>
        <w:rPr>
          <w:rFonts w:ascii="仿宋_GB2312" w:hAnsi="仿宋_GB2312" w:eastAsia="仿宋_GB2312"/>
          <w:b w:val="0"/>
          <w:sz w:val="32"/>
        </w:rPr>
        <w:t>其中：基本支出139.59万元，占68.52%；项目支出64.12万元，占31.48%；上缴上级支出0.00万元，占0.00%；经营支出0.00万元，占0.00%；对附属单位补助支出0.00万元，占0.00%。</w:t>
      </w:r>
    </w:p>
    <w:p w14:paraId="787F080D">
      <w:pPr>
        <w:spacing w:line="640" w:lineRule="exact"/>
        <w:ind w:firstLine="640"/>
        <w:jc w:val="both"/>
        <w:outlineLvl w:val="2"/>
      </w:pPr>
      <w:r>
        <w:rPr>
          <w:rFonts w:ascii="黑体" w:hAnsi="黑体" w:eastAsia="黑体"/>
          <w:sz w:val="32"/>
        </w:rPr>
        <w:t>四、财政拨款收入支出决算总体情况说明</w:t>
      </w:r>
    </w:p>
    <w:p w14:paraId="185F679C">
      <w:pPr>
        <w:spacing w:line="580" w:lineRule="exact"/>
        <w:ind w:firstLine="640"/>
        <w:jc w:val="both"/>
      </w:pPr>
      <w:r>
        <w:rPr>
          <w:rFonts w:ascii="仿宋_GB2312" w:hAnsi="仿宋_GB2312" w:eastAsia="仿宋_GB2312"/>
          <w:b/>
          <w:sz w:val="32"/>
        </w:rPr>
        <w:t>2024年度财政拨款收入总计203.70万元，</w:t>
      </w:r>
      <w:r>
        <w:rPr>
          <w:rFonts w:ascii="仿宋_GB2312" w:hAnsi="仿宋_GB2312" w:eastAsia="仿宋_GB2312"/>
          <w:b w:val="0"/>
          <w:sz w:val="32"/>
        </w:rPr>
        <w:t>其中：年初财政拨款结转和结余0.00万元，本年财政拨款收入203.70万元。</w:t>
      </w:r>
      <w:r>
        <w:rPr>
          <w:rFonts w:ascii="仿宋_GB2312" w:hAnsi="仿宋_GB2312" w:eastAsia="仿宋_GB2312"/>
          <w:b/>
          <w:sz w:val="32"/>
        </w:rPr>
        <w:t>财政拨款支出总计203.70万元，</w:t>
      </w:r>
      <w:r>
        <w:rPr>
          <w:rFonts w:ascii="仿宋_GB2312" w:hAnsi="仿宋_GB2312" w:eastAsia="仿宋_GB2312"/>
          <w:b w:val="0"/>
          <w:sz w:val="32"/>
        </w:rPr>
        <w:t>其中：年末财政拨款结转和结余0.00万元，本年财政拨款支出203.70万元。</w:t>
      </w:r>
    </w:p>
    <w:p w14:paraId="1C6D2891">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增加24.76万元，增长13.84%，主要原因是：本年伊协业务费项目经费较上年增加；新增退休人员，职业年金缴费较上年增加。</w:t>
      </w:r>
      <w:r>
        <w:rPr>
          <w:rFonts w:ascii="仿宋_GB2312" w:hAnsi="仿宋_GB2312" w:eastAsia="仿宋_GB2312"/>
          <w:b/>
          <w:sz w:val="32"/>
        </w:rPr>
        <w:t>与年初预算相比，</w:t>
      </w:r>
      <w:r>
        <w:rPr>
          <w:rFonts w:ascii="仿宋_GB2312" w:hAnsi="仿宋_GB2312" w:eastAsia="仿宋_GB2312"/>
          <w:b w:val="0"/>
          <w:sz w:val="32"/>
        </w:rPr>
        <w:t>年初预算数196.90万元，决算数203.70万元，预决算差异率3.45%，主要原因是：本年在职人员增加，年中追加人员经费及人员工资、社保、公积金基数调增部分资金，导致预决算存在差异。</w:t>
      </w:r>
    </w:p>
    <w:p w14:paraId="1662A71F">
      <w:pPr>
        <w:spacing w:line="640" w:lineRule="exact"/>
        <w:ind w:firstLine="640"/>
        <w:jc w:val="both"/>
        <w:outlineLvl w:val="2"/>
      </w:pPr>
      <w:r>
        <w:rPr>
          <w:rFonts w:ascii="黑体" w:hAnsi="黑体" w:eastAsia="黑体"/>
          <w:sz w:val="32"/>
        </w:rPr>
        <w:t>五、一般公共预算财政拨款支出决算情况说明</w:t>
      </w:r>
    </w:p>
    <w:p w14:paraId="1D0B82EF">
      <w:pPr>
        <w:spacing w:line="640" w:lineRule="exact"/>
        <w:ind w:firstLine="640"/>
        <w:jc w:val="both"/>
        <w:outlineLvl w:val="3"/>
      </w:pPr>
      <w:r>
        <w:rPr>
          <w:rFonts w:ascii="楷体_GB2312" w:hAnsi="楷体_GB2312" w:eastAsia="楷体_GB2312"/>
          <w:b/>
          <w:sz w:val="32"/>
        </w:rPr>
        <w:t>（一）一般公共预算财政拨款支出决算总体情况</w:t>
      </w:r>
    </w:p>
    <w:p w14:paraId="4F9609E6">
      <w:pPr>
        <w:spacing w:line="580" w:lineRule="exact"/>
        <w:ind w:firstLine="640"/>
        <w:jc w:val="both"/>
      </w:pPr>
      <w:r>
        <w:rPr>
          <w:rFonts w:ascii="仿宋_GB2312" w:hAnsi="仿宋_GB2312" w:eastAsia="仿宋_GB2312"/>
          <w:b/>
          <w:sz w:val="32"/>
        </w:rPr>
        <w:t>2024年度一般公共预算财政拨款支出203.70万元，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增加24.76万元，增长13.84%，主要原因是：本年伊协业务费项目经费较上年增加；新增退休人员，职业年金缴费较上年增加。</w:t>
      </w:r>
      <w:r>
        <w:rPr>
          <w:rFonts w:ascii="仿宋_GB2312" w:hAnsi="仿宋_GB2312" w:eastAsia="仿宋_GB2312"/>
          <w:b/>
          <w:sz w:val="32"/>
        </w:rPr>
        <w:t>与年初预算相比,</w:t>
      </w:r>
      <w:r>
        <w:rPr>
          <w:rFonts w:ascii="仿宋_GB2312" w:hAnsi="仿宋_GB2312" w:eastAsia="仿宋_GB2312"/>
          <w:b w:val="0"/>
          <w:sz w:val="32"/>
        </w:rPr>
        <w:t>年初预算数196.90万元，决算数203.70万元，预决算差异率3.45%，主要原因是：本年在职人员增加，年中追加人员经费及人员工资、社保、公积金基数调增部分资金，导致预决算存在差异。</w:t>
      </w:r>
    </w:p>
    <w:p w14:paraId="61A2BB18">
      <w:pPr>
        <w:spacing w:line="640" w:lineRule="exact"/>
        <w:ind w:firstLine="640"/>
        <w:jc w:val="both"/>
        <w:outlineLvl w:val="3"/>
      </w:pPr>
      <w:r>
        <w:rPr>
          <w:rFonts w:ascii="楷体_GB2312" w:hAnsi="楷体_GB2312" w:eastAsia="楷体_GB2312"/>
          <w:b/>
          <w:sz w:val="32"/>
        </w:rPr>
        <w:t>（二）一般公共预算财政拨款支出决算结构情况</w:t>
      </w:r>
    </w:p>
    <w:p w14:paraId="4DAEF40E">
      <w:pPr>
        <w:spacing w:line="580" w:lineRule="exact"/>
        <w:ind w:firstLine="640"/>
        <w:jc w:val="both"/>
      </w:pPr>
      <w:r>
        <w:rPr>
          <w:rFonts w:ascii="仿宋_GB2312" w:hAnsi="仿宋_GB2312" w:eastAsia="仿宋_GB2312"/>
          <w:b w:val="0"/>
          <w:sz w:val="32"/>
        </w:rPr>
        <w:t>1.一般公共服务支出(类)163.53万元,占80.28%。</w:t>
      </w:r>
    </w:p>
    <w:p w14:paraId="4C1D895C">
      <w:pPr>
        <w:spacing w:line="580" w:lineRule="exact"/>
        <w:ind w:firstLine="640"/>
        <w:jc w:val="both"/>
      </w:pPr>
      <w:r>
        <w:rPr>
          <w:rFonts w:ascii="仿宋_GB2312" w:hAnsi="仿宋_GB2312" w:eastAsia="仿宋_GB2312"/>
          <w:b w:val="0"/>
          <w:sz w:val="32"/>
        </w:rPr>
        <w:t>2.社会保障和就业支出(类)25.89万元,占12.71%。</w:t>
      </w:r>
    </w:p>
    <w:p w14:paraId="3B7A857F">
      <w:pPr>
        <w:spacing w:line="580" w:lineRule="exact"/>
        <w:ind w:firstLine="640"/>
        <w:jc w:val="both"/>
      </w:pPr>
      <w:r>
        <w:rPr>
          <w:rFonts w:ascii="仿宋_GB2312" w:hAnsi="仿宋_GB2312" w:eastAsia="仿宋_GB2312"/>
          <w:b w:val="0"/>
          <w:sz w:val="32"/>
        </w:rPr>
        <w:t>3.卫生健康支出(类)5.74万元,占2.82%。</w:t>
      </w:r>
    </w:p>
    <w:p w14:paraId="2B3375B0">
      <w:pPr>
        <w:spacing w:line="580" w:lineRule="exact"/>
        <w:ind w:firstLine="640"/>
        <w:jc w:val="both"/>
      </w:pPr>
      <w:r>
        <w:rPr>
          <w:rFonts w:ascii="仿宋_GB2312" w:hAnsi="仿宋_GB2312" w:eastAsia="仿宋_GB2312"/>
          <w:b w:val="0"/>
          <w:sz w:val="32"/>
        </w:rPr>
        <w:t>4.住房保障支出(类)8.54万元,占4.19%。</w:t>
      </w:r>
    </w:p>
    <w:p w14:paraId="25FEBD18">
      <w:pPr>
        <w:spacing w:line="640" w:lineRule="exact"/>
        <w:ind w:firstLine="640"/>
        <w:jc w:val="both"/>
        <w:outlineLvl w:val="3"/>
      </w:pPr>
      <w:r>
        <w:rPr>
          <w:rFonts w:ascii="楷体_GB2312" w:hAnsi="楷体_GB2312" w:eastAsia="楷体_GB2312"/>
          <w:b/>
          <w:sz w:val="32"/>
        </w:rPr>
        <w:t>（三）一般公共预算财政拨款支出决算具体情况</w:t>
      </w:r>
    </w:p>
    <w:p w14:paraId="7BC847F1">
      <w:pPr>
        <w:spacing w:line="580" w:lineRule="exact"/>
        <w:ind w:firstLine="640"/>
        <w:jc w:val="both"/>
      </w:pPr>
      <w:r>
        <w:rPr>
          <w:rFonts w:ascii="仿宋_GB2312" w:hAnsi="仿宋_GB2312" w:eastAsia="仿宋_GB2312"/>
          <w:b w:val="0"/>
          <w:sz w:val="32"/>
        </w:rPr>
        <w:t>1.一般公共服务支出(类)民族事务(款)行政运行(项):支出决算数为99.41万元，比上年决算减少0.85万元，下降0.85%,主要原因是：本年在职人员调入，退休，人员职级不同，工资基数不同，导致人员经费较上年减少。</w:t>
      </w:r>
    </w:p>
    <w:p w14:paraId="6984D699">
      <w:pPr>
        <w:spacing w:line="580" w:lineRule="exact"/>
        <w:ind w:firstLine="640"/>
        <w:jc w:val="both"/>
      </w:pPr>
      <w:r>
        <w:rPr>
          <w:rFonts w:ascii="仿宋_GB2312" w:hAnsi="仿宋_GB2312" w:eastAsia="仿宋_GB2312"/>
          <w:b w:val="0"/>
          <w:sz w:val="32"/>
        </w:rPr>
        <w:t>2.一般公共服务支出(类)民族事务(款)一般行政管理事务(项):支出决算数为64.12万元，比上年决算增加14.87万元，增长30.19%,主要原因是：本年伊协业务费项目经费较上年增加。</w:t>
      </w:r>
    </w:p>
    <w:p w14:paraId="3741DE7D">
      <w:pPr>
        <w:spacing w:line="580" w:lineRule="exact"/>
        <w:ind w:firstLine="640"/>
        <w:jc w:val="both"/>
      </w:pPr>
      <w:r>
        <w:rPr>
          <w:rFonts w:ascii="仿宋_GB2312" w:hAnsi="仿宋_GB2312" w:eastAsia="仿宋_GB2312"/>
          <w:b w:val="0"/>
          <w:sz w:val="32"/>
        </w:rPr>
        <w:t>3.一般公共服务支出(类)统战事务(款)</w:t>
      </w:r>
      <w:bookmarkStart w:id="0" w:name="_GoBack"/>
      <w:r>
        <w:rPr>
          <w:rFonts w:ascii="仿宋_GB2312" w:hAnsi="仿宋_GB2312" w:eastAsia="仿宋_GB2312"/>
          <w:b w:val="0"/>
          <w:sz w:val="32"/>
        </w:rPr>
        <w:t>宗教</w:t>
      </w:r>
      <w:bookmarkEnd w:id="0"/>
      <w:r>
        <w:rPr>
          <w:rFonts w:ascii="仿宋_GB2312" w:hAnsi="仿宋_GB2312" w:eastAsia="仿宋_GB2312"/>
          <w:b w:val="0"/>
          <w:sz w:val="32"/>
        </w:rPr>
        <w:t>事务(项):支出决算数为0.00万元，比上年决算减少1.26万元，下降100.00%,主要原因是：本年寺管员津贴补助减少。</w:t>
      </w:r>
    </w:p>
    <w:p w14:paraId="159C3A96">
      <w:pPr>
        <w:spacing w:line="580" w:lineRule="exact"/>
        <w:ind w:firstLine="640"/>
        <w:jc w:val="both"/>
      </w:pPr>
      <w:r>
        <w:rPr>
          <w:rFonts w:ascii="仿宋_GB2312" w:hAnsi="仿宋_GB2312" w:eastAsia="仿宋_GB2312"/>
          <w:b w:val="0"/>
          <w:sz w:val="32"/>
        </w:rPr>
        <w:t>4.社会保障和就业支出(类)行政事业单位养老支出(款)行政单位离退休(项):支出决算数为2.19万元，比上年决算增加0.78万元，增长55.32%,主要原因是：本年退休人员增加，退休费支出增加。</w:t>
      </w:r>
    </w:p>
    <w:p w14:paraId="5ADB09DC">
      <w:pPr>
        <w:spacing w:line="580" w:lineRule="exact"/>
        <w:ind w:firstLine="640"/>
        <w:jc w:val="both"/>
      </w:pPr>
      <w:r>
        <w:rPr>
          <w:rFonts w:ascii="仿宋_GB2312" w:hAnsi="仿宋_GB2312" w:eastAsia="仿宋_GB2312"/>
          <w:b w:val="0"/>
          <w:sz w:val="32"/>
        </w:rPr>
        <w:t>5.社会保障和就业支出(类)行政事业单位养老支出(款)机关事业单位基本养老保险缴费支出(项):支出决算数为10.72万元，比上年决算增加1.23万元，增长12.96%,主要原因是：本年在职人员工资基数调增，养老缴费基数上涨，相应支出增加。</w:t>
      </w:r>
    </w:p>
    <w:p w14:paraId="51647123">
      <w:pPr>
        <w:spacing w:line="580" w:lineRule="exact"/>
        <w:ind w:firstLine="640"/>
        <w:jc w:val="both"/>
      </w:pPr>
      <w:r>
        <w:rPr>
          <w:rFonts w:ascii="仿宋_GB2312" w:hAnsi="仿宋_GB2312" w:eastAsia="仿宋_GB2312"/>
          <w:b w:val="0"/>
          <w:sz w:val="32"/>
        </w:rPr>
        <w:t>6.社会保障和就业支出(类)行政事业单位养老支出(款)机关事业单位职业年金缴费支出(项):支出决算数为12.98万元，比上年决算增加8.24万元，增长173.84%,主要原因是：本年新增退休人员，职业年金缴费支出增加。</w:t>
      </w:r>
    </w:p>
    <w:p w14:paraId="6A4E78B7">
      <w:pPr>
        <w:spacing w:line="580" w:lineRule="exact"/>
        <w:ind w:firstLine="640"/>
        <w:jc w:val="both"/>
      </w:pPr>
      <w:r>
        <w:rPr>
          <w:rFonts w:ascii="仿宋_GB2312" w:hAnsi="仿宋_GB2312" w:eastAsia="仿宋_GB2312"/>
          <w:b w:val="0"/>
          <w:sz w:val="32"/>
        </w:rPr>
        <w:t>7.卫生健康支出(类)行政事业单位医疗(款)行政单位医疗(项):支出决算数为5.36万元，比上年决算增加0.62万元，增长13.08%,主要原因是：本年在职人员工资基数调增，医疗缴费基数上涨，相应支出增加。</w:t>
      </w:r>
    </w:p>
    <w:p w14:paraId="799125F7">
      <w:pPr>
        <w:spacing w:line="580" w:lineRule="exact"/>
        <w:ind w:firstLine="640"/>
        <w:jc w:val="both"/>
      </w:pPr>
      <w:r>
        <w:rPr>
          <w:rFonts w:ascii="仿宋_GB2312" w:hAnsi="仿宋_GB2312" w:eastAsia="仿宋_GB2312"/>
          <w:b w:val="0"/>
          <w:sz w:val="32"/>
        </w:rPr>
        <w:t>8.卫生健康支出(类)行政事业单位医疗(款)公务员医疗补助(项):支出决算数为0.33万元，比上年决算增加0.03万元，增长10.00%,主要原因是：本年在职人员工资基数调增，医疗缴费基数上涨，相应支出增加。</w:t>
      </w:r>
    </w:p>
    <w:p w14:paraId="5DCEDC66">
      <w:pPr>
        <w:spacing w:line="580" w:lineRule="exact"/>
        <w:ind w:firstLine="640"/>
        <w:jc w:val="both"/>
      </w:pPr>
      <w:r>
        <w:rPr>
          <w:rFonts w:ascii="仿宋_GB2312" w:hAnsi="仿宋_GB2312" w:eastAsia="仿宋_GB2312"/>
          <w:b w:val="0"/>
          <w:sz w:val="32"/>
        </w:rPr>
        <w:t>9.卫生健康支出(类)行政事业单位医疗(款)其他行政事业单位医疗支出(项):支出决算数为0.05万元，比上年决算增加0.00万元，增长0.00%,主要原因是：本年度工伤保险缴费支出与上年一致，无变动。</w:t>
      </w:r>
    </w:p>
    <w:p w14:paraId="22F1554D">
      <w:pPr>
        <w:spacing w:line="580" w:lineRule="exact"/>
        <w:ind w:firstLine="640"/>
        <w:jc w:val="both"/>
      </w:pPr>
      <w:r>
        <w:rPr>
          <w:rFonts w:ascii="仿宋_GB2312" w:hAnsi="仿宋_GB2312" w:eastAsia="仿宋_GB2312"/>
          <w:b w:val="0"/>
          <w:sz w:val="32"/>
        </w:rPr>
        <w:t>10.住房保障支出(类)住房改革支出(款)住房公积金(项):支出决算数为8.54万元，比上年决算增加1.10万元，增长14.78%,主要原因是：本年在职人员工资基数调增，公积金缴费基数上涨，相应支出增加。</w:t>
      </w:r>
    </w:p>
    <w:p w14:paraId="62A19C3C">
      <w:pPr>
        <w:spacing w:line="640" w:lineRule="exact"/>
        <w:ind w:firstLine="640"/>
        <w:jc w:val="both"/>
        <w:outlineLvl w:val="2"/>
      </w:pPr>
      <w:r>
        <w:rPr>
          <w:rFonts w:ascii="黑体" w:hAnsi="黑体" w:eastAsia="黑体"/>
          <w:sz w:val="32"/>
        </w:rPr>
        <w:t>六、一般公共预算财政拨款基本支出决算情况说明</w:t>
      </w:r>
    </w:p>
    <w:p w14:paraId="3B68DFDB">
      <w:pPr>
        <w:spacing w:line="580" w:lineRule="exact"/>
        <w:ind w:firstLine="640"/>
        <w:jc w:val="both"/>
      </w:pPr>
      <w:r>
        <w:rPr>
          <w:rFonts w:ascii="仿宋_GB2312" w:hAnsi="仿宋_GB2312" w:eastAsia="仿宋_GB2312"/>
          <w:b w:val="0"/>
          <w:sz w:val="32"/>
        </w:rPr>
        <w:t>2024年度一般公共预算财政拨款基本支出139.58万元，其中：</w:t>
      </w:r>
      <w:r>
        <w:rPr>
          <w:rFonts w:ascii="仿宋_GB2312" w:hAnsi="仿宋_GB2312" w:eastAsia="仿宋_GB2312"/>
          <w:b/>
          <w:sz w:val="32"/>
        </w:rPr>
        <w:t>人员经费131.00万元，</w:t>
      </w:r>
      <w:r>
        <w:rPr>
          <w:rFonts w:ascii="仿宋_GB2312" w:hAnsi="仿宋_GB2312" w:eastAsia="仿宋_GB2312"/>
          <w:b w:val="0"/>
          <w:sz w:val="32"/>
        </w:rPr>
        <w:t>包括：基本工资、津贴补贴、奖金、机关事业单位基本养老保险缴费、职业年金缴费、职工基本医疗保险缴费、公务员医疗补助缴费、其他社会保障缴费、住房公积金、其他工资福利支出、退休费、奖励金。</w:t>
      </w:r>
    </w:p>
    <w:p w14:paraId="7E617D93">
      <w:pPr>
        <w:spacing w:line="580" w:lineRule="exact"/>
        <w:ind w:firstLine="640"/>
        <w:jc w:val="both"/>
      </w:pPr>
      <w:r>
        <w:rPr>
          <w:rFonts w:ascii="仿宋_GB2312" w:hAnsi="仿宋_GB2312" w:eastAsia="仿宋_GB2312"/>
          <w:b/>
          <w:sz w:val="32"/>
        </w:rPr>
        <w:t>公用经费8.58万元，</w:t>
      </w:r>
      <w:r>
        <w:rPr>
          <w:rFonts w:ascii="仿宋_GB2312" w:hAnsi="仿宋_GB2312" w:eastAsia="仿宋_GB2312"/>
          <w:b w:val="0"/>
          <w:sz w:val="32"/>
        </w:rPr>
        <w:t>包括：办公费、邮电费、差旅费、公务接待费、工会经费、福利费、公务用车运行维护费、其他商品和服务支出。</w:t>
      </w:r>
    </w:p>
    <w:p w14:paraId="2D217074">
      <w:pPr>
        <w:spacing w:line="640" w:lineRule="exact"/>
        <w:ind w:firstLine="640"/>
        <w:jc w:val="both"/>
        <w:outlineLvl w:val="2"/>
      </w:pPr>
      <w:r>
        <w:rPr>
          <w:rFonts w:ascii="黑体" w:hAnsi="黑体" w:eastAsia="黑体"/>
          <w:sz w:val="32"/>
        </w:rPr>
        <w:t>七、政府性基金预算财政拨款收入支出决算情况说明</w:t>
      </w:r>
    </w:p>
    <w:p w14:paraId="0FE7D98C">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01A4CB94">
      <w:pPr>
        <w:spacing w:line="640" w:lineRule="exact"/>
        <w:ind w:firstLine="640"/>
        <w:jc w:val="both"/>
        <w:outlineLvl w:val="2"/>
      </w:pPr>
      <w:r>
        <w:rPr>
          <w:rFonts w:ascii="黑体" w:hAnsi="黑体" w:eastAsia="黑体"/>
          <w:sz w:val="32"/>
        </w:rPr>
        <w:t>八、国有资本经营预算财政拨款收入支出决算情况说明</w:t>
      </w:r>
    </w:p>
    <w:p w14:paraId="4DC4EA2B">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5001BAAE">
      <w:pPr>
        <w:spacing w:line="640" w:lineRule="exact"/>
        <w:ind w:firstLine="640"/>
        <w:jc w:val="both"/>
        <w:outlineLvl w:val="2"/>
      </w:pPr>
      <w:r>
        <w:rPr>
          <w:rFonts w:ascii="黑体" w:hAnsi="黑体" w:eastAsia="黑体"/>
          <w:sz w:val="32"/>
        </w:rPr>
        <w:t>九、财政拨款“三公”经费支出决算情况说明</w:t>
      </w:r>
    </w:p>
    <w:p w14:paraId="2B78B851">
      <w:pPr>
        <w:spacing w:line="580" w:lineRule="exact"/>
        <w:ind w:firstLine="640"/>
        <w:jc w:val="both"/>
      </w:pPr>
      <w:r>
        <w:rPr>
          <w:rFonts w:ascii="仿宋_GB2312" w:hAnsi="仿宋_GB2312" w:eastAsia="仿宋_GB2312"/>
          <w:b/>
          <w:sz w:val="32"/>
        </w:rPr>
        <w:t>2024年度财政拨款“三公”经费支出2.07万元，</w:t>
      </w:r>
      <w:r>
        <w:rPr>
          <w:rFonts w:ascii="仿宋_GB2312" w:hAnsi="仿宋_GB2312" w:eastAsia="仿宋_GB2312"/>
          <w:b w:val="0"/>
          <w:sz w:val="32"/>
        </w:rPr>
        <w:t>比上年减少0.07万元，下降3.27%，主要原因是：采取有效措施加强公务接待管理，严格控制公务接待活动，认真执行经费开支标准，减少公务接待运行成本费用。其中：因公出国（境）费支出0.00万元，占0.00%，比上年增加0.00万元，增长0.00%，主要原因是：2023年与2024年均未安排因公出国（境）费支出。公务用车购置及运行维护费支出1.98万元，占95.65%，比上年增加0.00万元，增长0.00%，主要原因是：</w:t>
      </w:r>
      <w:r>
        <w:rPr>
          <w:rFonts w:hint="eastAsia" w:ascii="仿宋_GB2312" w:hAnsi="仿宋_GB2312" w:eastAsia="仿宋_GB2312"/>
          <w:b w:val="0"/>
          <w:sz w:val="32"/>
          <w:lang w:eastAsia="zh-CN"/>
        </w:rPr>
        <w:t>本单位</w:t>
      </w:r>
      <w:r>
        <w:rPr>
          <w:rFonts w:ascii="仿宋_GB2312" w:hAnsi="仿宋_GB2312" w:eastAsia="仿宋_GB2312"/>
          <w:b w:val="0"/>
          <w:sz w:val="32"/>
        </w:rPr>
        <w:t>公务用车运行维护费与上年一致无变化。公务接待费支出0.09万元，占4.35%，比上年减少0.07万元，下降43.75%，主要原因是：采取有效措施加强公务接待管理，严格控制公务接待活动，认真执行经费开支标准，减少公务接待运行成本费用。</w:t>
      </w:r>
    </w:p>
    <w:p w14:paraId="29B5D043">
      <w:pPr>
        <w:spacing w:line="580" w:lineRule="exact"/>
        <w:ind w:firstLine="640"/>
        <w:jc w:val="both"/>
      </w:pPr>
      <w:r>
        <w:rPr>
          <w:rFonts w:ascii="仿宋_GB2312" w:hAnsi="仿宋_GB2312" w:eastAsia="仿宋_GB2312"/>
          <w:b/>
          <w:sz w:val="32"/>
        </w:rPr>
        <w:t>具体情况如下：</w:t>
      </w:r>
    </w:p>
    <w:p w14:paraId="1C0C5B46">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63EB84B5">
      <w:pPr>
        <w:spacing w:line="580" w:lineRule="exact"/>
        <w:ind w:firstLine="640"/>
        <w:jc w:val="both"/>
      </w:pPr>
      <w:r>
        <w:rPr>
          <w:rFonts w:ascii="仿宋_GB2312" w:hAnsi="仿宋_GB2312" w:eastAsia="仿宋_GB2312"/>
          <w:b w:val="0"/>
          <w:sz w:val="32"/>
        </w:rPr>
        <w:t>公务用车购置及运行维护费1.98万元，其中：公务用车购置费0.00万元，公务用车运行维护费1.98万元。公务用车运行维护费开支内容包括车辆加油费、维修费、保险费、审车费、过路费等。公务用车购置数0辆，公务用车保有量1辆。国有资产占用情况中固定资产车辆1辆，与公务用车保有量差异原因是：本单位固定资产车辆与公务用车保有量一致无差异。</w:t>
      </w:r>
    </w:p>
    <w:p w14:paraId="7879ACD7">
      <w:pPr>
        <w:spacing w:line="580" w:lineRule="exact"/>
        <w:ind w:firstLine="640"/>
        <w:jc w:val="both"/>
      </w:pPr>
      <w:r>
        <w:rPr>
          <w:rFonts w:ascii="仿宋_GB2312" w:hAnsi="仿宋_GB2312" w:eastAsia="仿宋_GB2312"/>
          <w:b w:val="0"/>
          <w:sz w:val="32"/>
        </w:rPr>
        <w:t>公务接待费0.09万元，开支内容包括因考察学习，接待福建工作小组考察学习产生的就餐费。单位全年安排的国内公务接待1批次，10人次。</w:t>
      </w:r>
    </w:p>
    <w:p w14:paraId="16483183">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2.07万元，决算数2.07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1.98万元，决算数1.98万元，预决算差异率0.00%，主要原因是：严格按照预算执行，预决算无差异。公务接待费全年预算数0.09万元，决算数0.09万元，预决算差异率0.00%，主要原因是：严格按照预算执行，预决算无差异。</w:t>
      </w:r>
    </w:p>
    <w:p w14:paraId="2CADAB03">
      <w:pPr>
        <w:spacing w:line="640" w:lineRule="exact"/>
        <w:ind w:firstLine="640"/>
        <w:jc w:val="both"/>
        <w:outlineLvl w:val="2"/>
      </w:pPr>
      <w:r>
        <w:rPr>
          <w:rFonts w:ascii="黑体" w:hAnsi="黑体" w:eastAsia="黑体"/>
          <w:sz w:val="32"/>
        </w:rPr>
        <w:t>十、其他重要事项的情况说明</w:t>
      </w:r>
    </w:p>
    <w:p w14:paraId="3A08AEFE">
      <w:pPr>
        <w:spacing w:line="640" w:lineRule="exact"/>
        <w:ind w:firstLine="640"/>
        <w:jc w:val="both"/>
        <w:outlineLvl w:val="3"/>
      </w:pPr>
      <w:r>
        <w:rPr>
          <w:rFonts w:ascii="楷体_GB2312" w:hAnsi="楷体_GB2312" w:eastAsia="楷体_GB2312"/>
          <w:b/>
          <w:sz w:val="32"/>
        </w:rPr>
        <w:t>（一）机关运行经费及公用经费支出情况</w:t>
      </w:r>
    </w:p>
    <w:p w14:paraId="74941D17">
      <w:pPr>
        <w:spacing w:line="580" w:lineRule="exact"/>
        <w:ind w:firstLine="640"/>
        <w:jc w:val="both"/>
      </w:pPr>
      <w:r>
        <w:rPr>
          <w:rFonts w:ascii="仿宋_GB2312" w:hAnsi="仿宋_GB2312" w:eastAsia="仿宋_GB2312"/>
          <w:b w:val="0"/>
          <w:sz w:val="32"/>
        </w:rPr>
        <w:t>2024年度昌吉回族自治州伊斯兰教协会（行政单位和参照公务员法管理事业单位）机关运行经费支出8.58万元，比上年减少0.90万元，下降9.49%，主要原因是：严格控制公用经费，合理节约办公用品，减少不必要开支。</w:t>
      </w:r>
    </w:p>
    <w:p w14:paraId="472ED20A">
      <w:pPr>
        <w:spacing w:line="640" w:lineRule="exact"/>
        <w:ind w:firstLine="640"/>
        <w:jc w:val="both"/>
        <w:outlineLvl w:val="3"/>
      </w:pPr>
      <w:r>
        <w:rPr>
          <w:rFonts w:ascii="楷体_GB2312" w:hAnsi="楷体_GB2312" w:eastAsia="楷体_GB2312"/>
          <w:b/>
          <w:sz w:val="32"/>
        </w:rPr>
        <w:t>（二）政府采购情况</w:t>
      </w:r>
    </w:p>
    <w:p w14:paraId="5357F18F">
      <w:pPr>
        <w:spacing w:line="580" w:lineRule="exact"/>
        <w:ind w:firstLine="640"/>
        <w:jc w:val="both"/>
      </w:pPr>
      <w:r>
        <w:rPr>
          <w:rFonts w:ascii="仿宋_GB2312" w:hAnsi="仿宋_GB2312" w:eastAsia="仿宋_GB2312"/>
          <w:b w:val="0"/>
          <w:sz w:val="32"/>
        </w:rPr>
        <w:t>2024年度政府采购支出总额1.98万元，其中：政府采购货物支出0.00万元、政府采购工程支出0.00万元、政府采购服务支出1.98万元。</w:t>
      </w:r>
    </w:p>
    <w:p w14:paraId="2B5680BE">
      <w:pPr>
        <w:spacing w:line="580" w:lineRule="exact"/>
        <w:ind w:firstLine="640"/>
        <w:jc w:val="both"/>
      </w:pPr>
      <w:r>
        <w:rPr>
          <w:rFonts w:ascii="仿宋_GB2312" w:hAnsi="仿宋_GB2312" w:eastAsia="仿宋_GB2312"/>
          <w:b w:val="0"/>
          <w:sz w:val="32"/>
        </w:rPr>
        <w:t>授予中小企业合同金额1.98万元，占政府采购支出总额的100.00%，其中：授予小微企业合同金额1.98万元，占政府采购支出总额的100.00%。</w:t>
      </w:r>
    </w:p>
    <w:p w14:paraId="58859A5A">
      <w:pPr>
        <w:spacing w:line="640" w:lineRule="exact"/>
        <w:ind w:firstLine="640"/>
        <w:jc w:val="both"/>
        <w:outlineLvl w:val="3"/>
      </w:pPr>
      <w:r>
        <w:rPr>
          <w:rFonts w:ascii="楷体_GB2312" w:hAnsi="楷体_GB2312" w:eastAsia="楷体_GB2312"/>
          <w:b/>
          <w:sz w:val="32"/>
        </w:rPr>
        <w:t>（三）国有资产占用情况说明</w:t>
      </w:r>
    </w:p>
    <w:p w14:paraId="161AD2D3">
      <w:pPr>
        <w:spacing w:line="580" w:lineRule="exact"/>
        <w:ind w:firstLine="640"/>
        <w:jc w:val="both"/>
      </w:pPr>
      <w:r>
        <w:rPr>
          <w:rFonts w:ascii="仿宋_GB2312" w:hAnsi="仿宋_GB2312" w:eastAsia="仿宋_GB2312"/>
          <w:b w:val="0"/>
          <w:sz w:val="32"/>
        </w:rPr>
        <w:t>截至2024年12月31日，房屋30.00平方米，价值0.40万元。车辆1辆，价值17.56万元，其中：副部（省）级及以上领导用车0辆、主要负责人用车0辆、机要通信用车0辆、应急保障用车0辆、执法执勤用车0辆、特种专业技术用车0辆、离退休干部服务用车0辆、其他用车1辆，其他用车主要是：一般公务用车。单价100万元（含）以上设备（不含车辆）0台（套）。</w:t>
      </w:r>
    </w:p>
    <w:p w14:paraId="4CFF70B8">
      <w:pPr>
        <w:spacing w:line="640" w:lineRule="exact"/>
        <w:ind w:firstLine="640"/>
        <w:jc w:val="both"/>
        <w:outlineLvl w:val="2"/>
      </w:pPr>
      <w:r>
        <w:rPr>
          <w:rFonts w:ascii="黑体" w:hAnsi="黑体" w:eastAsia="黑体"/>
          <w:sz w:val="32"/>
        </w:rPr>
        <w:t>十一、预算绩效的情况说明</w:t>
      </w:r>
    </w:p>
    <w:p w14:paraId="181486ED">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203.71万元，实际执行总额203.71万元；预算绩效评价项目1个，全年预算数64.12万元，全年执行数64.12万元。预算绩效管理取得的成效：一是建立健全了预算管理规章制度，各部门严格按预算编制和要求做好当年预算编制工作，在预算绩效管理工作中，做到合理安排各项资金，重点保障基本支出，按轻重缓急顺序原则，优先安排了阜康市人民政府办公室事业发展中关系民生与稳定的项目，切实优化资源配置，提高了资金使用的效率和效果。二是进一步完善单位财务制度，严格执行财务管理，按财政部门的要求进行决算、编制财务报告，并到相关业务科室进行审核，能按要求时间准时上报财政部门。发现的问题及原因：一是要加强财务人员业务学习能力和自身素质的提高，才能保证财务工作的严要求、高标准。二是进一步加强预算管理，预算编制依据充分合理，避免预算统筹考虑不足，出现预算执行不均衡现象。下一步改进措施：一是加强预算绩效目标编制的培训学习，科学合理编制预算，严格执行预算，提高财务信息质量；二是进一步加强单位内部机构的预算管理意识，严格按照预算编制的相关制度和要求进行预算编制，加强单位财务管理，健全单位财务管理制度体系，规范单位财务行为。具体附整体支出绩效自评表，项目支出绩效自评表和评价报告。</w:t>
      </w:r>
    </w:p>
    <w:p w14:paraId="3DCF3B5B">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60326682">
        <w:tblPrEx>
          <w:tblCellMar>
            <w:top w:w="0" w:type="dxa"/>
            <w:left w:w="108" w:type="dxa"/>
            <w:bottom w:w="0" w:type="dxa"/>
            <w:right w:w="108" w:type="dxa"/>
          </w:tblCellMar>
        </w:tblPrEx>
        <w:tc>
          <w:tcPr>
            <w:tcW w:w="8847" w:type="dxa"/>
            <w:gridSpan w:val="9"/>
            <w:vAlign w:val="center"/>
          </w:tcPr>
          <w:p w14:paraId="20C378A5">
            <w:pPr>
              <w:jc w:val="center"/>
            </w:pPr>
            <w:r>
              <w:rPr>
                <w:rFonts w:ascii="宋体" w:hAnsi="宋体" w:eastAsia="宋体"/>
                <w:sz w:val="24"/>
              </w:rPr>
              <w:t>单位整体支出绩效自评表</w:t>
            </w:r>
          </w:p>
        </w:tc>
      </w:tr>
      <w:tr w14:paraId="08781023">
        <w:tblPrEx>
          <w:tblCellMar>
            <w:top w:w="0" w:type="dxa"/>
            <w:left w:w="108" w:type="dxa"/>
            <w:bottom w:w="0" w:type="dxa"/>
            <w:right w:w="108" w:type="dxa"/>
          </w:tblCellMar>
        </w:tblPrEx>
        <w:tc>
          <w:tcPr>
            <w:tcW w:w="8847" w:type="dxa"/>
            <w:gridSpan w:val="9"/>
            <w:vAlign w:val="center"/>
          </w:tcPr>
          <w:p w14:paraId="2E0A9DA9">
            <w:pPr>
              <w:jc w:val="center"/>
            </w:pPr>
            <w:r>
              <w:rPr>
                <w:rFonts w:ascii="宋体" w:hAnsi="宋体" w:eastAsia="宋体"/>
                <w:sz w:val="24"/>
              </w:rPr>
              <w:t>（2024年度）</w:t>
            </w:r>
          </w:p>
        </w:tc>
      </w:tr>
      <w:tr w14:paraId="67971822">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0001ED">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2EF6813B">
            <w:pPr>
              <w:jc w:val="center"/>
            </w:pPr>
            <w:r>
              <w:rPr>
                <w:rFonts w:ascii="宋体" w:hAnsi="宋体" w:eastAsia="宋体"/>
                <w:sz w:val="16"/>
              </w:rPr>
              <w:t>昌吉回族自治州伊斯兰教协会</w:t>
            </w:r>
          </w:p>
        </w:tc>
      </w:tr>
      <w:tr w14:paraId="0CB8E32F">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F92DB8">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334BB8">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708030">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4E2B66">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1AED10">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6BCCD8">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6D3A83">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9C3E3B">
            <w:pPr>
              <w:jc w:val="center"/>
            </w:pPr>
            <w:r>
              <w:rPr>
                <w:rFonts w:ascii="宋体" w:hAnsi="宋体" w:eastAsia="宋体"/>
                <w:sz w:val="16"/>
              </w:rPr>
              <w:t>得分</w:t>
            </w:r>
          </w:p>
        </w:tc>
      </w:tr>
      <w:tr w14:paraId="2D6871D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124B3A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3CF20B">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0D188D">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A2E1BD">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A3DC62">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2238E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B35D6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1DFC6F">
            <w:pPr>
              <w:jc w:val="center"/>
            </w:pPr>
            <w:r>
              <w:rPr>
                <w:rFonts w:ascii="宋体" w:hAnsi="宋体" w:eastAsia="宋体"/>
                <w:sz w:val="16"/>
              </w:rPr>
              <w:t>-</w:t>
            </w:r>
          </w:p>
        </w:tc>
      </w:tr>
      <w:tr w14:paraId="7D67A13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3BB02B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7C3871">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C1A10A">
            <w:pPr>
              <w:jc w:val="center"/>
            </w:pPr>
            <w:r>
              <w:rPr>
                <w:rFonts w:ascii="宋体" w:hAnsi="宋体" w:eastAsia="宋体"/>
                <w:sz w:val="16"/>
              </w:rPr>
              <w:t>196.90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B2B745">
            <w:pPr>
              <w:jc w:val="center"/>
            </w:pPr>
            <w:r>
              <w:rPr>
                <w:rFonts w:ascii="宋体" w:hAnsi="宋体" w:eastAsia="宋体"/>
                <w:sz w:val="16"/>
              </w:rPr>
              <w:t>203.71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AF37E6">
            <w:pPr>
              <w:jc w:val="center"/>
            </w:pPr>
            <w:r>
              <w:rPr>
                <w:rFonts w:ascii="宋体" w:hAnsi="宋体" w:eastAsia="宋体"/>
                <w:sz w:val="16"/>
              </w:rPr>
              <w:t>203.71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EF6FC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BC528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11A75D">
            <w:pPr>
              <w:jc w:val="center"/>
            </w:pPr>
            <w:r>
              <w:rPr>
                <w:rFonts w:ascii="宋体" w:hAnsi="宋体" w:eastAsia="宋体"/>
                <w:sz w:val="16"/>
              </w:rPr>
              <w:t>-</w:t>
            </w:r>
          </w:p>
        </w:tc>
      </w:tr>
      <w:tr w14:paraId="5B2AFD6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27F574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E37237">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54B82A">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74FEA7">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E93F07">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72AFB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0633A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CAC902">
            <w:pPr>
              <w:jc w:val="center"/>
            </w:pPr>
            <w:r>
              <w:rPr>
                <w:rFonts w:ascii="宋体" w:hAnsi="宋体" w:eastAsia="宋体"/>
                <w:sz w:val="16"/>
              </w:rPr>
              <w:t>-</w:t>
            </w:r>
          </w:p>
        </w:tc>
      </w:tr>
      <w:tr w14:paraId="62EF568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3332BF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93EA11">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451E2A">
            <w:pPr>
              <w:jc w:val="center"/>
            </w:pPr>
            <w:r>
              <w:rPr>
                <w:rFonts w:ascii="宋体" w:hAnsi="宋体" w:eastAsia="宋体"/>
                <w:sz w:val="16"/>
              </w:rPr>
              <w:t>196.90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DF0E8F">
            <w:pPr>
              <w:jc w:val="center"/>
            </w:pPr>
            <w:r>
              <w:rPr>
                <w:rFonts w:ascii="宋体" w:hAnsi="宋体" w:eastAsia="宋体"/>
                <w:sz w:val="16"/>
              </w:rPr>
              <w:t>203.71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5BB4A5">
            <w:pPr>
              <w:jc w:val="center"/>
            </w:pPr>
            <w:r>
              <w:rPr>
                <w:rFonts w:ascii="宋体" w:hAnsi="宋体" w:eastAsia="宋体"/>
                <w:sz w:val="16"/>
              </w:rPr>
              <w:t>203.71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F94B9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5FDE30">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8F9A7E">
            <w:pPr>
              <w:jc w:val="center"/>
            </w:pPr>
            <w:r>
              <w:rPr>
                <w:rFonts w:ascii="宋体" w:hAnsi="宋体" w:eastAsia="宋体"/>
                <w:sz w:val="16"/>
              </w:rPr>
              <w:t>10</w:t>
            </w:r>
          </w:p>
        </w:tc>
      </w:tr>
      <w:tr w14:paraId="0D5FE725">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A9C92A">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738FB74">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1BAB7CE">
            <w:pPr>
              <w:jc w:val="center"/>
            </w:pPr>
            <w:r>
              <w:rPr>
                <w:rFonts w:ascii="宋体" w:hAnsi="宋体" w:eastAsia="宋体"/>
                <w:sz w:val="16"/>
              </w:rPr>
              <w:t>实际完成情况</w:t>
            </w:r>
          </w:p>
        </w:tc>
      </w:tr>
      <w:tr w14:paraId="2DC968C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261DAB6"/>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411BB99">
            <w:pPr>
              <w:jc w:val="both"/>
            </w:pPr>
            <w:r>
              <w:rPr>
                <w:rFonts w:ascii="宋体" w:hAnsi="宋体" w:eastAsia="宋体"/>
                <w:sz w:val="16"/>
              </w:rPr>
              <w:t>2024年伊协工作要坚持以习近平新时代中国特色社会主义思想为指导，全面学习贯彻党的二十大精神，深入贯彻落实</w:t>
            </w:r>
            <w:r>
              <w:rPr>
                <w:rFonts w:hint="eastAsia" w:ascii="宋体" w:hAnsi="宋体"/>
                <w:sz w:val="16"/>
                <w:lang w:eastAsia="zh-CN"/>
              </w:rPr>
              <w:t>习近平总书记关于加强和改进民族工作的重要思想</w:t>
            </w:r>
            <w:r>
              <w:rPr>
                <w:rFonts w:ascii="宋体" w:hAnsi="宋体" w:eastAsia="宋体"/>
                <w:sz w:val="16"/>
              </w:rPr>
              <w:t>和工作会议精神：（1）协助政府贯彻执行国家的</w:t>
            </w:r>
            <w:r>
              <w:rPr>
                <w:rFonts w:hint="eastAsia" w:ascii="宋体" w:hAnsi="宋体"/>
                <w:sz w:val="16"/>
                <w:lang w:eastAsia="zh-CN"/>
              </w:rPr>
              <w:t>法律法规</w:t>
            </w:r>
            <w:r>
              <w:rPr>
                <w:rFonts w:ascii="宋体" w:hAnsi="宋体" w:eastAsia="宋体"/>
                <w:sz w:val="16"/>
              </w:rPr>
              <w:t>、信仰自由政策，保护正常、合法的活动及界的合法权益，教育引导伊斯兰教人士和信教群众提高爱国主义、社会主义觉悟。（2）在法律、政策范围内开展伊斯兰教教务指导活动，反对民族分裂和非法活动。（3）向党委和政府反映人士和穆斯林信教群众的意见和要求，提出合理化的建议。（4）依照政策规定，对伊斯兰教界人士进行政治和经文考核，做好我州爱国职业人员的培养培训工作；负责伊斯兰教教职人员资格认定的审核申报工作；协助做好中国经学院、自治区经学院在我州的招生工作。（5）负责伊斯兰教教务指导工作。项目目标：在法律、政策范围内开展伊斯兰教教务指导工作，做好我州爱国教职人员的培养培训工作，提高和改善人士的整体素质水平。</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5B57059">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全年预算数203.71万元，全年执行数为203.71万元，总预算执行率为100%。2024年</w:t>
            </w:r>
            <w:r>
              <w:rPr>
                <w:rFonts w:hint="eastAsia" w:ascii="宋体" w:hAnsi="宋体"/>
                <w:sz w:val="16"/>
                <w:lang w:eastAsia="zh-CN"/>
              </w:rPr>
              <w:t>本单位</w:t>
            </w:r>
            <w:r>
              <w:rPr>
                <w:rFonts w:ascii="宋体" w:hAnsi="宋体" w:eastAsia="宋体"/>
                <w:sz w:val="16"/>
              </w:rPr>
              <w:t>完成以下工作内容：1、该项目实际完成走访慰问人士次数3次、2、完成各类学习12次；3.完成人士、党员的思想素质、举办各类党建工作培训班2期，通过该项目的实施，提高和改善人士的整体素质水平，提升了服务质量和工作效率，促进了部门业务开展工作，保障单位机构正常运转。</w:t>
            </w:r>
          </w:p>
        </w:tc>
      </w:tr>
      <w:tr w14:paraId="3B5F0B04">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8B4077">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0255BE">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2847CB">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57B1BC">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B60429">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592328">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22DAFC">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691438">
            <w:pPr>
              <w:jc w:val="center"/>
            </w:pPr>
            <w:r>
              <w:rPr>
                <w:rFonts w:ascii="宋体" w:hAnsi="宋体" w:eastAsia="宋体"/>
                <w:sz w:val="16"/>
              </w:rPr>
              <w:t>得分</w:t>
            </w:r>
          </w:p>
        </w:tc>
      </w:tr>
      <w:tr w14:paraId="5CCD2278">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94F01D">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41DB92">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FE4F3E">
            <w:pPr>
              <w:jc w:val="center"/>
            </w:pPr>
            <w:r>
              <w:rPr>
                <w:rFonts w:ascii="宋体" w:hAnsi="宋体" w:eastAsia="宋体"/>
                <w:sz w:val="16"/>
              </w:rPr>
              <w:t>走访慰问人士次数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5FF2B1">
            <w:pPr>
              <w:jc w:val="center"/>
            </w:pPr>
            <w:r>
              <w:rPr>
                <w:rFonts w:ascii="宋体" w:hAnsi="宋体" w:eastAsia="宋体"/>
                <w:sz w:val="16"/>
              </w:rPr>
              <w:t>&gt;=3次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245BEF">
            <w:pPr>
              <w:jc w:val="center"/>
            </w:pPr>
            <w:r>
              <w:rPr>
                <w:rFonts w:ascii="宋体" w:hAnsi="宋体" w:eastAsia="宋体"/>
                <w:sz w:val="16"/>
              </w:rPr>
              <w:t>昌吉州伊协24年度重点工作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215BCB">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A2226B">
            <w:pPr>
              <w:jc w:val="center"/>
            </w:pPr>
            <w:r>
              <w:rPr>
                <w:rFonts w:ascii="宋体" w:hAnsi="宋体" w:eastAsia="宋体"/>
                <w:sz w:val="16"/>
              </w:rPr>
              <w:t>3次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B914FA">
            <w:pPr>
              <w:jc w:val="center"/>
            </w:pPr>
            <w:r>
              <w:rPr>
                <w:rFonts w:ascii="宋体" w:hAnsi="宋体" w:eastAsia="宋体"/>
                <w:sz w:val="16"/>
              </w:rPr>
              <w:t>20</w:t>
            </w:r>
          </w:p>
        </w:tc>
      </w:tr>
      <w:tr w14:paraId="443CDF4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19BCDF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6131D3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46F4C1">
            <w:pPr>
              <w:jc w:val="center"/>
            </w:pPr>
            <w:r>
              <w:rPr>
                <w:rFonts w:ascii="宋体" w:hAnsi="宋体" w:eastAsia="宋体"/>
                <w:sz w:val="16"/>
              </w:rPr>
              <w:t>完成各类学习次数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263656">
            <w:pPr>
              <w:jc w:val="center"/>
            </w:pPr>
            <w:r>
              <w:rPr>
                <w:rFonts w:ascii="宋体" w:hAnsi="宋体" w:eastAsia="宋体"/>
                <w:sz w:val="16"/>
              </w:rPr>
              <w:t>&gt;=12次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FC8609">
            <w:pPr>
              <w:jc w:val="center"/>
            </w:pPr>
            <w:r>
              <w:rPr>
                <w:rFonts w:ascii="宋体" w:hAnsi="宋体" w:eastAsia="宋体"/>
                <w:sz w:val="16"/>
              </w:rPr>
              <w:t>昌吉州伊协24年度重点工作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B519DD">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87E939">
            <w:pPr>
              <w:jc w:val="center"/>
            </w:pPr>
            <w:r>
              <w:rPr>
                <w:rFonts w:ascii="宋体" w:hAnsi="宋体" w:eastAsia="宋体"/>
                <w:sz w:val="16"/>
              </w:rPr>
              <w:t>12次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784EF7">
            <w:pPr>
              <w:jc w:val="center"/>
            </w:pPr>
            <w:r>
              <w:rPr>
                <w:rFonts w:ascii="宋体" w:hAnsi="宋体" w:eastAsia="宋体"/>
                <w:sz w:val="16"/>
              </w:rPr>
              <w:t>20</w:t>
            </w:r>
          </w:p>
        </w:tc>
      </w:tr>
      <w:tr w14:paraId="73D92E6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6108C6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A548E4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AB194D">
            <w:pPr>
              <w:jc w:val="center"/>
            </w:pPr>
            <w:r>
              <w:rPr>
                <w:rFonts w:ascii="宋体" w:hAnsi="宋体" w:eastAsia="宋体"/>
                <w:sz w:val="16"/>
              </w:rPr>
              <w:t>完成人士、党员的思想素质、举办各类党建工作培训班</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FCE947">
            <w:pPr>
              <w:jc w:val="center"/>
            </w:pPr>
            <w:r>
              <w:rPr>
                <w:rFonts w:ascii="宋体" w:hAnsi="宋体" w:eastAsia="宋体"/>
                <w:sz w:val="16"/>
              </w:rPr>
              <w:t>&gt;=2期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C3D132">
            <w:pPr>
              <w:jc w:val="center"/>
            </w:pPr>
            <w:r>
              <w:rPr>
                <w:rFonts w:ascii="宋体" w:hAnsi="宋体" w:eastAsia="宋体"/>
                <w:sz w:val="16"/>
              </w:rPr>
              <w:t>昌吉州伊协24年度重点工作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5AB176">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63616D">
            <w:pPr>
              <w:jc w:val="center"/>
            </w:pPr>
            <w:r>
              <w:rPr>
                <w:rFonts w:ascii="宋体" w:hAnsi="宋体" w:eastAsia="宋体"/>
                <w:sz w:val="16"/>
              </w:rPr>
              <w:t>2期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103335">
            <w:pPr>
              <w:jc w:val="center"/>
            </w:pPr>
            <w:r>
              <w:rPr>
                <w:rFonts w:ascii="宋体" w:hAnsi="宋体" w:eastAsia="宋体"/>
                <w:sz w:val="16"/>
              </w:rPr>
              <w:t>20</w:t>
            </w:r>
          </w:p>
        </w:tc>
      </w:tr>
      <w:tr w14:paraId="0ED011A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838851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668D6B">
            <w:pPr>
              <w:jc w:val="center"/>
            </w:pPr>
            <w:r>
              <w:rPr>
                <w:rFonts w:ascii="宋体" w:hAnsi="宋体" w:eastAsia="宋体"/>
                <w:sz w:val="16"/>
              </w:rPr>
              <w:t>质量指标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3AD63C">
            <w:pPr>
              <w:jc w:val="center"/>
            </w:pPr>
            <w:r>
              <w:rPr>
                <w:rFonts w:ascii="宋体" w:hAnsi="宋体" w:eastAsia="宋体"/>
                <w:sz w:val="16"/>
              </w:rPr>
              <w:t>督查检查人士学习、培训覆盖率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F89295">
            <w:pPr>
              <w:jc w:val="center"/>
            </w:pPr>
            <w:r>
              <w:rPr>
                <w:rFonts w:ascii="宋体" w:hAnsi="宋体" w:eastAsia="宋体"/>
                <w:sz w:val="16"/>
              </w:rPr>
              <w:t>&lt;=100%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815577">
            <w:pPr>
              <w:jc w:val="center"/>
            </w:pPr>
            <w:r>
              <w:rPr>
                <w:rFonts w:ascii="宋体" w:hAnsi="宋体" w:eastAsia="宋体"/>
                <w:sz w:val="16"/>
              </w:rPr>
              <w:t>昌吉州伊协24年度重点工作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A61C69">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21309F">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DC7D9A">
            <w:pPr>
              <w:jc w:val="center"/>
            </w:pPr>
            <w:r>
              <w:rPr>
                <w:rFonts w:ascii="宋体" w:hAnsi="宋体" w:eastAsia="宋体"/>
                <w:sz w:val="16"/>
              </w:rPr>
              <w:t>15</w:t>
            </w:r>
          </w:p>
        </w:tc>
      </w:tr>
      <w:tr w14:paraId="0DBCF5BC">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B3F43C">
            <w:pPr>
              <w:jc w:val="center"/>
            </w:pPr>
            <w:r>
              <w:rPr>
                <w:rFonts w:ascii="宋体" w:hAnsi="宋体" w:eastAsia="宋体"/>
                <w:sz w:val="16"/>
              </w:rPr>
              <w:t>社会效益</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EEBBF9">
            <w:pPr>
              <w:jc w:val="center"/>
            </w:pPr>
            <w:r>
              <w:rPr>
                <w:rFonts w:ascii="宋体" w:hAnsi="宋体" w:eastAsia="宋体"/>
                <w:sz w:val="16"/>
              </w:rPr>
              <w:t>社会效益指标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23B8A7">
            <w:pPr>
              <w:jc w:val="center"/>
            </w:pPr>
            <w:r>
              <w:rPr>
                <w:rFonts w:ascii="宋体" w:hAnsi="宋体" w:eastAsia="宋体"/>
                <w:sz w:val="16"/>
              </w:rPr>
              <w:t>提高和改善人士的整体素质水平</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4A9CBF">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9512BD">
            <w:pPr>
              <w:jc w:val="center"/>
            </w:pPr>
            <w:r>
              <w:rPr>
                <w:rFonts w:ascii="宋体" w:hAnsi="宋体" w:eastAsia="宋体"/>
                <w:sz w:val="16"/>
              </w:rPr>
              <w:t>昌吉州伊协24年度重点工作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53B755">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E117B2">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84D78B">
            <w:pPr>
              <w:jc w:val="center"/>
            </w:pPr>
            <w:r>
              <w:rPr>
                <w:rFonts w:ascii="宋体" w:hAnsi="宋体" w:eastAsia="宋体"/>
                <w:sz w:val="16"/>
              </w:rPr>
              <w:t>15</w:t>
            </w:r>
          </w:p>
        </w:tc>
      </w:tr>
    </w:tbl>
    <w:p w14:paraId="443F7EB6">
      <w:r>
        <w:br w:type="page"/>
      </w:r>
    </w:p>
    <w:tbl>
      <w:tblPr>
        <w:tblStyle w:val="9"/>
        <w:tblW w:w="0" w:type="auto"/>
        <w:tblInd w:w="0" w:type="dxa"/>
        <w:tblLayout w:type="autofit"/>
        <w:tblCellMar>
          <w:top w:w="0" w:type="dxa"/>
          <w:left w:w="108" w:type="dxa"/>
          <w:bottom w:w="0" w:type="dxa"/>
          <w:right w:w="108" w:type="dxa"/>
        </w:tblCellMar>
      </w:tblPr>
      <w:tblGrid>
        <w:gridCol w:w="609"/>
        <w:gridCol w:w="569"/>
        <w:gridCol w:w="569"/>
        <w:gridCol w:w="609"/>
        <w:gridCol w:w="589"/>
        <w:gridCol w:w="776"/>
        <w:gridCol w:w="696"/>
        <w:gridCol w:w="776"/>
        <w:gridCol w:w="628"/>
        <w:gridCol w:w="569"/>
        <w:gridCol w:w="589"/>
        <w:gridCol w:w="573"/>
        <w:gridCol w:w="572"/>
        <w:gridCol w:w="936"/>
      </w:tblGrid>
      <w:tr w14:paraId="0781CF92">
        <w:tc>
          <w:tcPr>
            <w:tcW w:w="8848" w:type="dxa"/>
            <w:gridSpan w:val="14"/>
            <w:vAlign w:val="center"/>
          </w:tcPr>
          <w:p w14:paraId="687DD246">
            <w:pPr>
              <w:jc w:val="center"/>
            </w:pPr>
            <w:r>
              <w:rPr>
                <w:rFonts w:ascii="宋体" w:hAnsi="宋体" w:eastAsia="宋体"/>
                <w:sz w:val="24"/>
              </w:rPr>
              <w:t>项目支出绩效自评表</w:t>
            </w:r>
          </w:p>
        </w:tc>
      </w:tr>
      <w:tr w14:paraId="6B47E6D7">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14219CE">
            <w:pPr>
              <w:jc w:val="center"/>
            </w:pPr>
            <w:r>
              <w:rPr>
                <w:rFonts w:ascii="宋体" w:hAnsi="宋体" w:eastAsia="宋体"/>
                <w:sz w:val="24"/>
              </w:rPr>
              <w:t>(2024年度)</w:t>
            </w:r>
          </w:p>
        </w:tc>
      </w:tr>
      <w:tr w14:paraId="18C4766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3D689A">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63CB678">
            <w:pPr>
              <w:jc w:val="center"/>
            </w:pPr>
            <w:r>
              <w:rPr>
                <w:rFonts w:ascii="宋体" w:hAnsi="宋体" w:eastAsia="宋体"/>
                <w:sz w:val="16"/>
              </w:rPr>
              <w:t>机关运行补助</w:t>
            </w:r>
          </w:p>
        </w:tc>
      </w:tr>
      <w:tr w14:paraId="4F2A7C2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4A65F">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BB098C4">
            <w:pPr>
              <w:jc w:val="center"/>
            </w:pPr>
            <w:r>
              <w:rPr>
                <w:rFonts w:ascii="宋体" w:hAnsi="宋体" w:eastAsia="宋体"/>
                <w:sz w:val="16"/>
              </w:rPr>
              <w:t>昌吉回族自治州伊斯兰教协会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04EBB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3600C09">
            <w:pPr>
              <w:jc w:val="center"/>
            </w:pPr>
            <w:r>
              <w:rPr>
                <w:rFonts w:ascii="宋体" w:hAnsi="宋体" w:eastAsia="宋体"/>
                <w:sz w:val="16"/>
              </w:rPr>
              <w:t>昌吉回族自治州伊斯兰教协会</w:t>
            </w:r>
          </w:p>
        </w:tc>
      </w:tr>
      <w:tr w14:paraId="0D9963A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458C7E">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A5EC36">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19808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0216D9">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F9FB0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EC4382">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5C6185">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59F01">
            <w:pPr>
              <w:jc w:val="center"/>
            </w:pPr>
            <w:r>
              <w:rPr>
                <w:rFonts w:ascii="宋体" w:hAnsi="宋体" w:eastAsia="宋体"/>
                <w:sz w:val="16"/>
              </w:rPr>
              <w:t>得分</w:t>
            </w:r>
          </w:p>
        </w:tc>
      </w:tr>
      <w:tr w14:paraId="566AA44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9F2A9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3DB6CB">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2A72C8">
            <w:pPr>
              <w:jc w:val="center"/>
            </w:pPr>
            <w:r>
              <w:rPr>
                <w:rFonts w:ascii="宋体" w:hAnsi="宋体" w:eastAsia="宋体"/>
                <w:sz w:val="16"/>
              </w:rPr>
              <w:t>68.00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97D9D6">
            <w:pPr>
              <w:jc w:val="center"/>
            </w:pPr>
            <w:r>
              <w:rPr>
                <w:rFonts w:ascii="宋体" w:hAnsi="宋体" w:eastAsia="宋体"/>
                <w:sz w:val="16"/>
              </w:rPr>
              <w:t>64.12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B94165">
            <w:pPr>
              <w:jc w:val="center"/>
            </w:pPr>
            <w:r>
              <w:rPr>
                <w:rFonts w:ascii="宋体" w:hAnsi="宋体" w:eastAsia="宋体"/>
                <w:sz w:val="16"/>
              </w:rPr>
              <w:t>64.12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AE25AD">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82C3A5">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05829">
            <w:pPr>
              <w:jc w:val="center"/>
            </w:pPr>
            <w:r>
              <w:rPr>
                <w:rFonts w:ascii="宋体" w:hAnsi="宋体" w:eastAsia="宋体"/>
                <w:sz w:val="16"/>
              </w:rPr>
              <w:t>10.00</w:t>
            </w:r>
          </w:p>
        </w:tc>
      </w:tr>
      <w:tr w14:paraId="6B86338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1FBB3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62BD8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EC9904">
            <w:pPr>
              <w:jc w:val="center"/>
            </w:pPr>
            <w:r>
              <w:rPr>
                <w:rFonts w:ascii="宋体" w:hAnsi="宋体" w:eastAsia="宋体"/>
                <w:sz w:val="16"/>
              </w:rPr>
              <w:t>68.00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6E70FF">
            <w:pPr>
              <w:jc w:val="center"/>
            </w:pPr>
            <w:r>
              <w:rPr>
                <w:rFonts w:ascii="宋体" w:hAnsi="宋体" w:eastAsia="宋体"/>
                <w:sz w:val="16"/>
              </w:rPr>
              <w:t>64.12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F930AE">
            <w:pPr>
              <w:jc w:val="center"/>
            </w:pPr>
            <w:r>
              <w:rPr>
                <w:rFonts w:ascii="宋体" w:hAnsi="宋体" w:eastAsia="宋体"/>
                <w:sz w:val="16"/>
              </w:rPr>
              <w:t>64.12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6E9B3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1EE49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F1D10">
            <w:pPr>
              <w:jc w:val="center"/>
            </w:pPr>
            <w:r>
              <w:rPr>
                <w:rFonts w:ascii="宋体" w:hAnsi="宋体" w:eastAsia="宋体"/>
                <w:sz w:val="16"/>
              </w:rPr>
              <w:t>—</w:t>
            </w:r>
          </w:p>
        </w:tc>
      </w:tr>
      <w:tr w14:paraId="0E6C15D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73878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57E3A4">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A5B1F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427E1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A1E44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EB896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509C3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0E7E93">
            <w:pPr>
              <w:jc w:val="center"/>
            </w:pPr>
            <w:r>
              <w:rPr>
                <w:rFonts w:ascii="宋体" w:hAnsi="宋体" w:eastAsia="宋体"/>
                <w:sz w:val="16"/>
              </w:rPr>
              <w:t>—</w:t>
            </w:r>
          </w:p>
        </w:tc>
      </w:tr>
      <w:tr w14:paraId="40EFE9B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23933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235AADB">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07BC16F">
            <w:pPr>
              <w:jc w:val="center"/>
            </w:pPr>
            <w:r>
              <w:rPr>
                <w:rFonts w:ascii="宋体" w:hAnsi="宋体" w:eastAsia="宋体"/>
                <w:sz w:val="16"/>
              </w:rPr>
              <w:t>实际完成情况</w:t>
            </w:r>
          </w:p>
        </w:tc>
      </w:tr>
      <w:tr w14:paraId="383B2D2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4EEA2E"/>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D50ED63">
            <w:pPr>
              <w:jc w:val="both"/>
            </w:pPr>
            <w:r>
              <w:rPr>
                <w:rFonts w:ascii="宋体" w:hAnsi="宋体" w:eastAsia="宋体"/>
                <w:sz w:val="16"/>
              </w:rPr>
              <w:t>1、协助政府贯彻执行国家的</w:t>
            </w:r>
            <w:r>
              <w:rPr>
                <w:rFonts w:hint="eastAsia" w:ascii="宋体" w:hAnsi="宋体"/>
                <w:sz w:val="16"/>
                <w:lang w:eastAsia="zh-CN"/>
              </w:rPr>
              <w:t>法律法规</w:t>
            </w:r>
            <w:r>
              <w:rPr>
                <w:rFonts w:ascii="宋体" w:hAnsi="宋体" w:eastAsia="宋体"/>
                <w:sz w:val="16"/>
              </w:rPr>
              <w:t>、信仰自由政策，保护正常、合法的活动的合法权益，教育引导伊斯兰教人士和信教群众提高爱国主义、社会主义觉悟。2、在法律、政策范围内开展伊斯兰教教务指导活动，反对民族分裂和非法活动。3、向党委和政府反映人士和穆斯林信教群众的意见和要求，提出合理化的建议。4、依照政策规定，对伊斯兰教界人士进行政治和经文考核，做好我州爱国职业人员的培养培训工作；负责伊斯兰教教职人员资格认定的审核申报工作；协助做好中国经学院、自治区经学院在我州的招生工作。5、负责伊斯兰教教务指导工作</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FDDC3E1">
            <w:pPr>
              <w:jc w:val="both"/>
            </w:pPr>
            <w:r>
              <w:rPr>
                <w:rFonts w:ascii="宋体" w:hAnsi="宋体" w:eastAsia="宋体"/>
                <w:sz w:val="16"/>
              </w:rPr>
              <w:t>截至2024年12月31日，该项目实际完成保证单位正常业务运行开展人士交流活动3次、开展教育培训、调研考察工作2次、开展慰问工作3次；通过该项目的实施，提升了服务质量和工作效率，促进了部门业务开展工作，保障了单位机构正常运转。</w:t>
            </w:r>
          </w:p>
        </w:tc>
      </w:tr>
      <w:tr w14:paraId="63CB5D7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B77E10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BB3156">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108A9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F1BF5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F3074">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6BD83E">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BD3FD">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1D1E2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7DC35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020C8E">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09AAA0">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3573C">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44044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C1154">
            <w:pPr>
              <w:jc w:val="center"/>
            </w:pPr>
            <w:r>
              <w:rPr>
                <w:rFonts w:ascii="宋体" w:hAnsi="宋体" w:eastAsia="宋体"/>
                <w:sz w:val="16"/>
              </w:rPr>
              <w:t>偏差原因分析及改进措施</w:t>
            </w:r>
          </w:p>
        </w:tc>
      </w:tr>
      <w:tr w14:paraId="0686D31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3A6A4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85C15E">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7540C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86C194">
            <w:pPr>
              <w:jc w:val="center"/>
            </w:pPr>
            <w:r>
              <w:rPr>
                <w:rFonts w:ascii="宋体" w:hAnsi="宋体" w:eastAsia="宋体"/>
                <w:sz w:val="16"/>
              </w:rPr>
              <w:t>保证单位正常业务运行开展人士交流活动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6883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5C199E">
            <w:pPr>
              <w:jc w:val="center"/>
            </w:pPr>
            <w:r>
              <w:rPr>
                <w:rFonts w:ascii="宋体" w:hAnsi="宋体" w:eastAsia="宋体"/>
                <w:sz w:val="16"/>
              </w:rPr>
              <w:t>&gt;=3次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AB70C8">
            <w:pPr>
              <w:jc w:val="center"/>
            </w:pPr>
            <w:r>
              <w:rPr>
                <w:rFonts w:ascii="宋体" w:hAnsi="宋体" w:eastAsia="宋体"/>
                <w:sz w:val="16"/>
              </w:rPr>
              <w: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90785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A508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C578A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299965">
            <w:pPr>
              <w:jc w:val="center"/>
            </w:pPr>
            <w:r>
              <w:rPr>
                <w:rFonts w:ascii="宋体" w:hAnsi="宋体" w:eastAsia="宋体"/>
                <w:sz w:val="16"/>
              </w:rPr>
              <w: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D6E05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8A1E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A33F4A">
            <w:pPr>
              <w:jc w:val="center"/>
            </w:pPr>
          </w:p>
        </w:tc>
      </w:tr>
      <w:tr w14:paraId="045E8FB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12FC0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C9A8C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BECE4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F8005">
            <w:pPr>
              <w:jc w:val="center"/>
            </w:pPr>
            <w:r>
              <w:rPr>
                <w:rFonts w:ascii="宋体" w:hAnsi="宋体" w:eastAsia="宋体"/>
                <w:sz w:val="16"/>
              </w:rPr>
              <w:t>开展教育培训、调研考察工作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0BACF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D72587">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D4715B">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E77BD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E288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0418A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B5A0F0">
            <w:pPr>
              <w:jc w:val="center"/>
            </w:pPr>
            <w:r>
              <w:rPr>
                <w:rFonts w:ascii="宋体" w:hAnsi="宋体" w:eastAsia="宋体"/>
                <w:sz w:val="16"/>
              </w:rPr>
              <w: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29E50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08679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DAD8B6">
            <w:pPr>
              <w:jc w:val="center"/>
            </w:pPr>
          </w:p>
        </w:tc>
      </w:tr>
      <w:tr w14:paraId="161A0C6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478F5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CC031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72AB0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544B3">
            <w:pPr>
              <w:jc w:val="center"/>
            </w:pPr>
            <w:r>
              <w:rPr>
                <w:rFonts w:ascii="宋体" w:hAnsi="宋体" w:eastAsia="宋体"/>
                <w:sz w:val="16"/>
              </w:rPr>
              <w:t>开展慰问工作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6229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5619D6">
            <w:pPr>
              <w:jc w:val="center"/>
            </w:pPr>
            <w:r>
              <w:rPr>
                <w:rFonts w:ascii="宋体" w:hAnsi="宋体" w:eastAsia="宋体"/>
                <w:sz w:val="16"/>
              </w:rPr>
              <w:t>&gt;=3次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07E3F">
            <w:pPr>
              <w:jc w:val="center"/>
            </w:pPr>
            <w:r>
              <w:rPr>
                <w:rFonts w:ascii="宋体" w:hAnsi="宋体" w:eastAsia="宋体"/>
                <w:sz w:val="16"/>
              </w:rPr>
              <w: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E9652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84067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71FF1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4CA07">
            <w:pPr>
              <w:jc w:val="center"/>
            </w:pPr>
            <w:r>
              <w:rPr>
                <w:rFonts w:ascii="宋体" w:hAnsi="宋体" w:eastAsia="宋体"/>
                <w:sz w:val="16"/>
              </w:rPr>
              <w: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A15E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185E2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59FC50">
            <w:pPr>
              <w:jc w:val="center"/>
            </w:pPr>
          </w:p>
        </w:tc>
      </w:tr>
      <w:tr w14:paraId="1D7316B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47A43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17E89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11216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29B8B">
            <w:pPr>
              <w:jc w:val="center"/>
            </w:pPr>
            <w:r>
              <w:rPr>
                <w:rFonts w:ascii="宋体" w:hAnsi="宋体" w:eastAsia="宋体"/>
                <w:sz w:val="16"/>
              </w:rPr>
              <w:t>开展教育培训、慰问、调研考察工作覆盖率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23580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49E6E9">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D9054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204C2B">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A4566">
            <w:pPr>
              <w:jc w:val="center"/>
            </w:pPr>
            <w:r>
              <w:rPr>
                <w:rFonts w:ascii="宋体" w:hAnsi="宋体" w:eastAsia="宋体"/>
                <w:sz w:val="16"/>
              </w:rPr>
              <w:t>8.89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9153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310820">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B6ED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C488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52DD3">
            <w:pPr>
              <w:jc w:val="center"/>
            </w:pPr>
            <w:r>
              <w:rPr>
                <w:rFonts w:ascii="宋体" w:hAnsi="宋体" w:eastAsia="宋体"/>
                <w:sz w:val="16"/>
              </w:rPr>
              <w:t>年初设置质量指标开展教育培训、慰问、调研考察工作覆盖率为90%，实际完成值为100%，所以偏差率为-11.11%。</w:t>
            </w:r>
          </w:p>
        </w:tc>
      </w:tr>
      <w:tr w14:paraId="16DBDCD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3CE09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7DA2C5">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EA877B">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C1890D">
            <w:pPr>
              <w:jc w:val="center"/>
            </w:pPr>
            <w:r>
              <w:rPr>
                <w:rFonts w:ascii="宋体" w:hAnsi="宋体" w:eastAsia="宋体"/>
                <w:sz w:val="16"/>
              </w:rPr>
              <w:t>调研考察、教育培训费用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9981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CE270C">
            <w:pPr>
              <w:jc w:val="center"/>
            </w:pPr>
            <w:r>
              <w:rPr>
                <w:rFonts w:ascii="宋体" w:hAnsi="宋体" w:eastAsia="宋体"/>
                <w:sz w:val="16"/>
              </w:rPr>
              <w:t>&lt;=30万元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DAED4C">
            <w:pPr>
              <w:jc w:val="center"/>
            </w:pPr>
            <w:r>
              <w:rPr>
                <w:rFonts w:ascii="宋体" w:hAnsi="宋体" w:eastAsia="宋体"/>
                <w:sz w:val="16"/>
              </w:rPr>
              <w:t>=30万元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A506D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8738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E23C0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23964E">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B9DA8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BF5C0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D0DDBE">
            <w:pPr>
              <w:jc w:val="center"/>
            </w:pPr>
          </w:p>
        </w:tc>
      </w:tr>
      <w:tr w14:paraId="7910A28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A50FF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E92B5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53EFD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B9FAB4">
            <w:pPr>
              <w:jc w:val="center"/>
            </w:pPr>
            <w:r>
              <w:rPr>
                <w:rFonts w:ascii="宋体" w:hAnsi="宋体" w:eastAsia="宋体"/>
                <w:sz w:val="16"/>
              </w:rPr>
              <w:t>开展慰问工作业务支出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28DD8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C39FCB">
            <w:pPr>
              <w:jc w:val="center"/>
            </w:pPr>
            <w:r>
              <w:rPr>
                <w:rFonts w:ascii="宋体" w:hAnsi="宋体" w:eastAsia="宋体"/>
                <w:sz w:val="16"/>
              </w:rPr>
              <w:t>&lt;=34.12万元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2D7B74">
            <w:pPr>
              <w:jc w:val="center"/>
            </w:pPr>
            <w:r>
              <w:rPr>
                <w:rFonts w:ascii="宋体" w:hAnsi="宋体" w:eastAsia="宋体"/>
                <w:sz w:val="16"/>
              </w:rPr>
              <w:t>=34.12万元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EC3FF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09449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92B9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CABB46">
            <w:pPr>
              <w:jc w:val="center"/>
            </w:pPr>
            <w:r>
              <w:rPr>
                <w:rFonts w:ascii="宋体" w:hAnsi="宋体" w:eastAsia="宋体"/>
                <w:sz w:val="16"/>
              </w:rPr>
              <w:t>38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FAD23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F09D8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8FD823">
            <w:pPr>
              <w:jc w:val="center"/>
            </w:pPr>
          </w:p>
        </w:tc>
      </w:tr>
      <w:tr w14:paraId="1BE27C9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AB559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C5CCFB">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BB9C7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E21E4">
            <w:pPr>
              <w:jc w:val="center"/>
            </w:pPr>
            <w:r>
              <w:rPr>
                <w:rFonts w:ascii="宋体" w:hAnsi="宋体" w:eastAsia="宋体"/>
                <w:sz w:val="16"/>
              </w:rPr>
              <w:t>是否传递党和政府对人士的关心关爱</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B154D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4A9E92">
            <w:pPr>
              <w:jc w:val="center"/>
            </w:pPr>
            <w:r>
              <w:rPr>
                <w:rFonts w:ascii="宋体" w:hAnsi="宋体" w:eastAsia="宋体"/>
                <w:sz w:val="16"/>
              </w:rPr>
              <w:t>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88A1D">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6BCB9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FC692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3A52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30747">
            <w:pPr>
              <w:jc w:val="center"/>
            </w:pPr>
            <w:r>
              <w:rPr>
                <w:rFonts w:ascii="宋体" w:hAnsi="宋体" w:eastAsia="宋体"/>
                <w:sz w:val="16"/>
              </w:rPr>
              <w:t>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4C1C7C">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8FC35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0039DA">
            <w:pPr>
              <w:jc w:val="center"/>
            </w:pPr>
          </w:p>
        </w:tc>
      </w:tr>
      <w:tr w14:paraId="56A0F99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3CDCE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A9F23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9499E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C3E2A">
            <w:pPr>
              <w:jc w:val="center"/>
            </w:pPr>
            <w:r>
              <w:rPr>
                <w:rFonts w:ascii="宋体" w:hAnsi="宋体" w:eastAsia="宋体"/>
                <w:sz w:val="16"/>
              </w:rPr>
              <w:t>人士满意度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E9F9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B2BF34">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B4E7A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DC59A6">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98121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FB77F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1C08AD">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228D13">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A4765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92F673">
            <w:pPr>
              <w:jc w:val="center"/>
            </w:pPr>
            <w:r>
              <w:rPr>
                <w:rFonts w:ascii="宋体" w:hAnsi="宋体" w:eastAsia="宋体"/>
                <w:sz w:val="16"/>
              </w:rPr>
              <w:t>年初设置质量指标开展教育培训、慰问、调研考察工作覆盖率为90%，实际完成值为100%，所以偏差率为-11.11%。</w:t>
            </w:r>
          </w:p>
        </w:tc>
      </w:tr>
      <w:tr w14:paraId="79C03C2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8C9529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3F01C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173A48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46A494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4B5148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12DAF8">
            <w:pPr>
              <w:jc w:val="center"/>
            </w:pPr>
            <w:r>
              <w:rPr>
                <w:rFonts w:ascii="宋体" w:hAnsi="宋体" w:eastAsia="宋体"/>
                <w:sz w:val="16"/>
              </w:rPr>
              <w:t>98.89分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D30319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D44404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8AF2C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9890D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FC7137"/>
        </w:tc>
      </w:tr>
    </w:tbl>
    <w:p w14:paraId="3C08D8BE">
      <w:r>
        <w:br w:type="page"/>
      </w:r>
    </w:p>
    <w:p w14:paraId="140CAAC1">
      <w:pPr>
        <w:spacing w:line="640" w:lineRule="exact"/>
        <w:ind w:firstLine="640"/>
        <w:jc w:val="both"/>
        <w:outlineLvl w:val="2"/>
      </w:pPr>
      <w:r>
        <w:rPr>
          <w:rFonts w:ascii="黑体" w:hAnsi="黑体" w:eastAsia="黑体"/>
          <w:sz w:val="32"/>
        </w:rPr>
        <w:t>十二、其他需说明的事项</w:t>
      </w:r>
    </w:p>
    <w:p w14:paraId="367EF07C">
      <w:pPr>
        <w:spacing w:line="580" w:lineRule="exact"/>
        <w:ind w:firstLine="640"/>
        <w:jc w:val="both"/>
      </w:pPr>
      <w:r>
        <w:rPr>
          <w:rFonts w:ascii="仿宋_GB2312" w:hAnsi="仿宋_GB2312" w:eastAsia="仿宋_GB2312"/>
          <w:b w:val="0"/>
          <w:sz w:val="32"/>
        </w:rPr>
        <w:t>本单位无其他需说明的事项。</w:t>
      </w:r>
    </w:p>
    <w:p w14:paraId="6E2468EB">
      <w:r>
        <w:br w:type="page"/>
      </w:r>
    </w:p>
    <w:p w14:paraId="29E557FC">
      <w:pPr>
        <w:spacing w:line="240" w:lineRule="auto"/>
        <w:jc w:val="center"/>
        <w:outlineLvl w:val="1"/>
      </w:pPr>
      <w:r>
        <w:rPr>
          <w:rFonts w:ascii="黑体" w:hAnsi="黑体" w:eastAsia="黑体"/>
          <w:sz w:val="32"/>
        </w:rPr>
        <w:t>第三部分 专业名词解释</w:t>
      </w:r>
    </w:p>
    <w:p w14:paraId="30209D75">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2773A5A9">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3D83F4F8">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48E4EEB7">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241E99DC">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22B84C03">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51D7945C">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27F14FC2">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3532FA2C">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5832B47E">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6200FEED">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3EADB7C3">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2619A6B9">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1074AE23">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35C88ADA">
      <w:r>
        <w:br w:type="page"/>
      </w:r>
    </w:p>
    <w:p w14:paraId="796AD0D3">
      <w:pPr>
        <w:spacing w:line="240" w:lineRule="auto"/>
        <w:jc w:val="center"/>
        <w:outlineLvl w:val="1"/>
      </w:pPr>
      <w:r>
        <w:rPr>
          <w:rFonts w:ascii="黑体" w:hAnsi="黑体" w:eastAsia="黑体"/>
          <w:sz w:val="32"/>
        </w:rPr>
        <w:t>第四部分 部门决算报表（见附表）</w:t>
      </w:r>
    </w:p>
    <w:p w14:paraId="66AC09C7">
      <w:pPr>
        <w:spacing w:line="240" w:lineRule="auto"/>
        <w:ind w:firstLine="640"/>
        <w:jc w:val="both"/>
      </w:pPr>
      <w:r>
        <w:rPr>
          <w:rFonts w:ascii="仿宋_GB2312" w:hAnsi="仿宋_GB2312" w:eastAsia="仿宋_GB2312"/>
          <w:b w:val="0"/>
          <w:sz w:val="32"/>
        </w:rPr>
        <w:t>一、《收入支出决算总表》</w:t>
      </w:r>
    </w:p>
    <w:p w14:paraId="45930CF4">
      <w:pPr>
        <w:spacing w:line="240" w:lineRule="auto"/>
        <w:ind w:firstLine="640"/>
        <w:jc w:val="both"/>
      </w:pPr>
      <w:r>
        <w:rPr>
          <w:rFonts w:ascii="仿宋_GB2312" w:hAnsi="仿宋_GB2312" w:eastAsia="仿宋_GB2312"/>
          <w:b w:val="0"/>
          <w:sz w:val="32"/>
        </w:rPr>
        <w:t>二、《收入决算表》</w:t>
      </w:r>
    </w:p>
    <w:p w14:paraId="0FBEEB22">
      <w:pPr>
        <w:spacing w:line="240" w:lineRule="auto"/>
        <w:ind w:firstLine="640"/>
        <w:jc w:val="both"/>
      </w:pPr>
      <w:r>
        <w:rPr>
          <w:rFonts w:ascii="仿宋_GB2312" w:hAnsi="仿宋_GB2312" w:eastAsia="仿宋_GB2312"/>
          <w:b w:val="0"/>
          <w:sz w:val="32"/>
        </w:rPr>
        <w:t>三、《支出决算表》</w:t>
      </w:r>
    </w:p>
    <w:p w14:paraId="05461234">
      <w:pPr>
        <w:spacing w:line="240" w:lineRule="auto"/>
        <w:ind w:firstLine="640"/>
        <w:jc w:val="both"/>
      </w:pPr>
      <w:r>
        <w:rPr>
          <w:rFonts w:ascii="仿宋_GB2312" w:hAnsi="仿宋_GB2312" w:eastAsia="仿宋_GB2312"/>
          <w:b w:val="0"/>
          <w:sz w:val="32"/>
        </w:rPr>
        <w:t>四、《财政拨款收入支出决算总表》</w:t>
      </w:r>
    </w:p>
    <w:p w14:paraId="20887AAD">
      <w:pPr>
        <w:spacing w:line="240" w:lineRule="auto"/>
        <w:ind w:firstLine="640"/>
        <w:jc w:val="both"/>
      </w:pPr>
      <w:r>
        <w:rPr>
          <w:rFonts w:ascii="仿宋_GB2312" w:hAnsi="仿宋_GB2312" w:eastAsia="仿宋_GB2312"/>
          <w:b w:val="0"/>
          <w:sz w:val="32"/>
        </w:rPr>
        <w:t>五、《一般公共预算财政拨款支出决算表》</w:t>
      </w:r>
    </w:p>
    <w:p w14:paraId="3736ECCD">
      <w:pPr>
        <w:spacing w:line="240" w:lineRule="auto"/>
        <w:ind w:firstLine="640"/>
        <w:jc w:val="both"/>
      </w:pPr>
      <w:r>
        <w:rPr>
          <w:rFonts w:ascii="仿宋_GB2312" w:hAnsi="仿宋_GB2312" w:eastAsia="仿宋_GB2312"/>
          <w:b w:val="0"/>
          <w:sz w:val="32"/>
        </w:rPr>
        <w:t>六、《一般公共预算财政拨款基本支出决算表》</w:t>
      </w:r>
    </w:p>
    <w:p w14:paraId="0A1D6484">
      <w:pPr>
        <w:spacing w:line="240" w:lineRule="auto"/>
        <w:ind w:firstLine="640"/>
        <w:jc w:val="both"/>
      </w:pPr>
      <w:r>
        <w:rPr>
          <w:rFonts w:ascii="仿宋_GB2312" w:hAnsi="仿宋_GB2312" w:eastAsia="仿宋_GB2312"/>
          <w:b w:val="0"/>
          <w:sz w:val="32"/>
        </w:rPr>
        <w:t>七、《政府性基金预算财政拨款收入支出决算表》</w:t>
      </w:r>
    </w:p>
    <w:p w14:paraId="350BAF52">
      <w:pPr>
        <w:spacing w:line="240" w:lineRule="auto"/>
        <w:ind w:firstLine="640"/>
        <w:jc w:val="both"/>
      </w:pPr>
      <w:r>
        <w:rPr>
          <w:rFonts w:ascii="仿宋_GB2312" w:hAnsi="仿宋_GB2312" w:eastAsia="仿宋_GB2312"/>
          <w:b w:val="0"/>
          <w:sz w:val="32"/>
        </w:rPr>
        <w:t>八、《国有资本经营预算财政拨款收入支出决算表》</w:t>
      </w:r>
    </w:p>
    <w:p w14:paraId="0ABBA799">
      <w:pPr>
        <w:spacing w:line="240" w:lineRule="auto"/>
        <w:ind w:firstLine="640"/>
        <w:jc w:val="both"/>
      </w:pPr>
      <w:r>
        <w:rPr>
          <w:rFonts w:ascii="仿宋_GB2312" w:hAnsi="仿宋_GB2312" w:eastAsia="仿宋_GB2312"/>
          <w:b w:val="0"/>
          <w:sz w:val="32"/>
        </w:rPr>
        <w:t>九、《财政拨款“三公”经费支出决算表》</w:t>
      </w:r>
    </w:p>
    <w:p w14:paraId="65DBB1A3">
      <w:pPr>
        <w:spacing w:line="240" w:lineRule="auto"/>
        <w:ind w:firstLine="640"/>
        <w:jc w:val="both"/>
      </w:pPr>
    </w:p>
    <w:p w14:paraId="4A531FF5">
      <w:pPr>
        <w:spacing w:line="240" w:lineRule="auto"/>
        <w:ind w:firstLine="640"/>
        <w:jc w:val="both"/>
      </w:pPr>
    </w:p>
    <w:p w14:paraId="615E71F6">
      <w:pPr>
        <w:spacing w:line="240" w:lineRule="auto"/>
        <w:ind w:firstLine="640"/>
        <w:jc w:val="both"/>
      </w:pPr>
    </w:p>
    <w:p w14:paraId="6FC45504">
      <w:pPr>
        <w:spacing w:line="240" w:lineRule="auto"/>
        <w:ind w:firstLine="640"/>
        <w:jc w:val="both"/>
      </w:pPr>
    </w:p>
    <w:p w14:paraId="152519E4">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298CDAA-C8F7-4317-9922-331221CD4A5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226F9170-00FB-47DD-BCE1-A3331CA90D8D}"/>
  </w:font>
  <w:font w:name="仿宋_GB2312">
    <w:altName w:val="仿宋"/>
    <w:panose1 w:val="02010609030101010101"/>
    <w:charset w:val="86"/>
    <w:family w:val="modern"/>
    <w:pitch w:val="default"/>
    <w:sig w:usb0="00000000" w:usb1="00000000" w:usb2="00000000" w:usb3="00000000" w:csb0="00040000" w:csb1="00000000"/>
    <w:embedRegular r:id="rId3" w:fontKey="{1C8EE5EF-43CA-4BEA-A5F4-5707DA40287B}"/>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embedRegular r:id="rId4" w:fontKey="{3FDFD279-BBC5-42A1-AA4A-D4DBE1503D57}"/>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BFA270A"/>
    <w:rsid w:val="4F3F074E"/>
    <w:rsid w:val="50DB5F45"/>
    <w:rsid w:val="52F92565"/>
    <w:rsid w:val="543D17CB"/>
    <w:rsid w:val="55DA564E"/>
    <w:rsid w:val="56E07045"/>
    <w:rsid w:val="583059FA"/>
    <w:rsid w:val="587E6212"/>
    <w:rsid w:val="5AFC6609"/>
    <w:rsid w:val="5F7D4FC2"/>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5272</Words>
  <Characters>5931</Characters>
  <Lines>0</Lines>
  <Paragraphs>0</Paragraphs>
  <TotalTime>6</TotalTime>
  <ScaleCrop>false</ScaleCrop>
  <LinksUpToDate>false</LinksUpToDate>
  <CharactersWithSpaces>5939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忆</cp:lastModifiedBy>
  <cp:lastPrinted>2024-07-22T11:58:00Z</cp:lastPrinted>
  <dcterms:modified xsi:type="dcterms:W3CDTF">2025-10-15T05:58:04Z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B858A68E913346F885B5BC17D4DBEB06_13</vt:lpwstr>
  </property>
  <property fmtid="{D5CDD505-2E9C-101B-9397-08002B2CF9AE}" pid="4" name="KSOTemplateDocerSaveRecord">
    <vt:lpwstr>eyJoZGlkIjoiMzEwNjkzMWMxZWMzNzU0NmUyNzQ2NGY3YzlmZjBhZDUiLCJ1c2VySWQiOiI0OTMxMTE3MjUifQ==</vt:lpwstr>
  </property>
</Properties>
</file>