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79C1EF4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昌吉回族自治州优化营商环境服务中心</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50DCB6AF">
      <w:r>
        <w:br w:type="page"/>
      </w:r>
    </w:p>
    <w:p w14:paraId="0EE63414">
      <w:pPr>
        <w:spacing w:line="640" w:lineRule="exact"/>
        <w:jc w:val="center"/>
        <w:outlineLvl w:val="1"/>
      </w:pPr>
      <w:r>
        <w:rPr>
          <w:rFonts w:ascii="黑体" w:hAnsi="黑体" w:eastAsia="黑体"/>
          <w:sz w:val="32"/>
        </w:rPr>
        <w:t>第一部分 单位概况</w:t>
      </w:r>
    </w:p>
    <w:p w14:paraId="2EA13B4E">
      <w:pPr>
        <w:spacing w:line="640" w:lineRule="exact"/>
        <w:ind w:firstLine="640"/>
        <w:jc w:val="both"/>
        <w:outlineLvl w:val="2"/>
      </w:pPr>
      <w:r>
        <w:rPr>
          <w:rFonts w:ascii="黑体" w:hAnsi="黑体" w:eastAsia="黑体"/>
          <w:sz w:val="32"/>
        </w:rPr>
        <w:t>一、主要职能</w:t>
      </w:r>
    </w:p>
    <w:p w14:paraId="4FBE52D5">
      <w:pPr>
        <w:spacing w:line="580" w:lineRule="exact"/>
        <w:ind w:firstLine="640"/>
        <w:jc w:val="both"/>
      </w:pPr>
      <w:r>
        <w:rPr>
          <w:rFonts w:ascii="仿宋_GB2312" w:hAnsi="仿宋_GB2312" w:eastAsia="仿宋_GB2312"/>
          <w:sz w:val="32"/>
        </w:rPr>
        <w:t>（1）昌吉回族自治州优化营商环境服务中心主要负责牵头推进优化营商环境的服务保障工作。</w:t>
      </w:r>
    </w:p>
    <w:p w14:paraId="6ACD5261">
      <w:pPr>
        <w:spacing w:line="580" w:lineRule="exact"/>
        <w:ind w:firstLine="640"/>
        <w:jc w:val="both"/>
      </w:pPr>
      <w:r>
        <w:rPr>
          <w:rFonts w:ascii="仿宋_GB2312" w:hAnsi="仿宋_GB2312" w:eastAsia="仿宋_GB2312"/>
          <w:sz w:val="32"/>
        </w:rPr>
        <w:t>（2）指导、组织、协调、督促有关部门单位落实优化营商环境相关措施。</w:t>
      </w:r>
    </w:p>
    <w:p w14:paraId="019B9651">
      <w:pPr>
        <w:spacing w:line="580" w:lineRule="exact"/>
        <w:ind w:firstLine="640"/>
        <w:jc w:val="both"/>
      </w:pPr>
      <w:r>
        <w:rPr>
          <w:rFonts w:ascii="仿宋_GB2312" w:hAnsi="仿宋_GB2312" w:eastAsia="仿宋_GB2312"/>
          <w:sz w:val="32"/>
        </w:rPr>
        <w:t>（3）负责优化营商环境绩效考核的具体组织实施工作。</w:t>
      </w:r>
    </w:p>
    <w:p w14:paraId="6434673C">
      <w:pPr>
        <w:spacing w:line="580" w:lineRule="exact"/>
        <w:ind w:firstLine="640"/>
        <w:jc w:val="both"/>
      </w:pPr>
      <w:r>
        <w:rPr>
          <w:rFonts w:ascii="仿宋_GB2312" w:hAnsi="仿宋_GB2312" w:eastAsia="仿宋_GB2312"/>
          <w:sz w:val="32"/>
        </w:rPr>
        <w:t>（4）研究分析优化营商环境存在的问题并提出意见建议。</w:t>
      </w:r>
    </w:p>
    <w:p w14:paraId="690EB6DB">
      <w:pPr>
        <w:spacing w:line="580" w:lineRule="exact"/>
        <w:ind w:firstLine="640"/>
        <w:jc w:val="both"/>
      </w:pPr>
      <w:r>
        <w:rPr>
          <w:rFonts w:ascii="仿宋_GB2312" w:hAnsi="仿宋_GB2312" w:eastAsia="仿宋_GB2312"/>
          <w:sz w:val="32"/>
        </w:rPr>
        <w:t>（5）负责组织开展政府投资项目评审工作。</w:t>
      </w:r>
    </w:p>
    <w:p w14:paraId="3127D2F6">
      <w:pPr>
        <w:spacing w:line="640" w:lineRule="exact"/>
        <w:ind w:firstLine="640"/>
        <w:jc w:val="both"/>
        <w:outlineLvl w:val="2"/>
      </w:pPr>
      <w:r>
        <w:rPr>
          <w:rFonts w:ascii="黑体" w:hAnsi="黑体" w:eastAsia="黑体"/>
          <w:sz w:val="32"/>
        </w:rPr>
        <w:t>二、机构设置及人员情况</w:t>
      </w:r>
    </w:p>
    <w:p w14:paraId="25C56F36">
      <w:pPr>
        <w:spacing w:line="580" w:lineRule="exact"/>
        <w:ind w:firstLine="640"/>
        <w:jc w:val="both"/>
      </w:pPr>
      <w:r>
        <w:rPr>
          <w:rFonts w:ascii="仿宋_GB2312" w:hAnsi="仿宋_GB2312" w:eastAsia="仿宋_GB2312"/>
          <w:sz w:val="32"/>
        </w:rPr>
        <w:t>昌吉回族自治州优化营商环境服务中心2024年度，实有人数13人，其中：在职人员9人，增加0人；离休人员0人，增加0人；退休人员4人,减少1人。</w:t>
      </w:r>
    </w:p>
    <w:p w14:paraId="06C4CDDF">
      <w:pPr>
        <w:spacing w:line="580" w:lineRule="exact"/>
        <w:ind w:firstLine="640"/>
        <w:jc w:val="both"/>
      </w:pPr>
      <w:r>
        <w:rPr>
          <w:rFonts w:ascii="仿宋_GB2312" w:hAnsi="仿宋_GB2312" w:eastAsia="仿宋_GB2312"/>
          <w:sz w:val="32"/>
        </w:rPr>
        <w:t>昌吉回族自治州优化营商环境服务中心无下属预算单位，下设2个科室，分别是：办公室、综合科。</w:t>
      </w:r>
    </w:p>
    <w:p w14:paraId="335DD42C">
      <w:r>
        <w:br w:type="page"/>
      </w:r>
    </w:p>
    <w:p w14:paraId="1E1EBD1F">
      <w:pPr>
        <w:spacing w:line="240" w:lineRule="auto"/>
        <w:jc w:val="center"/>
        <w:outlineLvl w:val="1"/>
      </w:pPr>
      <w:r>
        <w:rPr>
          <w:rFonts w:ascii="黑体" w:hAnsi="黑体" w:eastAsia="黑体"/>
          <w:sz w:val="32"/>
        </w:rPr>
        <w:t>第二部分 部门决算情况说明</w:t>
      </w:r>
    </w:p>
    <w:p w14:paraId="3B36CFBD">
      <w:pPr>
        <w:spacing w:line="640" w:lineRule="exact"/>
        <w:ind w:firstLine="640"/>
        <w:jc w:val="both"/>
        <w:outlineLvl w:val="2"/>
      </w:pPr>
      <w:r>
        <w:rPr>
          <w:rFonts w:ascii="黑体" w:hAnsi="黑体" w:eastAsia="黑体"/>
          <w:sz w:val="32"/>
        </w:rPr>
        <w:t>一、收入支出决算总体情况说明</w:t>
      </w:r>
    </w:p>
    <w:p w14:paraId="737A9B68">
      <w:pPr>
        <w:spacing w:line="580" w:lineRule="exact"/>
        <w:ind w:firstLine="640"/>
        <w:jc w:val="both"/>
      </w:pPr>
      <w:r>
        <w:rPr>
          <w:rFonts w:ascii="仿宋_GB2312" w:hAnsi="仿宋_GB2312" w:eastAsia="仿宋_GB2312"/>
          <w:b/>
          <w:sz w:val="32"/>
        </w:rPr>
        <w:t>2024年度收入总计189.97万元，</w:t>
      </w:r>
      <w:r>
        <w:rPr>
          <w:rFonts w:ascii="仿宋_GB2312" w:hAnsi="仿宋_GB2312" w:eastAsia="仿宋_GB2312"/>
          <w:b w:val="0"/>
          <w:sz w:val="32"/>
        </w:rPr>
        <w:t>其中：本年收入合计179.22万元，使用非财政拨款结余（含专用结余）0.00万元，年初结转和结余10.75万元。</w:t>
      </w:r>
    </w:p>
    <w:p w14:paraId="68FCCCA9">
      <w:pPr>
        <w:spacing w:line="580" w:lineRule="exact"/>
        <w:ind w:firstLine="640"/>
        <w:jc w:val="both"/>
      </w:pPr>
      <w:r>
        <w:rPr>
          <w:rFonts w:ascii="仿宋_GB2312" w:hAnsi="仿宋_GB2312" w:eastAsia="仿宋_GB2312"/>
          <w:b/>
          <w:sz w:val="32"/>
        </w:rPr>
        <w:t>2024年度支出总计189.97万元，</w:t>
      </w:r>
      <w:r>
        <w:rPr>
          <w:rFonts w:ascii="仿宋_GB2312" w:hAnsi="仿宋_GB2312" w:eastAsia="仿宋_GB2312"/>
          <w:b w:val="0"/>
          <w:sz w:val="32"/>
        </w:rPr>
        <w:t>其中：本年支出合计179.34万元，结余分配0.00万元，年末结转和结余10.63万元。</w:t>
      </w:r>
    </w:p>
    <w:p w14:paraId="780408C3">
      <w:pPr>
        <w:spacing w:line="580" w:lineRule="exact"/>
        <w:ind w:firstLine="640"/>
        <w:jc w:val="both"/>
      </w:pPr>
      <w:r>
        <w:rPr>
          <w:rFonts w:ascii="仿宋_GB2312" w:hAnsi="仿宋_GB2312" w:eastAsia="仿宋_GB2312"/>
          <w:b w:val="0"/>
          <w:sz w:val="32"/>
        </w:rPr>
        <w:t>收入支出总体与上年相比，增加21.48万元，增长12.75%，主要原因是：</w:t>
      </w:r>
      <w:r>
        <w:rPr>
          <w:rFonts w:hint="eastAsia" w:ascii="仿宋_GB2312" w:hAnsi="仿宋_GB2312" w:eastAsia="仿宋_GB2312"/>
          <w:b w:val="0"/>
          <w:sz w:val="32"/>
          <w:lang w:val="en-US" w:eastAsia="zh-CN"/>
        </w:rPr>
        <w:t>本年在职人员工资调增，相关人员经费增加</w:t>
      </w:r>
      <w:r>
        <w:rPr>
          <w:rFonts w:ascii="仿宋_GB2312" w:hAnsi="仿宋_GB2312" w:eastAsia="仿宋_GB2312"/>
          <w:b w:val="0"/>
          <w:sz w:val="32"/>
        </w:rPr>
        <w:t>。</w:t>
      </w:r>
    </w:p>
    <w:p w14:paraId="03C28BDB">
      <w:pPr>
        <w:spacing w:line="640" w:lineRule="exact"/>
        <w:ind w:firstLine="640"/>
        <w:jc w:val="both"/>
        <w:outlineLvl w:val="2"/>
      </w:pPr>
      <w:r>
        <w:rPr>
          <w:rFonts w:ascii="黑体" w:hAnsi="黑体" w:eastAsia="黑体"/>
          <w:sz w:val="32"/>
        </w:rPr>
        <w:t>二、收入决算情况说明</w:t>
      </w:r>
    </w:p>
    <w:p w14:paraId="73DFE963">
      <w:pPr>
        <w:spacing w:line="580" w:lineRule="exact"/>
        <w:ind w:firstLine="640"/>
        <w:jc w:val="both"/>
      </w:pPr>
      <w:r>
        <w:rPr>
          <w:rFonts w:ascii="仿宋_GB2312" w:hAnsi="仿宋_GB2312" w:eastAsia="仿宋_GB2312"/>
          <w:b/>
          <w:sz w:val="32"/>
        </w:rPr>
        <w:t>本年收入179.22万元，</w:t>
      </w:r>
      <w:r>
        <w:rPr>
          <w:rFonts w:ascii="仿宋_GB2312" w:hAnsi="仿宋_GB2312" w:eastAsia="仿宋_GB2312"/>
          <w:b w:val="0"/>
          <w:sz w:val="32"/>
        </w:rPr>
        <w:t>其中：财政拨款收入179.19万元，占99.98%；上级补助收入0.00万元，占0.00%；事业收入0.00万元，占0.00%；经营收入0.00万元，占0.00%；附属单位上缴收入0.00万元，占0.00%；其他收入0.03万元，占0.02%。</w:t>
      </w:r>
    </w:p>
    <w:p w14:paraId="15E5DD4D">
      <w:pPr>
        <w:spacing w:line="640" w:lineRule="exact"/>
        <w:ind w:firstLine="640"/>
        <w:jc w:val="both"/>
        <w:outlineLvl w:val="2"/>
      </w:pPr>
      <w:r>
        <w:rPr>
          <w:rFonts w:ascii="黑体" w:hAnsi="黑体" w:eastAsia="黑体"/>
          <w:sz w:val="32"/>
        </w:rPr>
        <w:t>三、支出决算情况说明</w:t>
      </w:r>
    </w:p>
    <w:p w14:paraId="4F431F86">
      <w:pPr>
        <w:spacing w:line="580" w:lineRule="exact"/>
        <w:ind w:firstLine="640"/>
        <w:jc w:val="both"/>
      </w:pPr>
      <w:r>
        <w:rPr>
          <w:rFonts w:ascii="仿宋_GB2312" w:hAnsi="仿宋_GB2312" w:eastAsia="仿宋_GB2312"/>
          <w:b/>
          <w:sz w:val="32"/>
        </w:rPr>
        <w:t>本年支出179.34万元，</w:t>
      </w:r>
      <w:r>
        <w:rPr>
          <w:rFonts w:ascii="仿宋_GB2312" w:hAnsi="仿宋_GB2312" w:eastAsia="仿宋_GB2312"/>
          <w:b w:val="0"/>
          <w:sz w:val="32"/>
        </w:rPr>
        <w:t>其中：基本支出174.19万元，占97.13%；项目支出5.15万元，占2.87%；上缴上级支出0.00万元，占0.00%；经营支出0.00万元，占0.00%；对附属单位补助支出0.00万元，占0.00%。</w:t>
      </w:r>
    </w:p>
    <w:p w14:paraId="0F09B39F">
      <w:pPr>
        <w:spacing w:line="640" w:lineRule="exact"/>
        <w:ind w:firstLine="640"/>
        <w:jc w:val="both"/>
        <w:outlineLvl w:val="2"/>
      </w:pPr>
      <w:r>
        <w:rPr>
          <w:rFonts w:ascii="黑体" w:hAnsi="黑体" w:eastAsia="黑体"/>
          <w:sz w:val="32"/>
        </w:rPr>
        <w:t>四、财政拨款收入支出决算总体情况说明</w:t>
      </w:r>
    </w:p>
    <w:p w14:paraId="6EED77E5">
      <w:pPr>
        <w:spacing w:line="580" w:lineRule="exact"/>
        <w:ind w:firstLine="640"/>
        <w:jc w:val="both"/>
      </w:pPr>
      <w:r>
        <w:rPr>
          <w:rFonts w:ascii="仿宋_GB2312" w:hAnsi="仿宋_GB2312" w:eastAsia="仿宋_GB2312"/>
          <w:b/>
          <w:sz w:val="32"/>
        </w:rPr>
        <w:t>2024年度财政拨款收入总计179.19万元，</w:t>
      </w:r>
      <w:r>
        <w:rPr>
          <w:rFonts w:ascii="仿宋_GB2312" w:hAnsi="仿宋_GB2312" w:eastAsia="仿宋_GB2312"/>
          <w:b w:val="0"/>
          <w:sz w:val="32"/>
        </w:rPr>
        <w:t>其中：年初财政拨款结转和结余0.00万元，本年财政拨款收入179.19万元。</w:t>
      </w:r>
      <w:r>
        <w:rPr>
          <w:rFonts w:ascii="仿宋_GB2312" w:hAnsi="仿宋_GB2312" w:eastAsia="仿宋_GB2312"/>
          <w:b/>
          <w:sz w:val="32"/>
        </w:rPr>
        <w:t>财政拨款支出总计179.19万元，</w:t>
      </w:r>
      <w:r>
        <w:rPr>
          <w:rFonts w:ascii="仿宋_GB2312" w:hAnsi="仿宋_GB2312" w:eastAsia="仿宋_GB2312"/>
          <w:b w:val="0"/>
          <w:sz w:val="32"/>
        </w:rPr>
        <w:t>其中：年末财政拨款结转和结余0.00万元，本年财政拨款支出179.19万元。</w:t>
      </w:r>
    </w:p>
    <w:p w14:paraId="5AFD1D2E">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增加25.00万元，增长16.21%，主要原因是：</w:t>
      </w:r>
      <w:r>
        <w:rPr>
          <w:rFonts w:hint="eastAsia" w:ascii="仿宋_GB2312" w:hAnsi="仿宋_GB2312" w:eastAsia="仿宋_GB2312"/>
          <w:b w:val="0"/>
          <w:sz w:val="32"/>
          <w:lang w:val="en-US" w:eastAsia="zh-CN"/>
        </w:rPr>
        <w:t>本年在职人员工资调增，相关人员经费增加</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年初预算数164.96万元，决算数179.19万元，预决算差异率8.63%，主要原因是：年中追加人员工资、社保、公积金基数调增部分资金，导致预决算存在差异。</w:t>
      </w:r>
    </w:p>
    <w:p w14:paraId="77742EB4">
      <w:pPr>
        <w:spacing w:line="640" w:lineRule="exact"/>
        <w:ind w:firstLine="640"/>
        <w:jc w:val="both"/>
        <w:outlineLvl w:val="2"/>
      </w:pPr>
      <w:r>
        <w:rPr>
          <w:rFonts w:ascii="黑体" w:hAnsi="黑体" w:eastAsia="黑体"/>
          <w:sz w:val="32"/>
        </w:rPr>
        <w:t>五、一般公共预算财政拨款支出决算情况说明</w:t>
      </w:r>
    </w:p>
    <w:p w14:paraId="7A4F9E0A">
      <w:pPr>
        <w:spacing w:line="640" w:lineRule="exact"/>
        <w:ind w:firstLine="640"/>
        <w:jc w:val="both"/>
        <w:outlineLvl w:val="3"/>
      </w:pPr>
      <w:r>
        <w:rPr>
          <w:rFonts w:ascii="楷体_GB2312" w:hAnsi="楷体_GB2312" w:eastAsia="楷体_GB2312"/>
          <w:b/>
          <w:sz w:val="32"/>
        </w:rPr>
        <w:t>（一）一般公共预算财政拨款支出决算总体情况</w:t>
      </w:r>
    </w:p>
    <w:p w14:paraId="3740597D">
      <w:pPr>
        <w:spacing w:line="580" w:lineRule="exact"/>
        <w:ind w:firstLine="640"/>
        <w:jc w:val="both"/>
      </w:pPr>
      <w:r>
        <w:rPr>
          <w:rFonts w:ascii="仿宋_GB2312" w:hAnsi="仿宋_GB2312" w:eastAsia="仿宋_GB2312"/>
          <w:b/>
          <w:sz w:val="32"/>
        </w:rPr>
        <w:t>2024年度一般公共预算财政拨款支出179.19万元，</w:t>
      </w:r>
      <w:r>
        <w:rPr>
          <w:rFonts w:ascii="仿宋_GB2312" w:hAnsi="仿宋_GB2312" w:eastAsia="仿宋_GB2312"/>
          <w:b w:val="0"/>
          <w:sz w:val="32"/>
        </w:rPr>
        <w:t>占本年支出合计的99.92%。</w:t>
      </w:r>
      <w:r>
        <w:rPr>
          <w:rFonts w:ascii="仿宋_GB2312" w:hAnsi="仿宋_GB2312" w:eastAsia="仿宋_GB2312"/>
          <w:b/>
          <w:sz w:val="32"/>
        </w:rPr>
        <w:t>与上年相比，</w:t>
      </w:r>
      <w:r>
        <w:rPr>
          <w:rFonts w:ascii="仿宋_GB2312" w:hAnsi="仿宋_GB2312" w:eastAsia="仿宋_GB2312"/>
          <w:b w:val="0"/>
          <w:sz w:val="32"/>
        </w:rPr>
        <w:t>增加25.00万元，增长16.21%，主要原因是：</w:t>
      </w:r>
      <w:r>
        <w:rPr>
          <w:rFonts w:hint="eastAsia" w:ascii="仿宋_GB2312" w:hAnsi="仿宋_GB2312" w:eastAsia="仿宋_GB2312"/>
          <w:b w:val="0"/>
          <w:sz w:val="32"/>
          <w:lang w:val="en-US" w:eastAsia="zh-CN"/>
        </w:rPr>
        <w:t>本年在职人员工资调增，相关人员经费增加</w:t>
      </w:r>
      <w:r>
        <w:rPr>
          <w:rFonts w:ascii="仿宋_GB2312" w:hAnsi="仿宋_GB2312" w:eastAsia="仿宋_GB2312"/>
          <w:b w:val="0"/>
          <w:sz w:val="32"/>
        </w:rPr>
        <w:t>。</w:t>
      </w:r>
      <w:r>
        <w:rPr>
          <w:rFonts w:ascii="仿宋_GB2312" w:hAnsi="仿宋_GB2312" w:eastAsia="仿宋_GB2312"/>
          <w:b/>
          <w:sz w:val="32"/>
        </w:rPr>
        <w:t>与年初预算相比,</w:t>
      </w:r>
      <w:r>
        <w:rPr>
          <w:rFonts w:ascii="仿宋_GB2312" w:hAnsi="仿宋_GB2312" w:eastAsia="仿宋_GB2312"/>
          <w:b w:val="0"/>
          <w:sz w:val="32"/>
        </w:rPr>
        <w:t>年初预算数164.96万元，决算数179.19万元，预决算差异率8.63%，主要原因是：年中追加人员工资、社保、公积金基数调增部分资金，导致预决算存在差异。</w:t>
      </w:r>
    </w:p>
    <w:p w14:paraId="4D21C1CB">
      <w:pPr>
        <w:spacing w:line="640" w:lineRule="exact"/>
        <w:ind w:firstLine="640"/>
        <w:jc w:val="both"/>
        <w:outlineLvl w:val="3"/>
      </w:pPr>
      <w:r>
        <w:rPr>
          <w:rFonts w:ascii="楷体_GB2312" w:hAnsi="楷体_GB2312" w:eastAsia="楷体_GB2312"/>
          <w:b/>
          <w:sz w:val="32"/>
        </w:rPr>
        <w:t>（二）一般公共预算财政拨款支出决算结构情况</w:t>
      </w:r>
    </w:p>
    <w:p w14:paraId="08823AA2">
      <w:pPr>
        <w:spacing w:line="580" w:lineRule="exact"/>
        <w:ind w:firstLine="640"/>
        <w:jc w:val="both"/>
      </w:pPr>
      <w:r>
        <w:rPr>
          <w:rFonts w:ascii="仿宋_GB2312" w:hAnsi="仿宋_GB2312" w:eastAsia="仿宋_GB2312"/>
          <w:b w:val="0"/>
          <w:sz w:val="32"/>
        </w:rPr>
        <w:t>1.一般公共服务支出(类)131.37万元,占73.31%。</w:t>
      </w:r>
    </w:p>
    <w:p w14:paraId="4B87E454">
      <w:pPr>
        <w:spacing w:line="580" w:lineRule="exact"/>
        <w:ind w:firstLine="640"/>
        <w:jc w:val="both"/>
      </w:pPr>
      <w:r>
        <w:rPr>
          <w:rFonts w:ascii="仿宋_GB2312" w:hAnsi="仿宋_GB2312" w:eastAsia="仿宋_GB2312"/>
          <w:b w:val="0"/>
          <w:sz w:val="32"/>
        </w:rPr>
        <w:t>2.社会保障和就业支出(类)26.51万元,占14.79%。</w:t>
      </w:r>
    </w:p>
    <w:p w14:paraId="2A86A716">
      <w:pPr>
        <w:spacing w:line="580" w:lineRule="exact"/>
        <w:ind w:firstLine="640"/>
        <w:jc w:val="both"/>
      </w:pPr>
      <w:r>
        <w:rPr>
          <w:rFonts w:ascii="仿宋_GB2312" w:hAnsi="仿宋_GB2312" w:eastAsia="仿宋_GB2312"/>
          <w:b w:val="0"/>
          <w:sz w:val="32"/>
        </w:rPr>
        <w:t>3.卫生健康支出(类)8.50万元,占4.74%。</w:t>
      </w:r>
    </w:p>
    <w:p w14:paraId="7348354A">
      <w:pPr>
        <w:spacing w:line="580" w:lineRule="exact"/>
        <w:ind w:firstLine="640"/>
        <w:jc w:val="both"/>
      </w:pPr>
      <w:r>
        <w:rPr>
          <w:rFonts w:ascii="仿宋_GB2312" w:hAnsi="仿宋_GB2312" w:eastAsia="仿宋_GB2312"/>
          <w:b w:val="0"/>
          <w:sz w:val="32"/>
        </w:rPr>
        <w:t>4.住房保障支出(类)12.80万元,占7.14%。</w:t>
      </w:r>
    </w:p>
    <w:p w14:paraId="256F60CC">
      <w:pPr>
        <w:spacing w:line="640" w:lineRule="exact"/>
        <w:ind w:firstLine="640"/>
        <w:jc w:val="both"/>
        <w:outlineLvl w:val="3"/>
      </w:pPr>
      <w:r>
        <w:rPr>
          <w:rFonts w:ascii="楷体_GB2312" w:hAnsi="楷体_GB2312" w:eastAsia="楷体_GB2312"/>
          <w:b/>
          <w:sz w:val="32"/>
        </w:rPr>
        <w:t>（三）一般公共预算财政拨款支出决算具体情况</w:t>
      </w:r>
    </w:p>
    <w:p w14:paraId="38910EBB">
      <w:pPr>
        <w:spacing w:line="580" w:lineRule="exact"/>
        <w:ind w:firstLine="640"/>
        <w:jc w:val="both"/>
      </w:pPr>
      <w:r>
        <w:rPr>
          <w:rFonts w:ascii="仿宋_GB2312" w:hAnsi="仿宋_GB2312" w:eastAsia="仿宋_GB2312"/>
          <w:b w:val="0"/>
          <w:sz w:val="32"/>
        </w:rPr>
        <w:t>1.一般公共服务支出(类)发展与改革事务(款)事业运行(项):支出决算数为126.37万元，比上年决算增加6.50万元，增长5.42%,主要原因是：本年在职人员工资调增，导致相关人员经费较上年有所增加。</w:t>
      </w:r>
    </w:p>
    <w:p w14:paraId="43DC0BBB">
      <w:pPr>
        <w:spacing w:line="580" w:lineRule="exact"/>
        <w:ind w:firstLine="640"/>
        <w:jc w:val="both"/>
      </w:pPr>
      <w:r>
        <w:rPr>
          <w:rFonts w:ascii="仿宋_GB2312" w:hAnsi="仿宋_GB2312" w:eastAsia="仿宋_GB2312"/>
          <w:b w:val="0"/>
          <w:sz w:val="32"/>
        </w:rPr>
        <w:t>2.一般公共服务支出(类)发展与改革事务(款)其他发展与改革事务支出(项):支出决算数为5.00万元，比上年决算减少5.00万元，下降50.00%,主要原因是：本年优化营商环境业务宣传项目经费较上年减少。</w:t>
      </w:r>
    </w:p>
    <w:p w14:paraId="3513A425">
      <w:pPr>
        <w:spacing w:line="580" w:lineRule="exact"/>
        <w:ind w:firstLine="640"/>
        <w:jc w:val="both"/>
      </w:pPr>
      <w:r>
        <w:rPr>
          <w:rFonts w:ascii="仿宋_GB2312" w:hAnsi="仿宋_GB2312" w:eastAsia="仿宋_GB2312"/>
          <w:b w:val="0"/>
          <w:sz w:val="32"/>
        </w:rPr>
        <w:t>3.社会保障和就业支出(类)行政事业单位养老支出(款)事业单位离退休(项):支出决算数为2.72万元，比上年决算增加0.99万元，增长57.23%,主要原因是：本年增加退休人员基础绩效奖，退休费支出增加。</w:t>
      </w:r>
    </w:p>
    <w:p w14:paraId="1AA1203A">
      <w:pPr>
        <w:spacing w:line="580" w:lineRule="exact"/>
        <w:ind w:firstLine="640"/>
        <w:jc w:val="both"/>
      </w:pPr>
      <w:r>
        <w:rPr>
          <w:rFonts w:ascii="仿宋_GB2312" w:hAnsi="仿宋_GB2312" w:eastAsia="仿宋_GB2312"/>
          <w:b w:val="0"/>
          <w:sz w:val="32"/>
        </w:rPr>
        <w:t>4.社会保障和就业支出(类)行政事业单位养老支出(款)机关事业单位基本养老保险缴费支出(项):支出决算数为15.86万元，比上年决算增加7.87万元，增长98.50%,主要原因是：本年在职人员工资基数调增，养老缴费基数上涨，相应支出增加。</w:t>
      </w:r>
    </w:p>
    <w:p w14:paraId="056DDA20">
      <w:pPr>
        <w:spacing w:line="580" w:lineRule="exact"/>
        <w:ind w:firstLine="640"/>
        <w:jc w:val="both"/>
      </w:pPr>
      <w:r>
        <w:rPr>
          <w:rFonts w:ascii="仿宋_GB2312" w:hAnsi="仿宋_GB2312" w:eastAsia="仿宋_GB2312"/>
          <w:b w:val="0"/>
          <w:sz w:val="32"/>
        </w:rPr>
        <w:t>5.社会保障和就业支出(类)行政事业单位养老支出(款)机关事业单位职业年金缴费支出(项):支出决算数为7.93万元，比上年决算增加3.94万元，增长98.75%,主要原因是：本年在职人员工资基数调增，职业年金缴费支出增加。</w:t>
      </w:r>
    </w:p>
    <w:p w14:paraId="4C49019E">
      <w:pPr>
        <w:spacing w:line="580" w:lineRule="exact"/>
        <w:ind w:firstLine="640"/>
        <w:jc w:val="both"/>
      </w:pPr>
      <w:r>
        <w:rPr>
          <w:rFonts w:ascii="仿宋_GB2312" w:hAnsi="仿宋_GB2312" w:eastAsia="仿宋_GB2312"/>
          <w:b w:val="0"/>
          <w:sz w:val="32"/>
        </w:rPr>
        <w:t>6.卫生健康支出(类)行政事业单位医疗(款)事业单位医疗(项):支出决算数为7.93万元，比上年决算增加3.94万元，增长98.75%,主要原因是：本年在职人员工资基数调增，医疗缴费基数上涨，相应支出增加。</w:t>
      </w:r>
    </w:p>
    <w:p w14:paraId="0D05E929">
      <w:pPr>
        <w:spacing w:line="580" w:lineRule="exact"/>
        <w:ind w:firstLine="640"/>
        <w:jc w:val="both"/>
      </w:pPr>
      <w:r>
        <w:rPr>
          <w:rFonts w:ascii="仿宋_GB2312" w:hAnsi="仿宋_GB2312" w:eastAsia="仿宋_GB2312"/>
          <w:b w:val="0"/>
          <w:sz w:val="32"/>
        </w:rPr>
        <w:t>7.卫生健康支出(类)行政事业单位医疗(款)公务员医疗补助(项):支出决算数为0.50万元，比上年决算增加0.25万元，增长100.00%,主要原因是：本年在职人员工资基数调增，医疗缴费基数上涨，相应支出增加。</w:t>
      </w:r>
    </w:p>
    <w:p w14:paraId="421C7606">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8.卫生健康支出(类)行政事业单位医疗(款)其他行政事业单位医疗支出(项):支出决算数为0.08万元，比上年决算增加0.03万元，增长60.00%,主要原因是：本年在职人员工资基数调增，医疗缴费基数上涨，相应支出增加。</w:t>
      </w:r>
    </w:p>
    <w:p w14:paraId="4AEF2DEC">
      <w:pPr>
        <w:spacing w:line="580" w:lineRule="exact"/>
        <w:ind w:firstLine="640"/>
        <w:jc w:val="both"/>
      </w:pPr>
      <w:r>
        <w:rPr>
          <w:rFonts w:ascii="仿宋_GB2312" w:hAnsi="仿宋_GB2312" w:eastAsia="仿宋_GB2312"/>
          <w:b w:val="0"/>
          <w:sz w:val="32"/>
        </w:rPr>
        <w:t>9.住房保障支出(类)住房改革支出(款)住房公积金(项):支出决算数为12.80万元，比上年决算增加6.48万元，增长102.53%,主要原因是：本年在职人员工资基数调增，公积金缴费基数上涨，相应支出增加。</w:t>
      </w:r>
    </w:p>
    <w:p w14:paraId="2ED92D0B">
      <w:pPr>
        <w:spacing w:line="640" w:lineRule="exact"/>
        <w:ind w:firstLine="640"/>
        <w:jc w:val="both"/>
        <w:outlineLvl w:val="2"/>
      </w:pPr>
      <w:r>
        <w:rPr>
          <w:rFonts w:ascii="黑体" w:hAnsi="黑体" w:eastAsia="黑体"/>
          <w:sz w:val="32"/>
        </w:rPr>
        <w:t>六、一般公共预算财政拨款基本支出决算情况说明</w:t>
      </w:r>
    </w:p>
    <w:p w14:paraId="6C9F7092">
      <w:pPr>
        <w:spacing w:line="580" w:lineRule="exact"/>
        <w:ind w:firstLine="640"/>
        <w:jc w:val="both"/>
      </w:pPr>
      <w:r>
        <w:rPr>
          <w:rFonts w:ascii="仿宋_GB2312" w:hAnsi="仿宋_GB2312" w:eastAsia="仿宋_GB2312"/>
          <w:b w:val="0"/>
          <w:sz w:val="32"/>
        </w:rPr>
        <w:t>2024年度一般公共预算财政拨款基本支出174.19万元，其中：</w:t>
      </w:r>
      <w:r>
        <w:rPr>
          <w:rFonts w:ascii="仿宋_GB2312" w:hAnsi="仿宋_GB2312" w:eastAsia="仿宋_GB2312"/>
          <w:b/>
          <w:sz w:val="32"/>
        </w:rPr>
        <w:t>人员经费161.52万元，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包括：基本工资、津贴补贴、奖金、绩效工资、机关事业单位基本养老保险缴费、职业年金缴费、职工基本医疗保险缴费、公务员医疗补助缴费、其他社会保障缴费、住房公积金、退休费、奖励金。</w:t>
      </w:r>
    </w:p>
    <w:p w14:paraId="44AB7DCA">
      <w:pPr>
        <w:spacing w:line="580" w:lineRule="exact"/>
        <w:ind w:firstLine="640"/>
        <w:jc w:val="both"/>
      </w:pPr>
      <w:r>
        <w:rPr>
          <w:rFonts w:ascii="仿宋_GB2312" w:hAnsi="仿宋_GB2312" w:eastAsia="仿宋_GB2312"/>
          <w:b/>
          <w:sz w:val="32"/>
        </w:rPr>
        <w:t>公用经费12.67万元，</w:t>
      </w:r>
      <w:r>
        <w:rPr>
          <w:rFonts w:ascii="仿宋_GB2312" w:hAnsi="仿宋_GB2312" w:eastAsia="仿宋_GB2312"/>
          <w:b w:val="0"/>
          <w:sz w:val="32"/>
        </w:rPr>
        <w:t>包括：办公费、印刷费、手续费、水费、电费、邮电费、物业管理费、差旅费、维修（护）费、培训费、工会经费、福利费、公务用车运行维护费、其他商品和服务支出。</w:t>
      </w:r>
    </w:p>
    <w:p w14:paraId="54D62E31">
      <w:pPr>
        <w:spacing w:line="640" w:lineRule="exact"/>
        <w:ind w:firstLine="640"/>
        <w:jc w:val="both"/>
        <w:outlineLvl w:val="2"/>
      </w:pPr>
      <w:r>
        <w:rPr>
          <w:rFonts w:ascii="黑体" w:hAnsi="黑体" w:eastAsia="黑体"/>
          <w:sz w:val="32"/>
        </w:rPr>
        <w:t>七、政府性基金预算财政拨款收入支出决算情况说明</w:t>
      </w:r>
    </w:p>
    <w:p w14:paraId="3DA6189A">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A808978">
      <w:pPr>
        <w:spacing w:line="640" w:lineRule="exact"/>
        <w:ind w:firstLine="640"/>
        <w:jc w:val="both"/>
        <w:outlineLvl w:val="2"/>
      </w:pPr>
      <w:r>
        <w:rPr>
          <w:rFonts w:ascii="黑体" w:hAnsi="黑体" w:eastAsia="黑体"/>
          <w:sz w:val="32"/>
        </w:rPr>
        <w:t>八、国有资本经营预算财政拨款收入支出决算情况说明</w:t>
      </w:r>
    </w:p>
    <w:p w14:paraId="59BA7CBB">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01B36D2">
      <w:pPr>
        <w:spacing w:line="640" w:lineRule="exact"/>
        <w:ind w:firstLine="640"/>
        <w:jc w:val="both"/>
        <w:outlineLvl w:val="2"/>
      </w:pPr>
      <w:r>
        <w:rPr>
          <w:rFonts w:ascii="黑体" w:hAnsi="黑体" w:eastAsia="黑体"/>
          <w:sz w:val="32"/>
        </w:rPr>
        <w:t>九、财政拨款“三公”经费支出决算情况说明</w:t>
      </w:r>
    </w:p>
    <w:p w14:paraId="07113140">
      <w:pPr>
        <w:spacing w:line="580" w:lineRule="exact"/>
        <w:ind w:firstLine="640"/>
        <w:jc w:val="both"/>
      </w:pPr>
      <w:r>
        <w:rPr>
          <w:rFonts w:ascii="仿宋_GB2312" w:hAnsi="仿宋_GB2312" w:eastAsia="仿宋_GB2312"/>
          <w:b/>
          <w:sz w:val="32"/>
        </w:rPr>
        <w:t>2024年度财政拨款“三公”经费支出2.00万元，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2.00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23FC9514">
      <w:pPr>
        <w:spacing w:line="580" w:lineRule="exact"/>
        <w:ind w:firstLine="640"/>
        <w:jc w:val="both"/>
      </w:pPr>
      <w:r>
        <w:rPr>
          <w:rFonts w:ascii="仿宋_GB2312" w:hAnsi="仿宋_GB2312" w:eastAsia="仿宋_GB2312"/>
          <w:b/>
          <w:sz w:val="32"/>
        </w:rPr>
        <w:t>具体情况如下：</w:t>
      </w:r>
    </w:p>
    <w:p w14:paraId="6AED16F6">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0125E85C">
      <w:pPr>
        <w:spacing w:line="580" w:lineRule="exact"/>
        <w:ind w:firstLine="640"/>
        <w:jc w:val="both"/>
      </w:pPr>
      <w:r>
        <w:rPr>
          <w:rFonts w:ascii="仿宋_GB2312" w:hAnsi="仿宋_GB2312" w:eastAsia="仿宋_GB2312"/>
          <w:b w:val="0"/>
          <w:sz w:val="32"/>
        </w:rPr>
        <w:t>公务用车购置及运行维护费2.00万元，其中：公务用车购置费0.00万元，公务用车运行维护费2.00万元。公务用车运行维护费开支内容包括车辆加油费、维修费、保险费、审车费等。公务用车购置数0辆，公务用车保有量1辆。国有资产占用情况中固定资产车辆0辆，与公务用车保有量差异原因是：借用其他单位车辆，车辆费用由本单位支付。</w:t>
      </w:r>
    </w:p>
    <w:p w14:paraId="2880B814">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0A399457">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2.00万元，决算数2.00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2.00万元，决算数2.00万元，预决算差异率0.00%，主要原因是：严格按照预算执行，预决算无差异。公务接待费全年预算数0.00万元，决算数0.00万元，预决算差异率0.00%，主要原因是：本单位无公务接待费。</w:t>
      </w:r>
    </w:p>
    <w:p w14:paraId="43DE68B0">
      <w:pPr>
        <w:spacing w:line="640" w:lineRule="exact"/>
        <w:ind w:firstLine="640"/>
        <w:jc w:val="both"/>
        <w:outlineLvl w:val="2"/>
      </w:pPr>
      <w:r>
        <w:rPr>
          <w:rFonts w:ascii="黑体" w:hAnsi="黑体" w:eastAsia="黑体"/>
          <w:sz w:val="32"/>
        </w:rPr>
        <w:t>十、其他重要事项的情况说明</w:t>
      </w:r>
    </w:p>
    <w:p w14:paraId="72E7A349">
      <w:pPr>
        <w:spacing w:line="640" w:lineRule="exact"/>
        <w:ind w:firstLine="640"/>
        <w:jc w:val="both"/>
        <w:outlineLvl w:val="3"/>
      </w:pPr>
      <w:r>
        <w:rPr>
          <w:rFonts w:ascii="楷体_GB2312" w:hAnsi="楷体_GB2312" w:eastAsia="楷体_GB2312"/>
          <w:b/>
          <w:sz w:val="32"/>
        </w:rPr>
        <w:t>（一）机关运行经费及公用经费支出情况</w:t>
      </w:r>
    </w:p>
    <w:p w14:paraId="3E47FB63">
      <w:pPr>
        <w:spacing w:line="580" w:lineRule="exact"/>
        <w:ind w:firstLine="640"/>
        <w:jc w:val="both"/>
      </w:pPr>
      <w:r>
        <w:rPr>
          <w:rFonts w:ascii="仿宋_GB2312" w:hAnsi="仿宋_GB2312" w:eastAsia="仿宋_GB2312"/>
          <w:b w:val="0"/>
          <w:sz w:val="32"/>
        </w:rPr>
        <w:t>2024年度昌吉回族自治州优化营商环境服务中心（事业单位）公用经费支出12.67万元，比上年增加5.16万元，增长68.71%，主要原因是：本年更新、维护补充办公用品，导致公用经费较上年增加。</w:t>
      </w:r>
    </w:p>
    <w:p w14:paraId="39B00C18">
      <w:pPr>
        <w:spacing w:line="640" w:lineRule="exact"/>
        <w:ind w:firstLine="640"/>
        <w:jc w:val="both"/>
        <w:outlineLvl w:val="3"/>
      </w:pPr>
      <w:r>
        <w:rPr>
          <w:rFonts w:ascii="楷体_GB2312" w:hAnsi="楷体_GB2312" w:eastAsia="楷体_GB2312"/>
          <w:b/>
          <w:sz w:val="32"/>
        </w:rPr>
        <w:t>（二）政府采购情况</w:t>
      </w:r>
    </w:p>
    <w:p w14:paraId="10269281">
      <w:pPr>
        <w:spacing w:line="580" w:lineRule="exact"/>
        <w:ind w:firstLine="640"/>
        <w:jc w:val="both"/>
      </w:pPr>
      <w:r>
        <w:rPr>
          <w:rFonts w:ascii="仿宋_GB2312" w:hAnsi="仿宋_GB2312" w:eastAsia="仿宋_GB2312"/>
          <w:b w:val="0"/>
          <w:sz w:val="32"/>
        </w:rPr>
        <w:t>2024年度政府采购支出总额1.52万元，其中：政府采购货物支出0.41万元、政府采购工程支出0.00万元、政府采购服务支出1.11万元。</w:t>
      </w:r>
    </w:p>
    <w:p w14:paraId="02793321">
      <w:pPr>
        <w:spacing w:line="580" w:lineRule="exact"/>
        <w:ind w:firstLine="640"/>
        <w:jc w:val="both"/>
      </w:pPr>
      <w:r>
        <w:rPr>
          <w:rFonts w:ascii="仿宋_GB2312" w:hAnsi="仿宋_GB2312" w:eastAsia="仿宋_GB2312"/>
          <w:b w:val="0"/>
          <w:sz w:val="32"/>
        </w:rPr>
        <w:t>授予中小企业合同金额1.28万元，占政府采购支出总额的84.21%，其中：授予小微企业合同金额1.01万元，占政府采购支出总额的66.45%。</w:t>
      </w:r>
    </w:p>
    <w:p w14:paraId="000D6A3C">
      <w:pPr>
        <w:spacing w:line="640" w:lineRule="exact"/>
        <w:ind w:firstLine="640"/>
        <w:jc w:val="both"/>
        <w:outlineLvl w:val="3"/>
      </w:pPr>
      <w:r>
        <w:rPr>
          <w:rFonts w:ascii="楷体_GB2312" w:hAnsi="楷体_GB2312" w:eastAsia="楷体_GB2312"/>
          <w:b/>
          <w:sz w:val="32"/>
        </w:rPr>
        <w:t>（三）国有资产占用情况说明</w:t>
      </w:r>
    </w:p>
    <w:p w14:paraId="70C2852A">
      <w:pPr>
        <w:spacing w:line="580" w:lineRule="exact"/>
        <w:ind w:firstLine="640"/>
        <w:jc w:val="both"/>
      </w:pPr>
      <w:r>
        <w:rPr>
          <w:rFonts w:ascii="仿宋_GB2312" w:hAnsi="仿宋_GB2312" w:eastAsia="仿宋_GB2312"/>
          <w:b w:val="0"/>
          <w:sz w:val="32"/>
        </w:rPr>
        <w:t>截至2024年12月31日，房屋300.00平方米，价值29.04万元。车辆0辆，价值0.00万元，其中：副部（省）级及以上领导用车0辆、主要负责人用车0辆、机要通信用车0辆、应急保障用车0辆、执法执勤用车0辆、特种专业技术用车0辆、离退休干部服务用车0辆、其他用车0辆，其他用车主要是：</w:t>
      </w:r>
      <w:r>
        <w:rPr>
          <w:rFonts w:hint="eastAsia" w:ascii="仿宋_GB2312" w:hAnsi="仿宋_GB2312" w:eastAsia="仿宋_GB2312"/>
          <w:b w:val="0"/>
          <w:sz w:val="32"/>
          <w:lang w:eastAsia="zh-CN"/>
        </w:rPr>
        <w:t>本单位</w:t>
      </w:r>
      <w:r>
        <w:rPr>
          <w:rFonts w:ascii="仿宋_GB2312" w:hAnsi="仿宋_GB2312" w:eastAsia="仿宋_GB2312"/>
          <w:b w:val="0"/>
          <w:sz w:val="32"/>
        </w:rPr>
        <w:t>无其他用车。单价100万元（含）以上设备（不含车辆）0台（套）。</w:t>
      </w:r>
    </w:p>
    <w:p w14:paraId="1B405180">
      <w:pPr>
        <w:spacing w:line="640" w:lineRule="exact"/>
        <w:ind w:firstLine="640"/>
        <w:jc w:val="both"/>
        <w:outlineLvl w:val="2"/>
      </w:pPr>
      <w:r>
        <w:rPr>
          <w:rFonts w:ascii="黑体" w:hAnsi="黑体" w:eastAsia="黑体"/>
          <w:sz w:val="32"/>
        </w:rPr>
        <w:t>十一、预算绩效的情况说明</w:t>
      </w:r>
    </w:p>
    <w:p w14:paraId="1A490E1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189.97万元，实际执行总额179.34万元；预算绩效评价项目1个，全年预算数9.46万元，全年执行数8.85万元。预算绩效管理取得的成效：1、建立健全了预算管理规章制度，更严格</w:t>
      </w:r>
      <w:r>
        <w:rPr>
          <w:rFonts w:hint="eastAsia" w:ascii="仿宋_GB2312" w:hAnsi="仿宋_GB2312" w:eastAsia="仿宋_GB2312"/>
          <w:b w:val="0"/>
          <w:sz w:val="32"/>
          <w:lang w:eastAsia="zh-CN"/>
        </w:rPr>
        <w:t>地</w:t>
      </w:r>
      <w:r>
        <w:rPr>
          <w:rFonts w:ascii="仿宋_GB2312" w:hAnsi="仿宋_GB2312" w:eastAsia="仿宋_GB2312"/>
          <w:b w:val="0"/>
          <w:sz w:val="32"/>
        </w:rPr>
        <w:t>按照预算编制的原则和要求做好当年预算编制工作；2、在预算绩效管理工作中可以更</w:t>
      </w:r>
      <w:r>
        <w:rPr>
          <w:rFonts w:hint="eastAsia" w:ascii="仿宋_GB2312" w:hAnsi="仿宋_GB2312" w:eastAsia="仿宋_GB2312"/>
          <w:b w:val="0"/>
          <w:sz w:val="32"/>
          <w:lang w:eastAsia="zh-CN"/>
        </w:rPr>
        <w:t>合理地</w:t>
      </w:r>
      <w:r>
        <w:rPr>
          <w:rFonts w:ascii="仿宋_GB2312" w:hAnsi="仿宋_GB2312" w:eastAsia="仿宋_GB2312"/>
          <w:b w:val="0"/>
          <w:sz w:val="32"/>
        </w:rPr>
        <w:t>安排各项资金；3、</w:t>
      </w:r>
      <w:r>
        <w:rPr>
          <w:rFonts w:hint="eastAsia" w:ascii="仿宋_GB2312" w:hAnsi="仿宋_GB2312" w:eastAsia="仿宋_GB2312"/>
          <w:b w:val="0"/>
          <w:sz w:val="32"/>
          <w:lang w:eastAsia="zh-CN"/>
        </w:rPr>
        <w:t>本单位</w:t>
      </w:r>
      <w:r>
        <w:rPr>
          <w:rFonts w:ascii="仿宋_GB2312" w:hAnsi="仿宋_GB2312" w:eastAsia="仿宋_GB2312"/>
          <w:b w:val="0"/>
          <w:sz w:val="32"/>
        </w:rPr>
        <w:t>的工作</w:t>
      </w:r>
      <w:r>
        <w:rPr>
          <w:rFonts w:hint="eastAsia" w:ascii="仿宋_GB2312" w:hAnsi="仿宋_GB2312" w:eastAsia="仿宋_GB2312"/>
          <w:b w:val="0"/>
          <w:sz w:val="32"/>
          <w:lang w:eastAsia="zh-CN"/>
        </w:rPr>
        <w:t>更好地</w:t>
      </w:r>
      <w:r>
        <w:rPr>
          <w:rFonts w:ascii="仿宋_GB2312" w:hAnsi="仿宋_GB2312" w:eastAsia="仿宋_GB2312"/>
          <w:b w:val="0"/>
          <w:sz w:val="32"/>
        </w:rPr>
        <w:t>按照轻重缓急顺序原则，优先安排了昌吉州优化营商环境服务中心与融媒体中心合作宣传营商政策业务工作的经费，切实优化资源配置，提高了资金使用的效率和效果。发现的问题及原因：1、内控制度不完善，随着资金管理改革的进一步推进，</w:t>
      </w:r>
      <w:r>
        <w:rPr>
          <w:rFonts w:hint="eastAsia" w:ascii="仿宋_GB2312" w:hAnsi="仿宋_GB2312" w:eastAsia="仿宋_GB2312"/>
          <w:b w:val="0"/>
          <w:sz w:val="32"/>
          <w:lang w:eastAsia="zh-CN"/>
        </w:rPr>
        <w:t>本单位</w:t>
      </w:r>
      <w:r>
        <w:rPr>
          <w:rFonts w:ascii="仿宋_GB2312" w:hAnsi="仿宋_GB2312" w:eastAsia="仿宋_GB2312"/>
          <w:b w:val="0"/>
          <w:sz w:val="32"/>
        </w:rPr>
        <w:t>内部机构进行了相应的优化，建立健全了财务管理制度，固定资产管理制度，差旅费报销制度等，但仍需进一步强化财务约束监督体制；2、企业业务负责人员水平参差不齐，个别企业优化营商管理水平不高，不利于提高企业管理水平；3、业务人员绩效管理意识有待增强，未能全面深入认识理解绩效管理工作的意义。绩效管理经验不足，预算绩效管理工作有待进一步。下一步改进措施：1、进一步完善单位内控制度，建立完善的财务管理制度，加强财务监督体制，使绩效管理得到进一步优化；2、进一步完善单位内控制度，建立完善的财务管理制度，加强财务监督体制，使绩效管理得到进一步优化；3、进一步加强单位内部机构的预算管理意识，严格按照预算编制的相关制度和要求进行预算编制，加强单位财务管理，健全单位财务管理制度体系，规范单位财务行为；4、继续加强《中华人民共和国预算法》及《</w:t>
      </w:r>
      <w:r>
        <w:rPr>
          <w:rFonts w:hint="eastAsia" w:ascii="仿宋_GB2312" w:hAnsi="仿宋_GB2312" w:eastAsia="仿宋_GB2312"/>
          <w:b w:val="0"/>
          <w:sz w:val="32"/>
          <w:lang w:eastAsia="zh-CN"/>
        </w:rPr>
        <w:t>中华人民共和国预算法实施条例</w:t>
      </w:r>
      <w:r>
        <w:rPr>
          <w:rFonts w:ascii="仿宋_GB2312" w:hAnsi="仿宋_GB2312" w:eastAsia="仿宋_GB2312"/>
          <w:b w:val="0"/>
          <w:sz w:val="32"/>
        </w:rPr>
        <w:t>》的宣传、学习贯彻力度；5、提高资金使用率，及时支付；6</w:t>
      </w:r>
      <w:r>
        <w:rPr>
          <w:rFonts w:hint="eastAsia" w:ascii="仿宋_GB2312" w:hAnsi="仿宋_GB2312" w:eastAsia="仿宋_GB2312"/>
          <w:b w:val="0"/>
          <w:sz w:val="32"/>
          <w:lang w:eastAsia="zh-CN"/>
        </w:rPr>
        <w:t>、在</w:t>
      </w:r>
      <w:r>
        <w:rPr>
          <w:rFonts w:ascii="仿宋_GB2312" w:hAnsi="仿宋_GB2312" w:eastAsia="仿宋_GB2312"/>
          <w:b w:val="0"/>
          <w:sz w:val="32"/>
        </w:rPr>
        <w:t>资金管理方面，加强对预算的监督管理，同时加</w:t>
      </w:r>
      <w:r>
        <w:rPr>
          <w:rFonts w:hint="eastAsia" w:ascii="仿宋_GB2312" w:hAnsi="仿宋_GB2312" w:eastAsia="仿宋_GB2312"/>
          <w:b w:val="0"/>
          <w:sz w:val="32"/>
          <w:lang w:eastAsia="zh-CN"/>
        </w:rPr>
        <w:t>强对</w:t>
      </w:r>
      <w:r>
        <w:rPr>
          <w:rFonts w:ascii="仿宋_GB2312" w:hAnsi="仿宋_GB2312" w:eastAsia="仿宋_GB2312"/>
          <w:b w:val="0"/>
          <w:sz w:val="32"/>
        </w:rPr>
        <w:t>预算资金管理的执行力度，完善预算资金的监督体系，强</w:t>
      </w:r>
      <w:r>
        <w:rPr>
          <w:rFonts w:hint="eastAsia" w:ascii="仿宋_GB2312" w:hAnsi="仿宋_GB2312" w:eastAsia="仿宋_GB2312"/>
          <w:b w:val="0"/>
          <w:sz w:val="32"/>
          <w:lang w:eastAsia="zh-CN"/>
        </w:rPr>
        <w:t>化对</w:t>
      </w:r>
      <w:r>
        <w:rPr>
          <w:rFonts w:ascii="仿宋_GB2312" w:hAnsi="仿宋_GB2312" w:eastAsia="仿宋_GB2312"/>
          <w:b w:val="0"/>
          <w:sz w:val="32"/>
        </w:rPr>
        <w:t>单位财政资金的跟踪监察，对资金的申报、拨付及使用情况进行监管。具体附整体支出绩效自评表，项目支出绩效自评表和评价报告。</w:t>
      </w:r>
    </w:p>
    <w:p w14:paraId="6714039C">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6E950B87">
        <w:tblPrEx>
          <w:tblCellMar>
            <w:top w:w="0" w:type="dxa"/>
            <w:left w:w="108" w:type="dxa"/>
            <w:bottom w:w="0" w:type="dxa"/>
            <w:right w:w="108" w:type="dxa"/>
          </w:tblCellMar>
        </w:tblPrEx>
        <w:tc>
          <w:tcPr>
            <w:tcW w:w="8847" w:type="dxa"/>
            <w:gridSpan w:val="9"/>
            <w:vAlign w:val="center"/>
          </w:tcPr>
          <w:p w14:paraId="41B5F724">
            <w:pPr>
              <w:jc w:val="center"/>
            </w:pPr>
            <w:r>
              <w:rPr>
                <w:rFonts w:ascii="宋体" w:hAnsi="宋体" w:eastAsia="宋体"/>
                <w:sz w:val="24"/>
              </w:rPr>
              <w:t>单位整体支出绩效自评表</w:t>
            </w:r>
          </w:p>
        </w:tc>
      </w:tr>
      <w:tr w14:paraId="0294D008">
        <w:tblPrEx>
          <w:tblCellMar>
            <w:top w:w="0" w:type="dxa"/>
            <w:left w:w="108" w:type="dxa"/>
            <w:bottom w:w="0" w:type="dxa"/>
            <w:right w:w="108" w:type="dxa"/>
          </w:tblCellMar>
        </w:tblPrEx>
        <w:tc>
          <w:tcPr>
            <w:tcW w:w="8847" w:type="dxa"/>
            <w:gridSpan w:val="9"/>
            <w:vAlign w:val="center"/>
          </w:tcPr>
          <w:p w14:paraId="4710A872">
            <w:pPr>
              <w:jc w:val="center"/>
            </w:pPr>
            <w:r>
              <w:rPr>
                <w:rFonts w:ascii="宋体" w:hAnsi="宋体" w:eastAsia="宋体"/>
                <w:sz w:val="24"/>
              </w:rPr>
              <w:t>（2024年度）</w:t>
            </w:r>
          </w:p>
        </w:tc>
      </w:tr>
      <w:tr w14:paraId="3AB929C0">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0E4BB">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1908B1E7">
            <w:pPr>
              <w:jc w:val="center"/>
            </w:pPr>
            <w:r>
              <w:rPr>
                <w:rFonts w:ascii="宋体" w:hAnsi="宋体" w:eastAsia="宋体"/>
                <w:sz w:val="16"/>
              </w:rPr>
              <w:t>昌吉回族自治州优化营商环境服务中心</w:t>
            </w:r>
          </w:p>
        </w:tc>
      </w:tr>
      <w:tr w14:paraId="7075C160">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0E69A">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E3A2D">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AEDCD1">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4A0026">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EF155E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3552A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885E9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91FEFA">
            <w:pPr>
              <w:jc w:val="center"/>
            </w:pPr>
            <w:r>
              <w:rPr>
                <w:rFonts w:ascii="宋体" w:hAnsi="宋体" w:eastAsia="宋体"/>
                <w:sz w:val="16"/>
              </w:rPr>
              <w:t>得分</w:t>
            </w:r>
          </w:p>
        </w:tc>
      </w:tr>
      <w:tr w14:paraId="3C2C12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1B40ED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2C0D8">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EFC5FC">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90ADE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E9432">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76894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FEA33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357A4F">
            <w:pPr>
              <w:jc w:val="center"/>
            </w:pPr>
            <w:r>
              <w:rPr>
                <w:rFonts w:ascii="宋体" w:hAnsi="宋体" w:eastAsia="宋体"/>
                <w:sz w:val="16"/>
              </w:rPr>
              <w:t>-</w:t>
            </w:r>
          </w:p>
        </w:tc>
      </w:tr>
      <w:tr w14:paraId="3A996B9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FFE5C1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61F1E">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0B7FA9">
            <w:pPr>
              <w:jc w:val="center"/>
            </w:pPr>
            <w:r>
              <w:rPr>
                <w:rFonts w:ascii="宋体" w:hAnsi="宋体" w:eastAsia="宋体"/>
                <w:sz w:val="16"/>
              </w:rPr>
              <w:t>164.96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C0E09C">
            <w:pPr>
              <w:jc w:val="center"/>
            </w:pPr>
            <w:r>
              <w:rPr>
                <w:rFonts w:ascii="宋体" w:hAnsi="宋体" w:eastAsia="宋体"/>
                <w:sz w:val="16"/>
              </w:rPr>
              <w:t>182.97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A05C9B">
            <w:pPr>
              <w:jc w:val="center"/>
            </w:pPr>
            <w:r>
              <w:rPr>
                <w:rFonts w:ascii="宋体" w:hAnsi="宋体" w:eastAsia="宋体"/>
                <w:sz w:val="16"/>
              </w:rPr>
              <w:t>179.34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5AD8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B9D7B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056C9E">
            <w:pPr>
              <w:jc w:val="center"/>
            </w:pPr>
            <w:r>
              <w:rPr>
                <w:rFonts w:ascii="宋体" w:hAnsi="宋体" w:eastAsia="宋体"/>
                <w:sz w:val="16"/>
              </w:rPr>
              <w:t>-</w:t>
            </w:r>
          </w:p>
        </w:tc>
      </w:tr>
      <w:tr w14:paraId="2FD109F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10AC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925F34">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8A83AB">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3079D2">
            <w:pPr>
              <w:jc w:val="center"/>
            </w:pPr>
            <w:r>
              <w:rPr>
                <w:rFonts w:ascii="宋体" w:hAnsi="宋体" w:eastAsia="宋体"/>
                <w:sz w:val="16"/>
              </w:rPr>
              <w:t>7.00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0F2749">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95F9D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F9A1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3D24B9">
            <w:pPr>
              <w:jc w:val="center"/>
            </w:pPr>
            <w:r>
              <w:rPr>
                <w:rFonts w:ascii="宋体" w:hAnsi="宋体" w:eastAsia="宋体"/>
                <w:sz w:val="16"/>
              </w:rPr>
              <w:t>-</w:t>
            </w:r>
          </w:p>
        </w:tc>
      </w:tr>
      <w:tr w14:paraId="4A52D39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FC0C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66A77">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24D686">
            <w:pPr>
              <w:jc w:val="center"/>
            </w:pPr>
            <w:r>
              <w:rPr>
                <w:rFonts w:ascii="宋体" w:hAnsi="宋体" w:eastAsia="宋体"/>
                <w:sz w:val="16"/>
              </w:rPr>
              <w:t>171.96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10F3898">
            <w:pPr>
              <w:jc w:val="center"/>
            </w:pPr>
            <w:r>
              <w:rPr>
                <w:rFonts w:ascii="宋体" w:hAnsi="宋体" w:eastAsia="宋体"/>
                <w:sz w:val="16"/>
              </w:rPr>
              <w:t>189.97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F54EBB">
            <w:pPr>
              <w:jc w:val="center"/>
            </w:pPr>
            <w:r>
              <w:rPr>
                <w:rFonts w:ascii="宋体" w:hAnsi="宋体" w:eastAsia="宋体"/>
                <w:sz w:val="16"/>
              </w:rPr>
              <w:t>179.34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D1552CA">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B1AEA9">
            <w:pPr>
              <w:jc w:val="center"/>
            </w:pPr>
            <w:r>
              <w:rPr>
                <w:rFonts w:ascii="宋体" w:hAnsi="宋体" w:eastAsia="宋体"/>
                <w:sz w:val="16"/>
              </w:rPr>
              <w:t>94.4%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FD6045">
            <w:pPr>
              <w:jc w:val="center"/>
            </w:pPr>
            <w:r>
              <w:rPr>
                <w:rFonts w:ascii="宋体" w:hAnsi="宋体" w:eastAsia="宋体"/>
                <w:sz w:val="16"/>
              </w:rPr>
              <w:t>9.44</w:t>
            </w:r>
          </w:p>
        </w:tc>
      </w:tr>
      <w:tr w14:paraId="6F0C511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33FB6D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7B85610">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8395FAA">
            <w:pPr>
              <w:jc w:val="center"/>
            </w:pPr>
            <w:r>
              <w:rPr>
                <w:rFonts w:ascii="宋体" w:hAnsi="宋体" w:eastAsia="宋体"/>
                <w:sz w:val="16"/>
              </w:rPr>
              <w:t>实际完成情况</w:t>
            </w:r>
          </w:p>
        </w:tc>
      </w:tr>
      <w:tr w14:paraId="68C8D9F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0835AE3"/>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E6F9A8B">
            <w:pPr>
              <w:jc w:val="both"/>
            </w:pPr>
            <w:bookmarkStart w:id="0" w:name="_GoBack"/>
            <w:r>
              <w:rPr>
                <w:rFonts w:ascii="宋体" w:hAnsi="宋体" w:eastAsia="宋体"/>
                <w:sz w:val="16"/>
              </w:rPr>
              <w:t>1、</w:t>
            </w:r>
            <w:bookmarkEnd w:id="0"/>
            <w:r>
              <w:rPr>
                <w:rFonts w:ascii="宋体" w:hAnsi="宋体" w:eastAsia="宋体"/>
                <w:sz w:val="16"/>
              </w:rPr>
              <w:t>根据自治州发改委和县市根据州编委三定方案中明确的职责，全面贯彻落实区、州优化营商环境工作的决策部署，充分做好我州优化营商环境三年行动方案重点工作任务。2、加强优化营商政策业务学习以及疆内外交流沟通，借鉴先进的工作经验，为企业创造良好的营商氛围。3、优化营商环境绩效考核的具体组织实施工作；负责组织开展政府投资项目评审工作；广泛宣传推介自治州营商环境政策举措，不断提升自治州营商环境的感知度和影响力，形成全社会广泛支持和参与营商环境建设的良好氛围。</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6575FF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全年预算数为189.97万元，全年执行数为179.34万元，总预算执行率为94.4%。2024年</w:t>
            </w:r>
            <w:r>
              <w:rPr>
                <w:rFonts w:hint="eastAsia" w:ascii="宋体" w:hAnsi="宋体"/>
                <w:sz w:val="16"/>
                <w:lang w:eastAsia="zh-CN"/>
              </w:rPr>
              <w:t>本单位</w:t>
            </w:r>
            <w:r>
              <w:rPr>
                <w:rFonts w:ascii="宋体" w:hAnsi="宋体" w:eastAsia="宋体"/>
                <w:sz w:val="16"/>
              </w:rPr>
              <w:t>完成以下工作内容：1</w:t>
            </w:r>
            <w:r>
              <w:rPr>
                <w:rFonts w:hint="eastAsia" w:ascii="宋体" w:hAnsi="宋体"/>
                <w:sz w:val="16"/>
                <w:lang w:eastAsia="zh-CN"/>
              </w:rPr>
              <w:t>.落</w:t>
            </w:r>
            <w:r>
              <w:rPr>
                <w:rFonts w:ascii="宋体" w:hAnsi="宋体" w:eastAsia="宋体"/>
                <w:sz w:val="16"/>
              </w:rPr>
              <w:t>实三年行动方案，全面提升营商环境，继续贯彻落实昌吉州实施营商环境优化提升三年行动方案</w:t>
            </w:r>
            <w:r>
              <w:rPr>
                <w:rFonts w:hint="eastAsia" w:ascii="宋体" w:hAnsi="宋体"/>
                <w:sz w:val="16"/>
                <w:lang w:eastAsia="zh-CN"/>
              </w:rPr>
              <w:t>；</w:t>
            </w:r>
            <w:r>
              <w:rPr>
                <w:rFonts w:ascii="宋体" w:hAnsi="宋体" w:eastAsia="宋体"/>
                <w:sz w:val="16"/>
              </w:rPr>
              <w:t>2.做好迎接世行新一轮营商环境评估工作</w:t>
            </w:r>
            <w:r>
              <w:rPr>
                <w:rFonts w:hint="eastAsia" w:ascii="宋体" w:hAnsi="宋体"/>
                <w:sz w:val="16"/>
                <w:lang w:eastAsia="zh-CN"/>
              </w:rPr>
              <w:t>；</w:t>
            </w:r>
            <w:r>
              <w:rPr>
                <w:rFonts w:ascii="宋体" w:hAnsi="宋体" w:eastAsia="宋体"/>
                <w:sz w:val="16"/>
              </w:rPr>
              <w:t>3.加强学习宣传，营造良好氛围</w:t>
            </w:r>
            <w:r>
              <w:rPr>
                <w:rFonts w:hint="eastAsia" w:ascii="宋体" w:hAnsi="宋体"/>
                <w:sz w:val="16"/>
                <w:lang w:eastAsia="zh-CN"/>
              </w:rPr>
              <w:t>；</w:t>
            </w:r>
            <w:r>
              <w:rPr>
                <w:rFonts w:ascii="宋体" w:hAnsi="宋体" w:eastAsia="宋体"/>
                <w:sz w:val="16"/>
              </w:rPr>
              <w:t>4.加强项目评审工作人员专业培训</w:t>
            </w:r>
            <w:r>
              <w:rPr>
                <w:rFonts w:hint="eastAsia" w:ascii="宋体" w:hAnsi="宋体"/>
                <w:sz w:val="16"/>
                <w:lang w:eastAsia="zh-CN"/>
              </w:rPr>
              <w:t>；</w:t>
            </w:r>
            <w:r>
              <w:rPr>
                <w:rFonts w:ascii="宋体" w:hAnsi="宋体" w:eastAsia="宋体"/>
                <w:sz w:val="16"/>
              </w:rPr>
              <w:t>5.加强专家库的管理力度。通过以上工作的实施,促进昌吉州优化营商环境工作提质增效。</w:t>
            </w:r>
          </w:p>
        </w:tc>
      </w:tr>
      <w:tr w14:paraId="3BE080C4">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D4F47">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889D7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F65CBE">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3E160">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967888">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D26AF1">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B1F6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DA5FC6">
            <w:pPr>
              <w:jc w:val="center"/>
            </w:pPr>
            <w:r>
              <w:rPr>
                <w:rFonts w:ascii="宋体" w:hAnsi="宋体" w:eastAsia="宋体"/>
                <w:sz w:val="16"/>
              </w:rPr>
              <w:t>得分</w:t>
            </w:r>
          </w:p>
        </w:tc>
      </w:tr>
      <w:tr w14:paraId="74A03C5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C9DAFDB">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7944F86">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2DA04F">
            <w:pPr>
              <w:jc w:val="center"/>
            </w:pPr>
            <w:r>
              <w:rPr>
                <w:rFonts w:ascii="宋体" w:hAnsi="宋体" w:eastAsia="宋体"/>
                <w:sz w:val="16"/>
              </w:rPr>
              <w:t>政府投资评审项目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45F3E6">
            <w:pPr>
              <w:jc w:val="center"/>
            </w:pPr>
            <w:r>
              <w:rPr>
                <w:rFonts w:ascii="宋体" w:hAnsi="宋体" w:eastAsia="宋体"/>
                <w:sz w:val="16"/>
              </w:rPr>
              <w:t>&gt;=100个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53E7628">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BDEE5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211C11">
            <w:pPr>
              <w:jc w:val="center"/>
            </w:pPr>
            <w:r>
              <w:rPr>
                <w:rFonts w:ascii="宋体" w:hAnsi="宋体" w:eastAsia="宋体"/>
                <w:sz w:val="16"/>
              </w:rPr>
              <w:t>=105个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EB408E">
            <w:pPr>
              <w:jc w:val="center"/>
            </w:pPr>
            <w:r>
              <w:rPr>
                <w:rFonts w:ascii="宋体" w:hAnsi="宋体" w:eastAsia="宋体"/>
                <w:sz w:val="16"/>
              </w:rPr>
              <w:t>10</w:t>
            </w:r>
          </w:p>
        </w:tc>
      </w:tr>
      <w:tr w14:paraId="6439119D">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4AB1F1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7FEA57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8492D8">
            <w:pPr>
              <w:jc w:val="center"/>
            </w:pPr>
            <w:r>
              <w:rPr>
                <w:rFonts w:ascii="宋体" w:hAnsi="宋体" w:eastAsia="宋体"/>
                <w:sz w:val="16"/>
              </w:rPr>
              <w:t>制定昌吉州优化营商环境2024年重点工作任务清单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5F45D">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B20724">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CCF5A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1D946">
            <w:pPr>
              <w:jc w:val="center"/>
            </w:pPr>
            <w:r>
              <w:rPr>
                <w:rFonts w:ascii="宋体" w:hAnsi="宋体" w:eastAsia="宋体"/>
                <w:sz w:val="16"/>
              </w:rPr>
              <w:t>=1份</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208994">
            <w:pPr>
              <w:jc w:val="center"/>
            </w:pPr>
            <w:r>
              <w:rPr>
                <w:rFonts w:ascii="宋体" w:hAnsi="宋体" w:eastAsia="宋体"/>
                <w:sz w:val="16"/>
              </w:rPr>
              <w:t>10</w:t>
            </w:r>
          </w:p>
        </w:tc>
      </w:tr>
      <w:tr w14:paraId="710A4B9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A649F55"/>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DBCF8C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AF0020">
            <w:pPr>
              <w:jc w:val="center"/>
            </w:pPr>
            <w:r>
              <w:rPr>
                <w:rFonts w:ascii="宋体" w:hAnsi="宋体" w:eastAsia="宋体"/>
                <w:sz w:val="16"/>
              </w:rPr>
              <w:t>做好迎接世界银行新一轮营商环境评价、企业调查工作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369408">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1BE3F2">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82DBD3">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D18BA8">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558854">
            <w:pPr>
              <w:jc w:val="center"/>
            </w:pPr>
            <w:r>
              <w:rPr>
                <w:rFonts w:ascii="宋体" w:hAnsi="宋体" w:eastAsia="宋体"/>
                <w:sz w:val="16"/>
              </w:rPr>
              <w:t>10</w:t>
            </w:r>
          </w:p>
        </w:tc>
      </w:tr>
      <w:tr w14:paraId="4C15498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C00EC7"/>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0F188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2B3A5B">
            <w:pPr>
              <w:jc w:val="center"/>
            </w:pPr>
            <w:r>
              <w:rPr>
                <w:rFonts w:ascii="宋体" w:hAnsi="宋体" w:eastAsia="宋体"/>
                <w:sz w:val="16"/>
              </w:rPr>
              <w:t>指导各县市园区做好优化营商环境工作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9B5DEF">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13A0C4">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07AD95">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9894CD">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BDFA4">
            <w:pPr>
              <w:jc w:val="center"/>
            </w:pPr>
            <w:r>
              <w:rPr>
                <w:rFonts w:ascii="宋体" w:hAnsi="宋体" w:eastAsia="宋体"/>
                <w:sz w:val="16"/>
              </w:rPr>
              <w:t>20</w:t>
            </w:r>
          </w:p>
        </w:tc>
      </w:tr>
      <w:tr w14:paraId="691E5B6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707229A"/>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DF2C046"/>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85F663">
            <w:pPr>
              <w:jc w:val="center"/>
            </w:pPr>
            <w:r>
              <w:rPr>
                <w:rFonts w:ascii="宋体" w:hAnsi="宋体" w:eastAsia="宋体"/>
                <w:sz w:val="16"/>
              </w:rPr>
              <w:t>督促州直各部门落实优化营商环境重点任务清单</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1A38BB">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ACEFC6">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ADA7CF">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2C6C1">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F6AAE09">
            <w:pPr>
              <w:jc w:val="center"/>
            </w:pPr>
            <w:r>
              <w:rPr>
                <w:rFonts w:ascii="宋体" w:hAnsi="宋体" w:eastAsia="宋体"/>
                <w:sz w:val="16"/>
              </w:rPr>
              <w:t>20</w:t>
            </w:r>
          </w:p>
        </w:tc>
      </w:tr>
      <w:tr w14:paraId="09DE3A02">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C77858">
            <w:pPr>
              <w:jc w:val="center"/>
            </w:pPr>
            <w:r>
              <w:rPr>
                <w:rFonts w:ascii="宋体" w:hAnsi="宋体" w:eastAsia="宋体"/>
                <w:sz w:val="16"/>
              </w:rPr>
              <w:t>社会效益</w:t>
            </w:r>
          </w:p>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40C52B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D89B9D">
            <w:pPr>
              <w:jc w:val="center"/>
            </w:pPr>
            <w:r>
              <w:rPr>
                <w:rFonts w:ascii="宋体" w:hAnsi="宋体" w:eastAsia="宋体"/>
                <w:sz w:val="16"/>
              </w:rPr>
              <w:t>公众号运行工作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0B80BE">
            <w:pPr>
              <w:jc w:val="center"/>
            </w:pPr>
            <w:r>
              <w:rPr>
                <w:rFonts w:ascii="宋体" w:hAnsi="宋体" w:eastAsia="宋体"/>
                <w:sz w:val="16"/>
              </w:rPr>
              <w:t>&gt;=1个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66EFD2">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05EF35">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A29F4D">
            <w:pPr>
              <w:jc w:val="center"/>
            </w:pPr>
            <w:r>
              <w:rPr>
                <w:rFonts w:ascii="宋体" w:hAnsi="宋体" w:eastAsia="宋体"/>
                <w:sz w:val="16"/>
              </w:rPr>
              <w:t>=1个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8736F">
            <w:pPr>
              <w:jc w:val="center"/>
            </w:pPr>
            <w:r>
              <w:rPr>
                <w:rFonts w:ascii="宋体" w:hAnsi="宋体" w:eastAsia="宋体"/>
                <w:sz w:val="16"/>
              </w:rPr>
              <w:t>10</w:t>
            </w:r>
          </w:p>
        </w:tc>
      </w:tr>
      <w:tr w14:paraId="2BF225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B8AA34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3C976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4BD1A04">
            <w:pPr>
              <w:jc w:val="center"/>
            </w:pPr>
            <w:r>
              <w:rPr>
                <w:rFonts w:ascii="宋体" w:hAnsi="宋体" w:eastAsia="宋体"/>
                <w:sz w:val="16"/>
              </w:rPr>
              <w:t>媒体宣传工作</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164CF56">
            <w:pPr>
              <w:jc w:val="center"/>
            </w:pPr>
            <w:r>
              <w:rPr>
                <w:rFonts w:ascii="宋体" w:hAnsi="宋体" w:eastAsia="宋体"/>
                <w:sz w:val="16"/>
              </w:rPr>
              <w:t>&gt;=2个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59AA1E">
            <w:pPr>
              <w:jc w:val="center"/>
            </w:pPr>
            <w:r>
              <w:rPr>
                <w:rFonts w:ascii="宋体" w:hAnsi="宋体" w:eastAsia="宋体"/>
                <w:sz w:val="16"/>
              </w:rPr>
              <w:t>营商环境服务中心2024年工作计划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AD346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0FFC7B6">
            <w:pPr>
              <w:jc w:val="center"/>
            </w:pPr>
            <w:r>
              <w:rPr>
                <w:rFonts w:ascii="宋体" w:hAnsi="宋体" w:eastAsia="宋体"/>
                <w:sz w:val="16"/>
              </w:rPr>
              <w:t>=2个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FF2F8">
            <w:pPr>
              <w:jc w:val="center"/>
            </w:pPr>
            <w:r>
              <w:rPr>
                <w:rFonts w:ascii="宋体" w:hAnsi="宋体" w:eastAsia="宋体"/>
                <w:sz w:val="16"/>
              </w:rPr>
              <w:t>10</w:t>
            </w:r>
          </w:p>
        </w:tc>
      </w:tr>
    </w:tbl>
    <w:p w14:paraId="614EA7A6">
      <w:r>
        <w:br w:type="page"/>
      </w:r>
    </w:p>
    <w:tbl>
      <w:tblPr>
        <w:tblStyle w:val="9"/>
        <w:tblW w:w="0" w:type="auto"/>
        <w:tblInd w:w="0" w:type="dxa"/>
        <w:tblLayout w:type="autofit"/>
        <w:tblCellMar>
          <w:top w:w="0" w:type="dxa"/>
          <w:left w:w="108" w:type="dxa"/>
          <w:bottom w:w="0" w:type="dxa"/>
          <w:right w:w="108" w:type="dxa"/>
        </w:tblCellMar>
      </w:tblPr>
      <w:tblGrid>
        <w:gridCol w:w="621"/>
        <w:gridCol w:w="603"/>
        <w:gridCol w:w="603"/>
        <w:gridCol w:w="621"/>
        <w:gridCol w:w="612"/>
        <w:gridCol w:w="696"/>
        <w:gridCol w:w="630"/>
        <w:gridCol w:w="776"/>
        <w:gridCol w:w="630"/>
        <w:gridCol w:w="603"/>
        <w:gridCol w:w="603"/>
        <w:gridCol w:w="603"/>
        <w:gridCol w:w="458"/>
        <w:gridCol w:w="145"/>
        <w:gridCol w:w="856"/>
      </w:tblGrid>
      <w:tr w14:paraId="3269A532">
        <w:tblPrEx>
          <w:tblCellMar>
            <w:top w:w="0" w:type="dxa"/>
            <w:left w:w="108" w:type="dxa"/>
            <w:bottom w:w="0" w:type="dxa"/>
            <w:right w:w="108" w:type="dxa"/>
          </w:tblCellMar>
        </w:tblPrEx>
        <w:tc>
          <w:tcPr>
            <w:tcW w:w="9060" w:type="dxa"/>
            <w:gridSpan w:val="15"/>
            <w:vAlign w:val="center"/>
          </w:tcPr>
          <w:p w14:paraId="53EA296A">
            <w:pPr>
              <w:jc w:val="center"/>
            </w:pPr>
            <w:r>
              <w:rPr>
                <w:rFonts w:ascii="宋体" w:hAnsi="宋体" w:eastAsia="宋体"/>
                <w:sz w:val="24"/>
              </w:rPr>
              <w:t>项目支出绩效自评表</w:t>
            </w:r>
          </w:p>
        </w:tc>
      </w:tr>
      <w:tr w14:paraId="395E06DE">
        <w:tblPrEx>
          <w:tblCellMar>
            <w:top w:w="0" w:type="dxa"/>
            <w:left w:w="108" w:type="dxa"/>
            <w:bottom w:w="0" w:type="dxa"/>
            <w:right w:w="108" w:type="dxa"/>
          </w:tblCellMar>
        </w:tblPrEx>
        <w:tc>
          <w:tcPr>
            <w:tcW w:w="9060" w:type="dxa"/>
            <w:gridSpan w:val="15"/>
            <w:tcBorders>
              <w:top w:val="single" w:color="auto" w:sz="10" w:space="0"/>
              <w:left w:val="single" w:color="auto" w:sz="10" w:space="0"/>
              <w:bottom w:val="single" w:color="auto" w:sz="10" w:space="0"/>
              <w:right w:val="single" w:color="auto" w:sz="10" w:space="0"/>
              <w:insideV w:val="single" w:sz="10" w:space="0"/>
            </w:tcBorders>
            <w:vAlign w:val="center"/>
          </w:tcPr>
          <w:p w14:paraId="7F32F6E7">
            <w:pPr>
              <w:jc w:val="center"/>
            </w:pPr>
            <w:r>
              <w:rPr>
                <w:rFonts w:ascii="宋体" w:hAnsi="宋体" w:eastAsia="宋体"/>
                <w:sz w:val="24"/>
              </w:rPr>
              <w:t>(2024年度)</w:t>
            </w:r>
          </w:p>
        </w:tc>
      </w:tr>
      <w:tr w14:paraId="0B3705B2">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A346B20">
            <w:pPr>
              <w:jc w:val="center"/>
            </w:pPr>
            <w:r>
              <w:rPr>
                <w:rFonts w:ascii="宋体" w:hAnsi="宋体" w:eastAsia="宋体"/>
                <w:sz w:val="16"/>
              </w:rPr>
              <w:t>项目名称</w:t>
            </w:r>
          </w:p>
        </w:tc>
        <w:tc>
          <w:tcPr>
            <w:tcW w:w="8439"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7AD83A5D">
            <w:pPr>
              <w:jc w:val="center"/>
            </w:pPr>
            <w:r>
              <w:rPr>
                <w:rFonts w:ascii="宋体" w:hAnsi="宋体" w:eastAsia="宋体"/>
                <w:sz w:val="16"/>
              </w:rPr>
              <w:t>机关运行补助经费</w:t>
            </w:r>
          </w:p>
        </w:tc>
      </w:tr>
      <w:tr w14:paraId="6C78E9A9">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207D2B5">
            <w:pPr>
              <w:jc w:val="center"/>
            </w:pPr>
            <w:r>
              <w:rPr>
                <w:rFonts w:ascii="宋体" w:hAnsi="宋体" w:eastAsia="宋体"/>
                <w:sz w:val="16"/>
              </w:rPr>
              <w:t>主管部门</w:t>
            </w:r>
          </w:p>
        </w:tc>
        <w:tc>
          <w:tcPr>
            <w:tcW w:w="454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BC6E565">
            <w:pPr>
              <w:jc w:val="center"/>
            </w:pPr>
            <w:r>
              <w:rPr>
                <w:rFonts w:ascii="宋体" w:hAnsi="宋体" w:eastAsia="宋体"/>
                <w:sz w:val="16"/>
              </w:rPr>
              <w:t>昌吉回族自治州营商环境服务中心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E735734">
            <w:pPr>
              <w:jc w:val="center"/>
            </w:pPr>
            <w:r>
              <w:rPr>
                <w:rFonts w:ascii="宋体" w:hAnsi="宋体" w:eastAsia="宋体"/>
                <w:sz w:val="16"/>
              </w:rPr>
              <w:t>实施单位</w:t>
            </w:r>
          </w:p>
        </w:tc>
        <w:tc>
          <w:tcPr>
            <w:tcW w:w="3268"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2AC03831">
            <w:pPr>
              <w:jc w:val="center"/>
            </w:pPr>
            <w:r>
              <w:rPr>
                <w:rFonts w:ascii="宋体" w:hAnsi="宋体" w:eastAsia="宋体"/>
                <w:sz w:val="16"/>
              </w:rPr>
              <w:t>昌吉回族自治州营商环境服务中心</w:t>
            </w:r>
          </w:p>
        </w:tc>
      </w:tr>
      <w:tr w14:paraId="74854055">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59F29AD">
            <w:pPr>
              <w:jc w:val="center"/>
            </w:pPr>
            <w:r>
              <w:rPr>
                <w:rFonts w:ascii="宋体" w:hAnsi="宋体" w:eastAsia="宋体"/>
                <w:sz w:val="16"/>
              </w:rPr>
              <w:t>项目资金（万元）</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4C0565">
            <w:pPr>
              <w:jc w:val="center"/>
            </w:pP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B66A7A">
            <w:pPr>
              <w:jc w:val="center"/>
            </w:pPr>
            <w:r>
              <w:rPr>
                <w:rFonts w:ascii="宋体" w:hAnsi="宋体" w:eastAsia="宋体"/>
                <w:sz w:val="16"/>
              </w:rPr>
              <w:t>年初预算数</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A624395">
            <w:pPr>
              <w:jc w:val="center"/>
            </w:pPr>
            <w:r>
              <w:rPr>
                <w:rFonts w:ascii="宋体" w:hAnsi="宋体" w:eastAsia="宋体"/>
                <w:sz w:val="16"/>
              </w:rPr>
              <w:t>全年预算数</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B34A1B">
            <w:pPr>
              <w:jc w:val="center"/>
            </w:pPr>
            <w:r>
              <w:rPr>
                <w:rFonts w:ascii="宋体" w:hAnsi="宋体" w:eastAsia="宋体"/>
                <w:sz w:val="16"/>
              </w:rPr>
              <w:t>全年执行数</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697DB7">
            <w:pPr>
              <w:jc w:val="center"/>
            </w:pPr>
            <w:r>
              <w:rPr>
                <w:rFonts w:ascii="宋体" w:hAnsi="宋体" w:eastAsia="宋体"/>
                <w:sz w:val="16"/>
              </w:rPr>
              <w:t>分值</w:t>
            </w:r>
          </w:p>
        </w:tc>
        <w:tc>
          <w:tcPr>
            <w:tcW w:w="12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580BD4F">
            <w:pPr>
              <w:jc w:val="center"/>
            </w:pPr>
            <w:r>
              <w:rPr>
                <w:rFonts w:ascii="宋体" w:hAnsi="宋体" w:eastAsia="宋体"/>
                <w:sz w:val="16"/>
              </w:rPr>
              <w:t>执行率</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168092D">
            <w:pPr>
              <w:jc w:val="center"/>
            </w:pPr>
            <w:r>
              <w:rPr>
                <w:rFonts w:ascii="宋体" w:hAnsi="宋体" w:eastAsia="宋体"/>
                <w:sz w:val="16"/>
              </w:rPr>
              <w:t>得分</w:t>
            </w:r>
          </w:p>
        </w:tc>
      </w:tr>
      <w:tr w14:paraId="6A348185">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5735AA5"/>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4EC006">
            <w:pPr>
              <w:jc w:val="center"/>
            </w:pPr>
            <w:r>
              <w:rPr>
                <w:rFonts w:ascii="宋体" w:hAnsi="宋体" w:eastAsia="宋体"/>
                <w:sz w:val="16"/>
              </w:rPr>
              <w:t>年度资金总额</w:t>
            </w: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5C8898">
            <w:pPr>
              <w:jc w:val="center"/>
            </w:pPr>
            <w:r>
              <w:rPr>
                <w:rFonts w:ascii="宋体" w:hAnsi="宋体" w:eastAsia="宋体"/>
                <w:sz w:val="16"/>
              </w:rPr>
              <w:t>12.00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83EA95F">
            <w:pPr>
              <w:jc w:val="center"/>
            </w:pPr>
            <w:r>
              <w:rPr>
                <w:rFonts w:ascii="宋体" w:hAnsi="宋体" w:eastAsia="宋体"/>
                <w:sz w:val="16"/>
              </w:rPr>
              <w:t>9.46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4901A7">
            <w:pPr>
              <w:jc w:val="center"/>
            </w:pPr>
            <w:r>
              <w:rPr>
                <w:rFonts w:ascii="宋体" w:hAnsi="宋体" w:eastAsia="宋体"/>
                <w:sz w:val="16"/>
              </w:rPr>
              <w:t>8.85</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0CBD70">
            <w:pPr>
              <w:jc w:val="center"/>
            </w:pPr>
            <w:r>
              <w:rPr>
                <w:rFonts w:ascii="宋体" w:hAnsi="宋体" w:eastAsia="宋体"/>
                <w:sz w:val="16"/>
              </w:rPr>
              <w:t>10</w:t>
            </w:r>
          </w:p>
        </w:tc>
        <w:tc>
          <w:tcPr>
            <w:tcW w:w="12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A40221B">
            <w:pPr>
              <w:jc w:val="center"/>
            </w:pPr>
            <w:r>
              <w:rPr>
                <w:rFonts w:ascii="宋体" w:hAnsi="宋体" w:eastAsia="宋体"/>
                <w:sz w:val="16"/>
              </w:rPr>
              <w:t>93.55%</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D2B3645">
            <w:pPr>
              <w:jc w:val="center"/>
            </w:pPr>
            <w:r>
              <w:rPr>
                <w:rFonts w:ascii="宋体" w:hAnsi="宋体" w:eastAsia="宋体"/>
                <w:sz w:val="16"/>
              </w:rPr>
              <w:t>10.00</w:t>
            </w:r>
          </w:p>
        </w:tc>
      </w:tr>
      <w:tr w14:paraId="78722A2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F05AC47"/>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529A61">
            <w:pPr>
              <w:jc w:val="center"/>
            </w:pPr>
            <w:r>
              <w:rPr>
                <w:rFonts w:ascii="宋体" w:hAnsi="宋体" w:eastAsia="宋体"/>
                <w:sz w:val="16"/>
              </w:rPr>
              <w:t>其中：当年财政拨款</w:t>
            </w: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18B5B1">
            <w:pPr>
              <w:jc w:val="center"/>
            </w:pPr>
            <w:r>
              <w:rPr>
                <w:rFonts w:ascii="宋体" w:hAnsi="宋体" w:eastAsia="宋体"/>
                <w:sz w:val="16"/>
              </w:rPr>
              <w:t>0.00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2184A6">
            <w:pPr>
              <w:jc w:val="center"/>
            </w:pPr>
            <w:r>
              <w:rPr>
                <w:rFonts w:ascii="宋体" w:hAnsi="宋体" w:eastAsia="宋体"/>
                <w:sz w:val="16"/>
              </w:rPr>
              <w:t>3.50</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24502F">
            <w:pPr>
              <w:jc w:val="center"/>
            </w:pPr>
            <w:r>
              <w:rPr>
                <w:rFonts w:ascii="宋体" w:hAnsi="宋体" w:eastAsia="宋体"/>
                <w:sz w:val="16"/>
              </w:rPr>
              <w:t>3.50</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8DC0D">
            <w:pPr>
              <w:jc w:val="center"/>
            </w:pPr>
            <w:r>
              <w:rPr>
                <w:rFonts w:ascii="宋体" w:hAnsi="宋体" w:eastAsia="宋体"/>
                <w:sz w:val="16"/>
              </w:rPr>
              <w:t>—</w:t>
            </w:r>
          </w:p>
        </w:tc>
        <w:tc>
          <w:tcPr>
            <w:tcW w:w="12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0203EEF8">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2719A51E">
            <w:pPr>
              <w:jc w:val="center"/>
            </w:pPr>
            <w:r>
              <w:rPr>
                <w:rFonts w:ascii="宋体" w:hAnsi="宋体" w:eastAsia="宋体"/>
                <w:sz w:val="16"/>
              </w:rPr>
              <w:t>—</w:t>
            </w:r>
          </w:p>
        </w:tc>
      </w:tr>
      <w:tr w14:paraId="52F14A47">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7F451AF4"/>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F0E9136">
            <w:pPr>
              <w:jc w:val="center"/>
            </w:pPr>
            <w:r>
              <w:rPr>
                <w:rFonts w:ascii="宋体" w:hAnsi="宋体" w:eastAsia="宋体"/>
                <w:sz w:val="16"/>
              </w:rPr>
              <w:t xml:space="preserve">  其他资金</w:t>
            </w:r>
          </w:p>
        </w:tc>
        <w:tc>
          <w:tcPr>
            <w:tcW w:w="123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3BC3ED">
            <w:pPr>
              <w:jc w:val="center"/>
            </w:pPr>
            <w:r>
              <w:rPr>
                <w:rFonts w:ascii="宋体" w:hAnsi="宋体" w:eastAsia="宋体"/>
                <w:sz w:val="16"/>
              </w:rPr>
              <w:t>12.00</w:t>
            </w:r>
          </w:p>
        </w:tc>
        <w:tc>
          <w:tcPr>
            <w:tcW w:w="132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637F1">
            <w:pPr>
              <w:jc w:val="center"/>
            </w:pPr>
            <w:r>
              <w:rPr>
                <w:rFonts w:ascii="宋体" w:hAnsi="宋体" w:eastAsia="宋体"/>
                <w:sz w:val="16"/>
              </w:rPr>
              <w:t>5.96</w:t>
            </w:r>
          </w:p>
        </w:tc>
        <w:tc>
          <w:tcPr>
            <w:tcW w:w="14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B68E8C">
            <w:pPr>
              <w:jc w:val="center"/>
            </w:pPr>
            <w:r>
              <w:rPr>
                <w:rFonts w:ascii="宋体" w:hAnsi="宋体" w:eastAsia="宋体"/>
                <w:sz w:val="16"/>
              </w:rPr>
              <w:t>5.35</w:t>
            </w:r>
          </w:p>
        </w:tc>
        <w:tc>
          <w:tcPr>
            <w:tcW w:w="120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4BACA5">
            <w:pPr>
              <w:jc w:val="center"/>
            </w:pPr>
            <w:r>
              <w:rPr>
                <w:rFonts w:ascii="宋体" w:hAnsi="宋体" w:eastAsia="宋体"/>
                <w:sz w:val="16"/>
              </w:rPr>
              <w:t>—</w:t>
            </w:r>
          </w:p>
        </w:tc>
        <w:tc>
          <w:tcPr>
            <w:tcW w:w="1206"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3BC156F">
            <w:pPr>
              <w:jc w:val="center"/>
            </w:pPr>
            <w:r>
              <w:rPr>
                <w:rFonts w:ascii="宋体" w:hAnsi="宋体" w:eastAsia="宋体"/>
                <w:sz w:val="16"/>
              </w:rPr>
              <w:t>—</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76B52193">
            <w:pPr>
              <w:jc w:val="center"/>
            </w:pPr>
            <w:r>
              <w:rPr>
                <w:rFonts w:ascii="宋体" w:hAnsi="宋体" w:eastAsia="宋体"/>
                <w:sz w:val="16"/>
              </w:rPr>
              <w:t>—</w:t>
            </w:r>
          </w:p>
        </w:tc>
      </w:tr>
      <w:tr w14:paraId="0D2B8FBA">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FDC9EC">
            <w:pPr>
              <w:jc w:val="center"/>
            </w:pPr>
            <w:r>
              <w:rPr>
                <w:rFonts w:ascii="宋体" w:hAnsi="宋体" w:eastAsia="宋体"/>
                <w:sz w:val="16"/>
              </w:rPr>
              <w:t>年度总体目标</w:t>
            </w:r>
          </w:p>
        </w:tc>
        <w:tc>
          <w:tcPr>
            <w:tcW w:w="454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983DF03">
            <w:pPr>
              <w:jc w:val="center"/>
            </w:pPr>
            <w:r>
              <w:rPr>
                <w:rFonts w:ascii="宋体" w:hAnsi="宋体" w:eastAsia="宋体"/>
                <w:sz w:val="16"/>
              </w:rPr>
              <w:t>预期目标</w:t>
            </w:r>
          </w:p>
        </w:tc>
        <w:tc>
          <w:tcPr>
            <w:tcW w:w="389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AF5F9F">
            <w:pPr>
              <w:jc w:val="center"/>
            </w:pPr>
            <w:r>
              <w:rPr>
                <w:rFonts w:ascii="宋体" w:hAnsi="宋体" w:eastAsia="宋体"/>
                <w:sz w:val="16"/>
              </w:rPr>
              <w:t>实际完成情况</w:t>
            </w:r>
          </w:p>
        </w:tc>
      </w:tr>
      <w:tr w14:paraId="1220B6E6">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97A0AD2"/>
        </w:tc>
        <w:tc>
          <w:tcPr>
            <w:tcW w:w="4541"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A1F7D0">
            <w:pPr>
              <w:jc w:val="both"/>
            </w:pPr>
            <w:r>
              <w:rPr>
                <w:rFonts w:ascii="宋体" w:hAnsi="宋体" w:eastAsia="宋体"/>
                <w:sz w:val="16"/>
              </w:rPr>
              <w:t>为了保障单位正常运转12个月，保障单位管理人员12人，为部门业务开展提供有效支持。</w:t>
            </w:r>
          </w:p>
        </w:tc>
        <w:tc>
          <w:tcPr>
            <w:tcW w:w="3898"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8C515A4">
            <w:pPr>
              <w:jc w:val="both"/>
            </w:pPr>
            <w:r>
              <w:rPr>
                <w:rFonts w:ascii="宋体" w:hAnsi="宋体" w:eastAsia="宋体"/>
                <w:sz w:val="16"/>
              </w:rPr>
              <w:t>截至2024年12月31日，该项目实际完成保障租赁公务用车租1辆、保障租赁公务用车租驾驶员1人；通过该项目的实施，提升了服务质量和工作效率，促进了部门业务开展工作，保障单位机构正常运转。</w:t>
            </w:r>
          </w:p>
        </w:tc>
      </w:tr>
      <w:tr w14:paraId="29BF3E70">
        <w:tblPrEx>
          <w:tblCellMar>
            <w:top w:w="0" w:type="dxa"/>
            <w:left w:w="108" w:type="dxa"/>
            <w:bottom w:w="0" w:type="dxa"/>
            <w:right w:w="108" w:type="dxa"/>
          </w:tblCellMar>
        </w:tblPrEx>
        <w:tc>
          <w:tcPr>
            <w:tcW w:w="621" w:type="dxa"/>
            <w:tcBorders>
              <w:top w:val="single" w:color="auto" w:sz="10" w:space="0"/>
              <w:left w:val="single" w:color="auto" w:sz="10" w:space="0"/>
              <w:bottom w:val="single" w:color="auto" w:sz="10" w:space="0"/>
              <w:right w:val="single" w:color="auto" w:sz="10" w:space="0"/>
              <w:insideV w:val="single" w:sz="10" w:space="0"/>
            </w:tcBorders>
          </w:tcPr>
          <w:p w14:paraId="16ECEAFA"/>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5F303E9">
            <w:pPr>
              <w:jc w:val="center"/>
            </w:pPr>
            <w:r>
              <w:rPr>
                <w:rFonts w:ascii="宋体" w:hAnsi="宋体" w:eastAsia="宋体"/>
                <w:sz w:val="16"/>
              </w:rPr>
              <w:t>一级指标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FAD4F5E">
            <w:pPr>
              <w:jc w:val="center"/>
            </w:pPr>
            <w:r>
              <w:rPr>
                <w:rFonts w:ascii="宋体" w:hAnsi="宋体" w:eastAsia="宋体"/>
                <w:sz w:val="16"/>
              </w:rPr>
              <w:t>二级指标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A03C455">
            <w:pPr>
              <w:jc w:val="center"/>
            </w:pPr>
            <w:r>
              <w:rPr>
                <w:rFonts w:ascii="宋体" w:hAnsi="宋体" w:eastAsia="宋体"/>
                <w:sz w:val="16"/>
              </w:rPr>
              <w:t>三级指标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05C0798F">
            <w:pPr>
              <w:jc w:val="center"/>
            </w:pPr>
            <w:r>
              <w:rPr>
                <w:rFonts w:ascii="宋体" w:hAnsi="宋体" w:eastAsia="宋体"/>
                <w:sz w:val="16"/>
              </w:rPr>
              <w:t>权重</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DF1E71C">
            <w:pPr>
              <w:jc w:val="center"/>
            </w:pPr>
            <w:r>
              <w:rPr>
                <w:rFonts w:ascii="宋体" w:hAnsi="宋体" w:eastAsia="宋体"/>
                <w:sz w:val="16"/>
              </w:rPr>
              <w:t>目标值</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E24F83E">
            <w:pPr>
              <w:jc w:val="center"/>
            </w:pPr>
            <w:r>
              <w:rPr>
                <w:rFonts w:ascii="宋体" w:hAnsi="宋体" w:eastAsia="宋体"/>
                <w:sz w:val="16"/>
              </w:rPr>
              <w:t>业绩值</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5BF5720">
            <w:pPr>
              <w:jc w:val="center"/>
            </w:pPr>
            <w:r>
              <w:rPr>
                <w:rFonts w:ascii="宋体" w:hAnsi="宋体" w:eastAsia="宋体"/>
                <w:sz w:val="16"/>
              </w:rPr>
              <w:t>完成率</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4CF2285">
            <w:pPr>
              <w:jc w:val="center"/>
            </w:pPr>
            <w:r>
              <w:rPr>
                <w:rFonts w:ascii="宋体" w:hAnsi="宋体" w:eastAsia="宋体"/>
                <w:sz w:val="16"/>
              </w:rPr>
              <w:t>指标得分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F4607CA">
            <w:pPr>
              <w:jc w:val="center"/>
            </w:pPr>
            <w:r>
              <w:rPr>
                <w:rFonts w:ascii="宋体" w:hAnsi="宋体" w:eastAsia="宋体"/>
                <w:sz w:val="16"/>
              </w:rPr>
              <w:t>指标值设定依据</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F90246B">
            <w:pPr>
              <w:jc w:val="center"/>
            </w:pPr>
            <w:r>
              <w:rPr>
                <w:rFonts w:ascii="宋体" w:hAnsi="宋体" w:eastAsia="宋体"/>
                <w:sz w:val="16"/>
              </w:rPr>
              <w:t>上年完成情况</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6D18E10">
            <w:pPr>
              <w:jc w:val="center"/>
            </w:pPr>
            <w:r>
              <w:rPr>
                <w:rFonts w:ascii="宋体" w:hAnsi="宋体" w:eastAsia="宋体"/>
                <w:sz w:val="16"/>
              </w:rPr>
              <w:t>赋分规则</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059622">
            <w:pPr>
              <w:jc w:val="center"/>
            </w:pPr>
            <w:r>
              <w:rPr>
                <w:rFonts w:ascii="宋体" w:hAnsi="宋体" w:eastAsia="宋体"/>
                <w:sz w:val="16"/>
              </w:rPr>
              <w:t>佐证资料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4801B0CA">
            <w:pPr>
              <w:jc w:val="center"/>
            </w:pPr>
            <w:r>
              <w:rPr>
                <w:rFonts w:ascii="宋体" w:hAnsi="宋体" w:eastAsia="宋体"/>
                <w:sz w:val="16"/>
              </w:rPr>
              <w:t>偏差原因分析及改进措施</w:t>
            </w:r>
          </w:p>
        </w:tc>
      </w:tr>
      <w:tr w14:paraId="3B31C7CE">
        <w:tblPrEx>
          <w:tblCellMar>
            <w:top w:w="0" w:type="dxa"/>
            <w:left w:w="108" w:type="dxa"/>
            <w:bottom w:w="0" w:type="dxa"/>
            <w:right w:w="108" w:type="dxa"/>
          </w:tblCellMar>
        </w:tblPrEx>
        <w:tc>
          <w:tcPr>
            <w:tcW w:w="621"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6BFB4C">
            <w:pPr>
              <w:jc w:val="center"/>
            </w:pPr>
            <w:r>
              <w:rPr>
                <w:rFonts w:ascii="宋体" w:hAnsi="宋体" w:eastAsia="宋体"/>
                <w:sz w:val="16"/>
              </w:rPr>
              <w:t>年度绩效指标完成情况</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72A5231">
            <w:pPr>
              <w:jc w:val="center"/>
            </w:pPr>
            <w:r>
              <w:rPr>
                <w:rFonts w:ascii="宋体" w:hAnsi="宋体" w:eastAsia="宋体"/>
                <w:sz w:val="16"/>
              </w:rPr>
              <w:t>产出指标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0EF38C3">
            <w:pPr>
              <w:jc w:val="center"/>
            </w:pPr>
            <w:r>
              <w:rPr>
                <w:rFonts w:ascii="宋体" w:hAnsi="宋体" w:eastAsia="宋体"/>
                <w:sz w:val="16"/>
              </w:rPr>
              <w:t>数量指标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0C22669">
            <w:pPr>
              <w:jc w:val="center"/>
            </w:pPr>
            <w:r>
              <w:rPr>
                <w:rFonts w:ascii="宋体" w:hAnsi="宋体" w:eastAsia="宋体"/>
                <w:sz w:val="16"/>
              </w:rPr>
              <w:t>公务保障用车数量</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FB62021">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15C22B2">
            <w:pPr>
              <w:jc w:val="center"/>
            </w:pPr>
            <w:r>
              <w:rPr>
                <w:rFonts w:ascii="宋体" w:hAnsi="宋体" w:eastAsia="宋体"/>
                <w:sz w:val="16"/>
              </w:rPr>
              <w:t>=1辆</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0223102">
            <w:pPr>
              <w:jc w:val="center"/>
            </w:pPr>
            <w:r>
              <w:rPr>
                <w:rFonts w:ascii="宋体" w:hAnsi="宋体" w:eastAsia="宋体"/>
                <w:sz w:val="16"/>
              </w:rPr>
              <w:t>=1辆</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02BF195">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2581613">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833D78A">
            <w:pPr>
              <w:jc w:val="center"/>
            </w:pPr>
            <w:r>
              <w:rPr>
                <w:rFonts w:ascii="宋体" w:hAnsi="宋体" w:eastAsia="宋体"/>
                <w:sz w:val="16"/>
              </w:rPr>
              <w:t>计划标准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1531FD6">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BC2337B">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404B99">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38928C5B">
            <w:pPr>
              <w:jc w:val="center"/>
            </w:pPr>
          </w:p>
        </w:tc>
      </w:tr>
      <w:tr w14:paraId="4A0CFA04">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2C1CEB8C"/>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327271BC"/>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6205D532"/>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1E90A42E">
            <w:pPr>
              <w:jc w:val="center"/>
            </w:pPr>
            <w:r>
              <w:rPr>
                <w:rFonts w:ascii="宋体" w:hAnsi="宋体" w:eastAsia="宋体"/>
                <w:sz w:val="16"/>
              </w:rPr>
              <w:t>保障办公人员数量</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4A9467CB">
            <w:pPr>
              <w:jc w:val="center"/>
            </w:pPr>
            <w:r>
              <w:rPr>
                <w:rFonts w:ascii="宋体" w:hAnsi="宋体" w:eastAsia="宋体"/>
                <w:sz w:val="16"/>
              </w:rPr>
              <w:t>15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5F64DCE7">
            <w:pPr>
              <w:jc w:val="center"/>
            </w:pPr>
            <w:r>
              <w:rPr>
                <w:rFonts w:ascii="宋体" w:hAnsi="宋体" w:eastAsia="宋体"/>
                <w:sz w:val="16"/>
              </w:rPr>
              <w:t>&gt;=1人</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7CFCB09">
            <w:pPr>
              <w:jc w:val="center"/>
            </w:pPr>
            <w:r>
              <w:rPr>
                <w:rFonts w:ascii="宋体" w:hAnsi="宋体" w:eastAsia="宋体"/>
                <w:sz w:val="16"/>
              </w:rPr>
              <w:t>=1人</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3CC25497">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C932DD7">
            <w:pPr>
              <w:jc w:val="center"/>
            </w:pPr>
            <w:r>
              <w:rPr>
                <w:rFonts w:ascii="宋体" w:hAnsi="宋体" w:eastAsia="宋体"/>
                <w:sz w:val="16"/>
              </w:rPr>
              <w:t>15</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5FDB19D">
            <w:pPr>
              <w:jc w:val="center"/>
            </w:pPr>
            <w:r>
              <w:rPr>
                <w:rFonts w:ascii="宋体" w:hAnsi="宋体" w:eastAsia="宋体"/>
                <w:sz w:val="16"/>
              </w:rPr>
              <w:t>计划标准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0449288">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6EF1A2A">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6D3955">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6D193E8E">
            <w:pPr>
              <w:jc w:val="center"/>
            </w:pPr>
          </w:p>
        </w:tc>
      </w:tr>
      <w:tr w14:paraId="131F861A">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4E77044"/>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71B7CA0E"/>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682BDE7">
            <w:pPr>
              <w:jc w:val="center"/>
            </w:pPr>
            <w:r>
              <w:rPr>
                <w:rFonts w:ascii="宋体" w:hAnsi="宋体" w:eastAsia="宋体"/>
                <w:sz w:val="16"/>
              </w:rPr>
              <w:t>质量指标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7C8AF5E1">
            <w:pPr>
              <w:jc w:val="center"/>
            </w:pPr>
            <w:r>
              <w:rPr>
                <w:rFonts w:ascii="宋体" w:hAnsi="宋体" w:eastAsia="宋体"/>
                <w:sz w:val="16"/>
              </w:rPr>
              <w:t>保障机关正常运行率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2CA323E">
            <w:pPr>
              <w:jc w:val="center"/>
            </w:pPr>
            <w:r>
              <w:rPr>
                <w:rFonts w:ascii="宋体" w:hAnsi="宋体" w:eastAsia="宋体"/>
                <w:sz w:val="16"/>
              </w:rPr>
              <w:t>5</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4242311B">
            <w:pPr>
              <w:jc w:val="center"/>
            </w:pPr>
            <w:r>
              <w:rPr>
                <w:rFonts w:ascii="宋体" w:hAnsi="宋体" w:eastAsia="宋体"/>
                <w:sz w:val="16"/>
              </w:rPr>
              <w:t>&gt;=95%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805E22D">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07A44823">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10055F7">
            <w:pPr>
              <w:jc w:val="center"/>
            </w:pPr>
            <w:r>
              <w:rPr>
                <w:rFonts w:ascii="宋体" w:hAnsi="宋体" w:eastAsia="宋体"/>
                <w:sz w:val="16"/>
              </w:rPr>
              <w:t>4.74</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8BD3319">
            <w:pPr>
              <w:jc w:val="center"/>
            </w:pPr>
            <w:r>
              <w:rPr>
                <w:rFonts w:ascii="宋体" w:hAnsi="宋体" w:eastAsia="宋体"/>
                <w:sz w:val="16"/>
              </w:rPr>
              <w:t>计划标准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3AA0C6E">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F85483C">
            <w:pPr>
              <w:jc w:val="center"/>
            </w:pPr>
            <w:r>
              <w:rPr>
                <w:rFonts w:ascii="宋体" w:hAnsi="宋体" w:eastAsia="宋体"/>
                <w:sz w:val="16"/>
              </w:rPr>
              <w:t>按照完成比例赋分</w:t>
            </w:r>
          </w:p>
        </w:tc>
        <w:tc>
          <w:tcPr>
            <w:tcW w:w="603"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251688">
            <w:pPr>
              <w:jc w:val="center"/>
            </w:pPr>
            <w:r>
              <w:rPr>
                <w:rFonts w:ascii="宋体" w:hAnsi="宋体" w:eastAsia="宋体"/>
                <w:sz w:val="16"/>
              </w:rPr>
              <w:t>工作资料</w:t>
            </w:r>
          </w:p>
        </w:tc>
        <w:tc>
          <w:tcPr>
            <w:tcW w:w="856" w:type="dxa"/>
            <w:tcBorders>
              <w:top w:val="single" w:color="auto" w:sz="10" w:space="0"/>
              <w:left w:val="single" w:color="auto" w:sz="10" w:space="0"/>
              <w:bottom w:val="single" w:color="auto" w:sz="10" w:space="0"/>
              <w:right w:val="single" w:color="auto" w:sz="10" w:space="0"/>
              <w:insideV w:val="single" w:sz="10" w:space="0"/>
            </w:tcBorders>
            <w:vAlign w:val="center"/>
          </w:tcPr>
          <w:p w14:paraId="56FEB8A2">
            <w:pPr>
              <w:jc w:val="center"/>
            </w:pPr>
            <w:r>
              <w:rPr>
                <w:rFonts w:ascii="宋体" w:hAnsi="宋体" w:eastAsia="宋体"/>
                <w:sz w:val="16"/>
              </w:rPr>
              <w:t>年初设置质量指标保障机关正常运行率为95%，实际完成值为100%,</w:t>
            </w:r>
          </w:p>
        </w:tc>
      </w:tr>
      <w:tr w14:paraId="27B83F1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05B14EF"/>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085789AB"/>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B7B2FCD">
            <w:pPr>
              <w:jc w:val="center"/>
            </w:pPr>
            <w:r>
              <w:rPr>
                <w:rFonts w:ascii="宋体" w:hAnsi="宋体" w:eastAsia="宋体"/>
                <w:sz w:val="16"/>
              </w:rPr>
              <w:t>时效指标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95B6A39">
            <w:pPr>
              <w:jc w:val="center"/>
            </w:pPr>
            <w:r>
              <w:rPr>
                <w:rFonts w:ascii="宋体" w:hAnsi="宋体" w:eastAsia="宋体"/>
                <w:sz w:val="16"/>
              </w:rPr>
              <w:t>项目完成时间</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6097546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E66F830">
            <w:pPr>
              <w:jc w:val="center"/>
            </w:pPr>
            <w:r>
              <w:rPr>
                <w:rFonts w:ascii="宋体" w:hAnsi="宋体" w:eastAsia="宋体"/>
                <w:sz w:val="16"/>
              </w:rPr>
              <w:t>2024年12月20日前</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07BA7BC">
            <w:pPr>
              <w:jc w:val="center"/>
            </w:pPr>
            <w:r>
              <w:rPr>
                <w:rFonts w:ascii="宋体" w:hAnsi="宋体" w:eastAsia="宋体"/>
                <w:sz w:val="16"/>
              </w:rPr>
              <w:t>2024年12月20日</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22A1179E">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2B9C723">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88616D7">
            <w:pPr>
              <w:jc w:val="center"/>
            </w:pPr>
            <w:r>
              <w:rPr>
                <w:rFonts w:ascii="宋体" w:hAnsi="宋体" w:eastAsia="宋体"/>
                <w:sz w:val="16"/>
              </w:rPr>
              <w:t>计划标准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27F373C">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DE92B58">
            <w:pPr>
              <w:jc w:val="center"/>
            </w:pPr>
            <w:r>
              <w:rPr>
                <w:rFonts w:ascii="宋体" w:hAnsi="宋体" w:eastAsia="宋体"/>
                <w:sz w:val="16"/>
              </w:rPr>
              <w:t>直接赋分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114EEBA">
            <w:pPr>
              <w:jc w:val="center"/>
            </w:pPr>
            <w:r>
              <w:rPr>
                <w:rFonts w:ascii="宋体" w:hAnsi="宋体" w:eastAsia="宋体"/>
                <w:sz w:val="16"/>
              </w:rPr>
              <w:t>工作资料</w:t>
            </w:r>
          </w:p>
        </w:tc>
        <w:tc>
          <w:tcPr>
            <w:tcW w:w="10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BD2AAD">
            <w:pPr>
              <w:jc w:val="center"/>
            </w:pPr>
          </w:p>
        </w:tc>
      </w:tr>
      <w:tr w14:paraId="0D49F0F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511D70DE"/>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0DA36D7">
            <w:pPr>
              <w:jc w:val="center"/>
            </w:pPr>
            <w:r>
              <w:rPr>
                <w:rFonts w:ascii="宋体" w:hAnsi="宋体" w:eastAsia="宋体"/>
                <w:sz w:val="16"/>
              </w:rPr>
              <w:t>成本指标</w:t>
            </w:r>
          </w:p>
        </w:tc>
        <w:tc>
          <w:tcPr>
            <w:tcW w:w="60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FA73B98">
            <w:pPr>
              <w:jc w:val="center"/>
            </w:pPr>
            <w:r>
              <w:rPr>
                <w:rFonts w:ascii="宋体" w:hAnsi="宋体" w:eastAsia="宋体"/>
                <w:sz w:val="16"/>
              </w:rPr>
              <w:t>经济成本指标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96AC2BB">
            <w:pPr>
              <w:jc w:val="center"/>
            </w:pPr>
            <w:r>
              <w:rPr>
                <w:rFonts w:ascii="宋体" w:hAnsi="宋体" w:eastAsia="宋体"/>
                <w:sz w:val="16"/>
              </w:rPr>
              <w:t>劳务费</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5BE3D178">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1779BB3C">
            <w:pPr>
              <w:jc w:val="center"/>
            </w:pPr>
            <w:r>
              <w:rPr>
                <w:rFonts w:ascii="宋体" w:hAnsi="宋体" w:eastAsia="宋体"/>
                <w:sz w:val="16"/>
              </w:rPr>
              <w:t>&lt;=5.96万元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6F1CC06E">
            <w:pPr>
              <w:jc w:val="center"/>
            </w:pPr>
            <w:r>
              <w:rPr>
                <w:rFonts w:ascii="宋体" w:hAnsi="宋体" w:eastAsia="宋体"/>
                <w:sz w:val="16"/>
              </w:rPr>
              <w:t>=5.35万元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E72543F">
            <w:pPr>
              <w:jc w:val="center"/>
            </w:pPr>
            <w:r>
              <w:rPr>
                <w:rFonts w:ascii="宋体" w:hAnsi="宋体" w:eastAsia="宋体"/>
                <w:sz w:val="16"/>
              </w:rPr>
              <w:t>89.77%</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53ECA236">
            <w:pPr>
              <w:jc w:val="center"/>
            </w:pPr>
            <w:r>
              <w:rPr>
                <w:rFonts w:ascii="宋体" w:hAnsi="宋体" w:eastAsia="宋体"/>
                <w:sz w:val="16"/>
              </w:rPr>
              <w:t>7.44</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81EABFB">
            <w:pPr>
              <w:jc w:val="center"/>
            </w:pPr>
            <w:r>
              <w:rPr>
                <w:rFonts w:ascii="宋体" w:hAnsi="宋体" w:eastAsia="宋体"/>
                <w:sz w:val="16"/>
              </w:rPr>
              <w:t>预算支出标准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151D42C">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1E8BAAB3">
            <w:pPr>
              <w:jc w:val="center"/>
            </w:pPr>
            <w:r>
              <w:rPr>
                <w:rFonts w:ascii="宋体" w:hAnsi="宋体" w:eastAsia="宋体"/>
                <w:sz w:val="16"/>
              </w:rPr>
              <w:t>按照完成比例赋分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1E39990A">
            <w:pPr>
              <w:jc w:val="center"/>
            </w:pPr>
            <w:r>
              <w:rPr>
                <w:rFonts w:ascii="宋体" w:hAnsi="宋体" w:eastAsia="宋体"/>
                <w:sz w:val="16"/>
              </w:rPr>
              <w:t>原始凭证</w:t>
            </w:r>
          </w:p>
        </w:tc>
        <w:tc>
          <w:tcPr>
            <w:tcW w:w="10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AE694F">
            <w:pPr>
              <w:jc w:val="center"/>
            </w:pPr>
            <w:r>
              <w:rPr>
                <w:rFonts w:ascii="宋体" w:hAnsi="宋体" w:eastAsia="宋体"/>
                <w:sz w:val="16"/>
              </w:rPr>
              <w:t>经济成本指标劳务费年初设置指标为5.96万元，单位驾驶员因病住院期间，扣回20%的工资，所以实际完成值为5.36万元，偏差率为10.23%。</w:t>
            </w:r>
          </w:p>
        </w:tc>
      </w:tr>
      <w:tr w14:paraId="19C3135D">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4B2707EB"/>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4EBBCAA6"/>
        </w:tc>
        <w:tc>
          <w:tcPr>
            <w:tcW w:w="603" w:type="dxa"/>
            <w:vMerge w:val="continue"/>
            <w:tcBorders>
              <w:top w:val="single" w:color="auto" w:sz="10" w:space="0"/>
              <w:left w:val="single" w:color="auto" w:sz="10" w:space="0"/>
              <w:bottom w:val="single" w:color="auto" w:sz="10" w:space="0"/>
              <w:right w:val="single" w:color="auto" w:sz="10" w:space="0"/>
              <w:insideV w:val="single" w:sz="10" w:space="0"/>
            </w:tcBorders>
          </w:tcPr>
          <w:p w14:paraId="188E8444"/>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53592DB5">
            <w:pPr>
              <w:jc w:val="center"/>
            </w:pPr>
            <w:r>
              <w:rPr>
                <w:rFonts w:ascii="宋体" w:hAnsi="宋体" w:eastAsia="宋体"/>
                <w:sz w:val="16"/>
              </w:rPr>
              <w:t>车辆租赁费</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70D5BCAC">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248BA3A0">
            <w:pPr>
              <w:jc w:val="center"/>
            </w:pPr>
            <w:r>
              <w:rPr>
                <w:rFonts w:ascii="宋体" w:hAnsi="宋体" w:eastAsia="宋体"/>
                <w:sz w:val="16"/>
              </w:rPr>
              <w:t>=3.50万元</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045B61DA">
            <w:pPr>
              <w:jc w:val="center"/>
            </w:pPr>
            <w:r>
              <w:rPr>
                <w:rFonts w:ascii="宋体" w:hAnsi="宋体" w:eastAsia="宋体"/>
                <w:sz w:val="16"/>
              </w:rPr>
              <w:t>=3.5万元</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25686F3">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4ECD2D9">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56BB794C">
            <w:pPr>
              <w:jc w:val="center"/>
            </w:pPr>
            <w:r>
              <w:rPr>
                <w:rFonts w:ascii="宋体" w:hAnsi="宋体" w:eastAsia="宋体"/>
                <w:sz w:val="16"/>
              </w:rPr>
              <w:t>预算支出标准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A77C66D">
            <w:pPr>
              <w:jc w:val="center"/>
            </w:pPr>
            <w:r>
              <w:rPr>
                <w:rFonts w:ascii="宋体" w:hAnsi="宋体" w:eastAsia="宋体"/>
                <w:sz w:val="16"/>
              </w:rPr>
              <w:t>-</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BE57E9F">
            <w:pPr>
              <w:jc w:val="center"/>
            </w:pPr>
            <w:r>
              <w:rPr>
                <w:rFonts w:ascii="宋体" w:hAnsi="宋体" w:eastAsia="宋体"/>
                <w:sz w:val="16"/>
              </w:rPr>
              <w:t>按照完成比例赋分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2D30E1BB">
            <w:pPr>
              <w:jc w:val="center"/>
            </w:pPr>
            <w:r>
              <w:rPr>
                <w:rFonts w:ascii="宋体" w:hAnsi="宋体" w:eastAsia="宋体"/>
                <w:sz w:val="16"/>
              </w:rPr>
              <w:t>原始凭证</w:t>
            </w:r>
          </w:p>
        </w:tc>
        <w:tc>
          <w:tcPr>
            <w:tcW w:w="10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D503DA">
            <w:pPr>
              <w:jc w:val="center"/>
            </w:pPr>
          </w:p>
        </w:tc>
      </w:tr>
      <w:tr w14:paraId="4C5D4EC0">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12D4E036"/>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0823C7C4">
            <w:pPr>
              <w:jc w:val="center"/>
            </w:pPr>
            <w:r>
              <w:rPr>
                <w:rFonts w:ascii="宋体" w:hAnsi="宋体" w:eastAsia="宋体"/>
                <w:sz w:val="16"/>
              </w:rPr>
              <w:t>效益指标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7879F7A">
            <w:pPr>
              <w:jc w:val="center"/>
            </w:pPr>
            <w:r>
              <w:rPr>
                <w:rFonts w:ascii="宋体" w:hAnsi="宋体" w:eastAsia="宋体"/>
                <w:sz w:val="16"/>
              </w:rPr>
              <w:t>社会效益指标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0217BC59">
            <w:pPr>
              <w:jc w:val="center"/>
            </w:pPr>
            <w:r>
              <w:rPr>
                <w:rFonts w:ascii="宋体" w:hAnsi="宋体" w:eastAsia="宋体"/>
                <w:sz w:val="16"/>
              </w:rPr>
              <w:t>保障单位运转，提升服务质量</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B0AB7AB">
            <w:pPr>
              <w:jc w:val="center"/>
            </w:pPr>
            <w:r>
              <w:rPr>
                <w:rFonts w:ascii="宋体" w:hAnsi="宋体" w:eastAsia="宋体"/>
                <w:sz w:val="16"/>
              </w:rPr>
              <w:t>20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6ECFC2C7">
            <w:pPr>
              <w:jc w:val="center"/>
            </w:pPr>
            <w:r>
              <w:rPr>
                <w:rFonts w:ascii="宋体" w:hAnsi="宋体" w:eastAsia="宋体"/>
                <w:sz w:val="16"/>
              </w:rPr>
              <w:t>是</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2A57D583">
            <w:pPr>
              <w:jc w:val="center"/>
            </w:pPr>
            <w:r>
              <w:rPr>
                <w:rFonts w:ascii="宋体" w:hAnsi="宋体" w:eastAsia="宋体"/>
                <w:sz w:val="16"/>
              </w:rPr>
              <w:t>达到预期指标</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4FCC6A0C">
            <w:pPr>
              <w:jc w:val="center"/>
            </w:pPr>
            <w:r>
              <w:rPr>
                <w:rFonts w:ascii="宋体" w:hAnsi="宋体" w:eastAsia="宋体"/>
                <w:sz w:val="16"/>
              </w:rPr>
              <w:t>100%</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38F0F99C">
            <w:pPr>
              <w:jc w:val="center"/>
            </w:pPr>
            <w:r>
              <w:rPr>
                <w:rFonts w:ascii="宋体" w:hAnsi="宋体" w:eastAsia="宋体"/>
                <w:sz w:val="16"/>
              </w:rPr>
              <w:t>20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B07623E">
            <w:pPr>
              <w:jc w:val="center"/>
            </w:pPr>
            <w:r>
              <w:rPr>
                <w:rFonts w:ascii="宋体" w:hAnsi="宋体" w:eastAsia="宋体"/>
                <w:sz w:val="16"/>
              </w:rPr>
              <w:t>计划标准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45CBDA2">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211A95B0">
            <w:pPr>
              <w:jc w:val="center"/>
            </w:pPr>
            <w:r>
              <w:rPr>
                <w:rFonts w:ascii="宋体" w:hAnsi="宋体" w:eastAsia="宋体"/>
                <w:sz w:val="16"/>
              </w:rPr>
              <w:t>按评判等级赋分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034BF0B1">
            <w:pPr>
              <w:jc w:val="center"/>
            </w:pPr>
            <w:r>
              <w:rPr>
                <w:rFonts w:ascii="宋体" w:hAnsi="宋体" w:eastAsia="宋体"/>
                <w:sz w:val="16"/>
              </w:rPr>
              <w:t>工作资料</w:t>
            </w:r>
          </w:p>
        </w:tc>
        <w:tc>
          <w:tcPr>
            <w:tcW w:w="10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48FB3F">
            <w:pPr>
              <w:jc w:val="center"/>
            </w:pPr>
          </w:p>
        </w:tc>
      </w:tr>
      <w:tr w14:paraId="28E02C49">
        <w:tblPrEx>
          <w:tblCellMar>
            <w:top w:w="0" w:type="dxa"/>
            <w:left w:w="108" w:type="dxa"/>
            <w:bottom w:w="0" w:type="dxa"/>
            <w:right w:w="108" w:type="dxa"/>
          </w:tblCellMar>
        </w:tblPrEx>
        <w:tc>
          <w:tcPr>
            <w:tcW w:w="621" w:type="dxa"/>
            <w:vMerge w:val="continue"/>
            <w:tcBorders>
              <w:top w:val="single" w:color="auto" w:sz="10" w:space="0"/>
              <w:left w:val="single" w:color="auto" w:sz="10" w:space="0"/>
              <w:bottom w:val="single" w:color="auto" w:sz="10" w:space="0"/>
              <w:right w:val="single" w:color="auto" w:sz="10" w:space="0"/>
              <w:insideV w:val="single" w:sz="10" w:space="0"/>
            </w:tcBorders>
          </w:tcPr>
          <w:p w14:paraId="014D17A5"/>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D252BBA">
            <w:pPr>
              <w:jc w:val="center"/>
            </w:pPr>
            <w:r>
              <w:rPr>
                <w:rFonts w:ascii="宋体" w:hAnsi="宋体" w:eastAsia="宋体"/>
                <w:sz w:val="16"/>
              </w:rPr>
              <w:t>满意度指标</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4C3BBDE0">
            <w:pPr>
              <w:jc w:val="center"/>
            </w:pPr>
            <w:r>
              <w:rPr>
                <w:rFonts w:ascii="宋体" w:hAnsi="宋体" w:eastAsia="宋体"/>
                <w:sz w:val="16"/>
              </w:rPr>
              <w:t>满意度指标</w:t>
            </w:r>
          </w:p>
        </w:tc>
        <w:tc>
          <w:tcPr>
            <w:tcW w:w="621" w:type="dxa"/>
            <w:tcBorders>
              <w:top w:val="single" w:color="auto" w:sz="10" w:space="0"/>
              <w:left w:val="single" w:color="auto" w:sz="10" w:space="0"/>
              <w:bottom w:val="single" w:color="auto" w:sz="10" w:space="0"/>
              <w:right w:val="single" w:color="auto" w:sz="10" w:space="0"/>
              <w:insideV w:val="single" w:sz="10" w:space="0"/>
            </w:tcBorders>
            <w:vAlign w:val="center"/>
          </w:tcPr>
          <w:p w14:paraId="3537393D">
            <w:pPr>
              <w:jc w:val="center"/>
            </w:pPr>
            <w:r>
              <w:rPr>
                <w:rFonts w:ascii="宋体" w:hAnsi="宋体" w:eastAsia="宋体"/>
                <w:sz w:val="16"/>
              </w:rPr>
              <w:t>干部职工满意率</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2852763E">
            <w:pPr>
              <w:jc w:val="center"/>
            </w:pPr>
            <w:r>
              <w:rPr>
                <w:rFonts w:ascii="宋体" w:hAnsi="宋体" w:eastAsia="宋体"/>
                <w:sz w:val="16"/>
              </w:rPr>
              <w:t>10</w:t>
            </w:r>
          </w:p>
        </w:tc>
        <w:tc>
          <w:tcPr>
            <w:tcW w:w="696" w:type="dxa"/>
            <w:tcBorders>
              <w:top w:val="single" w:color="auto" w:sz="10" w:space="0"/>
              <w:left w:val="single" w:color="auto" w:sz="10" w:space="0"/>
              <w:bottom w:val="single" w:color="auto" w:sz="10" w:space="0"/>
              <w:right w:val="single" w:color="auto" w:sz="10" w:space="0"/>
              <w:insideV w:val="single" w:sz="10" w:space="0"/>
            </w:tcBorders>
            <w:vAlign w:val="center"/>
          </w:tcPr>
          <w:p w14:paraId="38FB3818">
            <w:pPr>
              <w:jc w:val="center"/>
            </w:pPr>
            <w:r>
              <w:rPr>
                <w:rFonts w:ascii="宋体" w:hAnsi="宋体" w:eastAsia="宋体"/>
                <w:sz w:val="16"/>
              </w:rPr>
              <w:t>&gt;=95%</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76EBD6E5">
            <w:pPr>
              <w:jc w:val="center"/>
            </w:pPr>
            <w:r>
              <w:rPr>
                <w:rFonts w:ascii="宋体" w:hAnsi="宋体" w:eastAsia="宋体"/>
                <w:sz w:val="16"/>
              </w:rPr>
              <w:t>=100%</w:t>
            </w:r>
          </w:p>
        </w:tc>
        <w:tc>
          <w:tcPr>
            <w:tcW w:w="776" w:type="dxa"/>
            <w:tcBorders>
              <w:top w:val="single" w:color="auto" w:sz="10" w:space="0"/>
              <w:left w:val="single" w:color="auto" w:sz="10" w:space="0"/>
              <w:bottom w:val="single" w:color="auto" w:sz="10" w:space="0"/>
              <w:right w:val="single" w:color="auto" w:sz="10" w:space="0"/>
              <w:insideV w:val="single" w:sz="10" w:space="0"/>
            </w:tcBorders>
            <w:vAlign w:val="center"/>
          </w:tcPr>
          <w:p w14:paraId="1480486E">
            <w:pPr>
              <w:jc w:val="center"/>
            </w:pPr>
            <w:r>
              <w:rPr>
                <w:rFonts w:ascii="宋体" w:hAnsi="宋体" w:eastAsia="宋体"/>
                <w:sz w:val="16"/>
              </w:rPr>
              <w:t>105.26%</w:t>
            </w:r>
          </w:p>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4A12AA1D">
            <w:pPr>
              <w:jc w:val="center"/>
            </w:pPr>
            <w:r>
              <w:rPr>
                <w:rFonts w:ascii="宋体" w:hAnsi="宋体" w:eastAsia="宋体"/>
                <w:sz w:val="16"/>
              </w:rPr>
              <w:t>10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6055B83D">
            <w:pPr>
              <w:jc w:val="center"/>
            </w:pPr>
            <w:r>
              <w:rPr>
                <w:rFonts w:ascii="宋体" w:hAnsi="宋体" w:eastAsia="宋体"/>
                <w:sz w:val="16"/>
              </w:rPr>
              <w:t>计划标准</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379AC4E3">
            <w:pPr>
              <w:jc w:val="center"/>
            </w:pPr>
            <w:r>
              <w:rPr>
                <w:rFonts w:ascii="宋体" w:hAnsi="宋体" w:eastAsia="宋体"/>
                <w:sz w:val="16"/>
              </w:rPr>
              <w:t>0</w:t>
            </w:r>
          </w:p>
        </w:tc>
        <w:tc>
          <w:tcPr>
            <w:tcW w:w="603" w:type="dxa"/>
            <w:tcBorders>
              <w:top w:val="single" w:color="auto" w:sz="10" w:space="0"/>
              <w:left w:val="single" w:color="auto" w:sz="10" w:space="0"/>
              <w:bottom w:val="single" w:color="auto" w:sz="10" w:space="0"/>
              <w:right w:val="single" w:color="auto" w:sz="10" w:space="0"/>
              <w:insideV w:val="single" w:sz="10" w:space="0"/>
            </w:tcBorders>
            <w:vAlign w:val="center"/>
          </w:tcPr>
          <w:p w14:paraId="76193EB3">
            <w:pPr>
              <w:jc w:val="center"/>
            </w:pPr>
            <w:r>
              <w:rPr>
                <w:rFonts w:ascii="宋体" w:hAnsi="宋体" w:eastAsia="宋体"/>
                <w:sz w:val="16"/>
              </w:rPr>
              <w:t>满意度赋分</w:t>
            </w:r>
          </w:p>
        </w:tc>
        <w:tc>
          <w:tcPr>
            <w:tcW w:w="458" w:type="dxa"/>
            <w:tcBorders>
              <w:top w:val="single" w:color="auto" w:sz="10" w:space="0"/>
              <w:left w:val="single" w:color="auto" w:sz="10" w:space="0"/>
              <w:bottom w:val="single" w:color="auto" w:sz="10" w:space="0"/>
              <w:right w:val="single" w:color="auto" w:sz="10" w:space="0"/>
              <w:insideV w:val="single" w:sz="10" w:space="0"/>
            </w:tcBorders>
            <w:vAlign w:val="center"/>
          </w:tcPr>
          <w:p w14:paraId="2DFDE325">
            <w:pPr>
              <w:jc w:val="center"/>
            </w:pPr>
            <w:r>
              <w:rPr>
                <w:rFonts w:ascii="宋体" w:hAnsi="宋体" w:eastAsia="宋体"/>
                <w:sz w:val="16"/>
              </w:rPr>
              <w:t>工作资料</w:t>
            </w:r>
          </w:p>
        </w:tc>
        <w:tc>
          <w:tcPr>
            <w:tcW w:w="1001"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AC11E1">
            <w:pPr>
              <w:jc w:val="center"/>
            </w:pPr>
            <w:r>
              <w:rPr>
                <w:rFonts w:ascii="宋体" w:hAnsi="宋体" w:eastAsia="宋体"/>
                <w:sz w:val="16"/>
              </w:rPr>
              <w:t>年初设置满意度指标干部职工满意率为95%，实际完成值为100%,所以偏差率为-5.26%。</w:t>
            </w:r>
          </w:p>
        </w:tc>
      </w:tr>
      <w:tr w14:paraId="49F3D92D">
        <w:tblPrEx>
          <w:tblCellMar>
            <w:top w:w="0" w:type="dxa"/>
            <w:left w:w="108" w:type="dxa"/>
            <w:bottom w:w="0" w:type="dxa"/>
            <w:right w:w="108" w:type="dxa"/>
          </w:tblCellMar>
        </w:tblPrEx>
        <w:tc>
          <w:tcPr>
            <w:tcW w:w="244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7C1482C">
            <w:pPr>
              <w:jc w:val="center"/>
            </w:pPr>
            <w:r>
              <w:rPr>
                <w:rFonts w:ascii="宋体" w:hAnsi="宋体" w:eastAsia="宋体"/>
                <w:sz w:val="16"/>
              </w:rPr>
              <w:t>总分</w:t>
            </w:r>
          </w:p>
        </w:tc>
        <w:tc>
          <w:tcPr>
            <w:tcW w:w="612" w:type="dxa"/>
            <w:tcBorders>
              <w:top w:val="single" w:color="auto" w:sz="10" w:space="0"/>
              <w:left w:val="single" w:color="auto" w:sz="10" w:space="0"/>
              <w:bottom w:val="single" w:color="auto" w:sz="10" w:space="0"/>
              <w:right w:val="single" w:color="auto" w:sz="10" w:space="0"/>
              <w:insideV w:val="single" w:sz="10" w:space="0"/>
            </w:tcBorders>
            <w:vAlign w:val="center"/>
          </w:tcPr>
          <w:p w14:paraId="3A4CCF9B">
            <w:pPr>
              <w:jc w:val="center"/>
            </w:pPr>
            <w:r>
              <w:rPr>
                <w:rFonts w:ascii="宋体" w:hAnsi="宋体" w:eastAsia="宋体"/>
                <w:sz w:val="16"/>
              </w:rPr>
              <w:t>100</w:t>
            </w:r>
          </w:p>
        </w:tc>
        <w:tc>
          <w:tcPr>
            <w:tcW w:w="696" w:type="dxa"/>
            <w:tcBorders>
              <w:top w:val="single" w:color="auto" w:sz="10" w:space="0"/>
              <w:left w:val="single" w:color="auto" w:sz="10" w:space="0"/>
              <w:bottom w:val="single" w:color="auto" w:sz="10" w:space="0"/>
              <w:right w:val="single" w:color="auto" w:sz="10" w:space="0"/>
              <w:insideV w:val="single" w:sz="10" w:space="0"/>
            </w:tcBorders>
          </w:tcPr>
          <w:p w14:paraId="2D7C6E39"/>
        </w:tc>
        <w:tc>
          <w:tcPr>
            <w:tcW w:w="630" w:type="dxa"/>
            <w:tcBorders>
              <w:top w:val="single" w:color="auto" w:sz="10" w:space="0"/>
              <w:left w:val="single" w:color="auto" w:sz="10" w:space="0"/>
              <w:bottom w:val="single" w:color="auto" w:sz="10" w:space="0"/>
              <w:right w:val="single" w:color="auto" w:sz="10" w:space="0"/>
              <w:insideV w:val="single" w:sz="10" w:space="0"/>
            </w:tcBorders>
          </w:tcPr>
          <w:p w14:paraId="4397A53C"/>
        </w:tc>
        <w:tc>
          <w:tcPr>
            <w:tcW w:w="776" w:type="dxa"/>
            <w:tcBorders>
              <w:top w:val="single" w:color="auto" w:sz="10" w:space="0"/>
              <w:left w:val="single" w:color="auto" w:sz="10" w:space="0"/>
              <w:bottom w:val="single" w:color="auto" w:sz="10" w:space="0"/>
              <w:right w:val="single" w:color="auto" w:sz="10" w:space="0"/>
              <w:insideV w:val="single" w:sz="10" w:space="0"/>
            </w:tcBorders>
          </w:tcPr>
          <w:p w14:paraId="3B3A2AD5"/>
        </w:tc>
        <w:tc>
          <w:tcPr>
            <w:tcW w:w="630" w:type="dxa"/>
            <w:tcBorders>
              <w:top w:val="single" w:color="auto" w:sz="10" w:space="0"/>
              <w:left w:val="single" w:color="auto" w:sz="10" w:space="0"/>
              <w:bottom w:val="single" w:color="auto" w:sz="10" w:space="0"/>
              <w:right w:val="single" w:color="auto" w:sz="10" w:space="0"/>
              <w:insideV w:val="single" w:sz="10" w:space="0"/>
            </w:tcBorders>
            <w:vAlign w:val="center"/>
          </w:tcPr>
          <w:p w14:paraId="1ECFE26E">
            <w:pPr>
              <w:jc w:val="center"/>
            </w:pPr>
            <w:r>
              <w:rPr>
                <w:rFonts w:ascii="宋体" w:hAnsi="宋体" w:eastAsia="宋体"/>
                <w:sz w:val="16"/>
              </w:rPr>
              <w:t>97.18分</w:t>
            </w:r>
          </w:p>
        </w:tc>
        <w:tc>
          <w:tcPr>
            <w:tcW w:w="603" w:type="dxa"/>
            <w:tcBorders>
              <w:top w:val="single" w:color="auto" w:sz="10" w:space="0"/>
              <w:left w:val="single" w:color="auto" w:sz="10" w:space="0"/>
              <w:bottom w:val="single" w:color="auto" w:sz="10" w:space="0"/>
              <w:right w:val="single" w:color="auto" w:sz="10" w:space="0"/>
              <w:insideV w:val="single" w:sz="10" w:space="0"/>
            </w:tcBorders>
          </w:tcPr>
          <w:p w14:paraId="1F114E51"/>
        </w:tc>
        <w:tc>
          <w:tcPr>
            <w:tcW w:w="603" w:type="dxa"/>
            <w:tcBorders>
              <w:top w:val="single" w:color="auto" w:sz="10" w:space="0"/>
              <w:left w:val="single" w:color="auto" w:sz="10" w:space="0"/>
              <w:bottom w:val="single" w:color="auto" w:sz="10" w:space="0"/>
              <w:right w:val="single" w:color="auto" w:sz="10" w:space="0"/>
              <w:insideV w:val="single" w:sz="10" w:space="0"/>
            </w:tcBorders>
          </w:tcPr>
          <w:p w14:paraId="2AEDCEEA"/>
        </w:tc>
        <w:tc>
          <w:tcPr>
            <w:tcW w:w="603" w:type="dxa"/>
            <w:tcBorders>
              <w:top w:val="single" w:color="auto" w:sz="10" w:space="0"/>
              <w:left w:val="single" w:color="auto" w:sz="10" w:space="0"/>
              <w:bottom w:val="single" w:color="auto" w:sz="10" w:space="0"/>
              <w:right w:val="single" w:color="auto" w:sz="10" w:space="0"/>
              <w:insideV w:val="single" w:sz="10" w:space="0"/>
            </w:tcBorders>
          </w:tcPr>
          <w:p w14:paraId="17ADF60F"/>
        </w:tc>
        <w:tc>
          <w:tcPr>
            <w:tcW w:w="458" w:type="dxa"/>
            <w:tcBorders>
              <w:top w:val="single" w:color="auto" w:sz="10" w:space="0"/>
              <w:left w:val="single" w:color="auto" w:sz="10" w:space="0"/>
              <w:bottom w:val="single" w:color="auto" w:sz="10" w:space="0"/>
              <w:right w:val="single" w:color="auto" w:sz="10" w:space="0"/>
              <w:insideV w:val="single" w:sz="10" w:space="0"/>
            </w:tcBorders>
          </w:tcPr>
          <w:p w14:paraId="27B98430"/>
        </w:tc>
        <w:tc>
          <w:tcPr>
            <w:tcW w:w="1001" w:type="dxa"/>
            <w:gridSpan w:val="2"/>
            <w:tcBorders>
              <w:top w:val="single" w:color="auto" w:sz="10" w:space="0"/>
              <w:left w:val="single" w:color="auto" w:sz="10" w:space="0"/>
              <w:bottom w:val="single" w:color="auto" w:sz="10" w:space="0"/>
              <w:right w:val="single" w:color="auto" w:sz="10" w:space="0"/>
              <w:insideV w:val="single" w:sz="10" w:space="0"/>
            </w:tcBorders>
          </w:tcPr>
          <w:p w14:paraId="5317955F"/>
        </w:tc>
      </w:tr>
    </w:tbl>
    <w:p w14:paraId="06D63FAC">
      <w:r>
        <w:br w:type="page"/>
      </w:r>
    </w:p>
    <w:p w14:paraId="3F4B619C">
      <w:pPr>
        <w:spacing w:line="640" w:lineRule="exact"/>
        <w:ind w:firstLine="640"/>
        <w:jc w:val="both"/>
        <w:outlineLvl w:val="2"/>
      </w:pPr>
      <w:r>
        <w:rPr>
          <w:rFonts w:ascii="黑体" w:hAnsi="黑体" w:eastAsia="黑体"/>
          <w:sz w:val="32"/>
        </w:rPr>
        <w:t>十二、其他需说明的事项</w:t>
      </w:r>
    </w:p>
    <w:p w14:paraId="7A2A91F2">
      <w:pPr>
        <w:spacing w:line="580" w:lineRule="exact"/>
        <w:ind w:firstLine="640"/>
        <w:jc w:val="both"/>
      </w:pPr>
      <w:r>
        <w:rPr>
          <w:rFonts w:ascii="仿宋_GB2312" w:hAnsi="仿宋_GB2312" w:eastAsia="仿宋_GB2312"/>
          <w:b w:val="0"/>
          <w:sz w:val="32"/>
        </w:rPr>
        <w:t>本单位无其他需说明的事项。</w:t>
      </w:r>
    </w:p>
    <w:p w14:paraId="5DF2380F">
      <w:r>
        <w:br w:type="page"/>
      </w:r>
    </w:p>
    <w:p w14:paraId="2E382D1B">
      <w:pPr>
        <w:spacing w:line="240" w:lineRule="auto"/>
        <w:jc w:val="center"/>
        <w:outlineLvl w:val="1"/>
      </w:pPr>
      <w:r>
        <w:rPr>
          <w:rFonts w:ascii="黑体" w:hAnsi="黑体" w:eastAsia="黑体"/>
          <w:sz w:val="32"/>
        </w:rPr>
        <w:t>第三部分 专业名词解释</w:t>
      </w:r>
    </w:p>
    <w:p w14:paraId="7828F355">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6DBB6E28">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334A73B5">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673695DB">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229DCF7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4E4754A">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256AF191">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F0B6B63">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2F1D82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966D89C">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1C6D17C">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29A19558">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AA749FD">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03616A76">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14292406">
      <w:r>
        <w:br w:type="page"/>
      </w:r>
    </w:p>
    <w:p w14:paraId="0007E5FE">
      <w:pPr>
        <w:spacing w:line="240" w:lineRule="auto"/>
        <w:jc w:val="center"/>
        <w:outlineLvl w:val="1"/>
      </w:pPr>
      <w:r>
        <w:rPr>
          <w:rFonts w:ascii="黑体" w:hAnsi="黑体" w:eastAsia="黑体"/>
          <w:sz w:val="32"/>
        </w:rPr>
        <w:t>第四部分 部门决算报表（见附表）</w:t>
      </w:r>
    </w:p>
    <w:p w14:paraId="0A7E3A14">
      <w:pPr>
        <w:spacing w:line="240" w:lineRule="auto"/>
        <w:ind w:firstLine="640"/>
        <w:jc w:val="both"/>
      </w:pPr>
      <w:r>
        <w:rPr>
          <w:rFonts w:ascii="仿宋_GB2312" w:hAnsi="仿宋_GB2312" w:eastAsia="仿宋_GB2312"/>
          <w:b w:val="0"/>
          <w:sz w:val="32"/>
        </w:rPr>
        <w:t>一、《收入支出决算总表》</w:t>
      </w:r>
    </w:p>
    <w:p w14:paraId="4518C4DD">
      <w:pPr>
        <w:spacing w:line="240" w:lineRule="auto"/>
        <w:ind w:firstLine="640"/>
        <w:jc w:val="both"/>
      </w:pPr>
      <w:r>
        <w:rPr>
          <w:rFonts w:ascii="仿宋_GB2312" w:hAnsi="仿宋_GB2312" w:eastAsia="仿宋_GB2312"/>
          <w:b w:val="0"/>
          <w:sz w:val="32"/>
        </w:rPr>
        <w:t>二、《收入决算表》</w:t>
      </w:r>
    </w:p>
    <w:p w14:paraId="6D80C898">
      <w:pPr>
        <w:spacing w:line="240" w:lineRule="auto"/>
        <w:ind w:firstLine="640"/>
        <w:jc w:val="both"/>
      </w:pPr>
      <w:r>
        <w:rPr>
          <w:rFonts w:ascii="仿宋_GB2312" w:hAnsi="仿宋_GB2312" w:eastAsia="仿宋_GB2312"/>
          <w:b w:val="0"/>
          <w:sz w:val="32"/>
        </w:rPr>
        <w:t>三、《支出决算表》</w:t>
      </w:r>
    </w:p>
    <w:p w14:paraId="67088D1F">
      <w:pPr>
        <w:spacing w:line="240" w:lineRule="auto"/>
        <w:ind w:firstLine="640"/>
        <w:jc w:val="both"/>
      </w:pPr>
      <w:r>
        <w:rPr>
          <w:rFonts w:ascii="仿宋_GB2312" w:hAnsi="仿宋_GB2312" w:eastAsia="仿宋_GB2312"/>
          <w:b w:val="0"/>
          <w:sz w:val="32"/>
        </w:rPr>
        <w:t>四、《财政拨款收入支出决算总表》</w:t>
      </w:r>
    </w:p>
    <w:p w14:paraId="6D1993A0">
      <w:pPr>
        <w:spacing w:line="240" w:lineRule="auto"/>
        <w:ind w:firstLine="640"/>
        <w:jc w:val="both"/>
      </w:pPr>
      <w:r>
        <w:rPr>
          <w:rFonts w:ascii="仿宋_GB2312" w:hAnsi="仿宋_GB2312" w:eastAsia="仿宋_GB2312"/>
          <w:b w:val="0"/>
          <w:sz w:val="32"/>
        </w:rPr>
        <w:t>五、《一般公共预算财政拨款支出决算表》</w:t>
      </w:r>
    </w:p>
    <w:p w14:paraId="2AE6E8BF">
      <w:pPr>
        <w:spacing w:line="240" w:lineRule="auto"/>
        <w:ind w:firstLine="640"/>
        <w:jc w:val="both"/>
      </w:pPr>
      <w:r>
        <w:rPr>
          <w:rFonts w:ascii="仿宋_GB2312" w:hAnsi="仿宋_GB2312" w:eastAsia="仿宋_GB2312"/>
          <w:b w:val="0"/>
          <w:sz w:val="32"/>
        </w:rPr>
        <w:t>六、《一般公共预算财政拨款基本支出决算表》</w:t>
      </w:r>
    </w:p>
    <w:p w14:paraId="2C6A5449">
      <w:pPr>
        <w:spacing w:line="240" w:lineRule="auto"/>
        <w:ind w:firstLine="640"/>
        <w:jc w:val="both"/>
      </w:pPr>
      <w:r>
        <w:rPr>
          <w:rFonts w:ascii="仿宋_GB2312" w:hAnsi="仿宋_GB2312" w:eastAsia="仿宋_GB2312"/>
          <w:b w:val="0"/>
          <w:sz w:val="32"/>
        </w:rPr>
        <w:t>七、《政府性基金预算财政拨款收入支出决算表》</w:t>
      </w:r>
    </w:p>
    <w:p w14:paraId="273CF174">
      <w:pPr>
        <w:spacing w:line="240" w:lineRule="auto"/>
        <w:ind w:firstLine="640"/>
        <w:jc w:val="both"/>
      </w:pPr>
      <w:r>
        <w:rPr>
          <w:rFonts w:ascii="仿宋_GB2312" w:hAnsi="仿宋_GB2312" w:eastAsia="仿宋_GB2312"/>
          <w:b w:val="0"/>
          <w:sz w:val="32"/>
        </w:rPr>
        <w:t>八、《国有资本经营预算财政拨款收入支出决算表》</w:t>
      </w:r>
    </w:p>
    <w:p w14:paraId="55B32201">
      <w:pPr>
        <w:spacing w:line="240" w:lineRule="auto"/>
        <w:ind w:firstLine="640"/>
        <w:jc w:val="both"/>
      </w:pPr>
      <w:r>
        <w:rPr>
          <w:rFonts w:ascii="仿宋_GB2312" w:hAnsi="仿宋_GB2312" w:eastAsia="仿宋_GB2312"/>
          <w:b w:val="0"/>
          <w:sz w:val="32"/>
        </w:rPr>
        <w:t>九、《财政拨款“三公”经费支出决算表》</w:t>
      </w:r>
    </w:p>
    <w:p w14:paraId="4BB2F060">
      <w:pPr>
        <w:spacing w:line="240" w:lineRule="auto"/>
        <w:ind w:firstLine="640"/>
        <w:jc w:val="both"/>
      </w:pPr>
    </w:p>
    <w:p w14:paraId="153F97F7">
      <w:pPr>
        <w:spacing w:line="240" w:lineRule="auto"/>
        <w:ind w:firstLine="640"/>
        <w:jc w:val="both"/>
      </w:pPr>
    </w:p>
    <w:p w14:paraId="0EF45B61">
      <w:pPr>
        <w:spacing w:line="240" w:lineRule="auto"/>
        <w:ind w:firstLine="640"/>
        <w:jc w:val="both"/>
      </w:pPr>
    </w:p>
    <w:p w14:paraId="1EC2115E">
      <w:pPr>
        <w:spacing w:line="240" w:lineRule="auto"/>
        <w:ind w:firstLine="640"/>
        <w:jc w:val="both"/>
      </w:pPr>
    </w:p>
    <w:p w14:paraId="12401E07">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0A27D2-B7C8-411B-AA4D-A7CECD729CC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6AF6079-DC42-4830-B5E0-A744AFC86324}"/>
  </w:font>
  <w:font w:name="仿宋_GB2312">
    <w:altName w:val="仿宋"/>
    <w:panose1 w:val="02010609030101010101"/>
    <w:charset w:val="86"/>
    <w:family w:val="modern"/>
    <w:pitch w:val="default"/>
    <w:sig w:usb0="00000000" w:usb1="00000000" w:usb2="00000000" w:usb3="00000000" w:csb0="00040000" w:csb1="00000000"/>
    <w:embedRegular r:id="rId3" w:fontKey="{71912EB9-BD34-4457-AB7E-3C7D9A7CCA01}"/>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1AD6DA1D-AE17-42DC-B2DE-5D401B96A2D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5563DF2"/>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454AE4"/>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5015</Words>
  <Characters>5663</Characters>
  <Lines>0</Lines>
  <Paragraphs>0</Paragraphs>
  <TotalTime>3</TotalTime>
  <ScaleCrop>false</ScaleCrop>
  <LinksUpToDate>false</LinksUpToDate>
  <CharactersWithSpaces>5671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