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昌吉回族自治州指挥中心2024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563969">
      <w:r>
        <w:br w:type="page"/>
      </w:r>
    </w:p>
    <w:p w14:paraId="09EF3018">
      <w:pPr>
        <w:spacing w:line="640" w:lineRule="exact"/>
        <w:jc w:val="center"/>
        <w:outlineLvl w:val="1"/>
      </w:pPr>
      <w:r>
        <w:rPr>
          <w:rFonts w:ascii="黑体" w:hAnsi="黑体" w:eastAsia="黑体"/>
          <w:sz w:val="32"/>
        </w:rPr>
        <w:t>第一部分 单位概况</w:t>
      </w:r>
    </w:p>
    <w:p w14:paraId="00AD55BE">
      <w:pPr>
        <w:spacing w:line="640" w:lineRule="exact"/>
        <w:ind w:firstLine="640"/>
        <w:jc w:val="both"/>
        <w:outlineLvl w:val="2"/>
      </w:pPr>
      <w:r>
        <w:rPr>
          <w:rFonts w:ascii="黑体" w:hAnsi="黑体" w:eastAsia="黑体"/>
          <w:sz w:val="32"/>
        </w:rPr>
        <w:t>一、主要职能</w:t>
      </w:r>
    </w:p>
    <w:p w14:paraId="0BDB8FB0">
      <w:pPr>
        <w:spacing w:line="580" w:lineRule="exact"/>
        <w:ind w:firstLine="640"/>
        <w:jc w:val="both"/>
      </w:pPr>
      <w:r>
        <w:rPr>
          <w:rFonts w:ascii="仿宋_GB2312" w:hAnsi="仿宋_GB2312" w:eastAsia="仿宋_GB2312"/>
          <w:sz w:val="32"/>
        </w:rPr>
        <w:t>本单位主要职能SM不予公开。</w:t>
      </w:r>
    </w:p>
    <w:p w14:paraId="51EED9FC">
      <w:pPr>
        <w:spacing w:line="640" w:lineRule="exact"/>
        <w:ind w:firstLine="640"/>
        <w:jc w:val="both"/>
        <w:outlineLvl w:val="2"/>
      </w:pPr>
      <w:r>
        <w:rPr>
          <w:rFonts w:ascii="黑体" w:hAnsi="黑体" w:eastAsia="黑体"/>
          <w:sz w:val="32"/>
        </w:rPr>
        <w:t>二、机构设置及人员情况</w:t>
      </w:r>
    </w:p>
    <w:p w14:paraId="4F85660C">
      <w:pPr>
        <w:spacing w:line="580" w:lineRule="exact"/>
        <w:ind w:firstLine="640"/>
        <w:jc w:val="both"/>
      </w:pPr>
      <w:r>
        <w:rPr>
          <w:rFonts w:ascii="仿宋_GB2312" w:hAnsi="仿宋_GB2312" w:eastAsia="仿宋_GB2312"/>
          <w:sz w:val="32"/>
        </w:rPr>
        <w:t>昌吉回族自治州指挥中心2024年度，实有人数18人，其中：在职人员18人，增加0人；离休人员0人，增加0人；退休人员0人,增加0人。</w:t>
      </w:r>
    </w:p>
    <w:p w14:paraId="70503615">
      <w:pPr>
        <w:spacing w:line="580" w:lineRule="exact"/>
        <w:ind w:firstLine="640"/>
        <w:jc w:val="both"/>
      </w:pPr>
      <w:r>
        <w:rPr>
          <w:rFonts w:ascii="仿宋_GB2312" w:hAnsi="仿宋_GB2312" w:eastAsia="仿宋_GB2312"/>
          <w:sz w:val="32"/>
        </w:rPr>
        <w:t>昌吉回族自治州指挥中心无下属预算单位，下设3个科室，分别是：应急协调科、信息联络科、运行维护科。</w:t>
      </w:r>
    </w:p>
    <w:p w14:paraId="48C6F471">
      <w:r>
        <w:br w:type="page"/>
      </w:r>
    </w:p>
    <w:p w14:paraId="167DD5E2">
      <w:pPr>
        <w:spacing w:line="240" w:lineRule="auto"/>
        <w:jc w:val="center"/>
        <w:outlineLvl w:val="1"/>
      </w:pPr>
      <w:r>
        <w:rPr>
          <w:rFonts w:ascii="黑体" w:hAnsi="黑体" w:eastAsia="黑体"/>
          <w:sz w:val="32"/>
        </w:rPr>
        <w:t>第二部分 部门决算情况说明</w:t>
      </w:r>
    </w:p>
    <w:p w14:paraId="5EABB4D8">
      <w:pPr>
        <w:spacing w:line="640" w:lineRule="exact"/>
        <w:ind w:firstLine="640"/>
        <w:jc w:val="both"/>
        <w:outlineLvl w:val="2"/>
      </w:pPr>
      <w:r>
        <w:rPr>
          <w:rFonts w:ascii="黑体" w:hAnsi="黑体" w:eastAsia="黑体"/>
          <w:sz w:val="32"/>
        </w:rPr>
        <w:t>一、收入支出决算总体情况说明</w:t>
      </w:r>
    </w:p>
    <w:p w14:paraId="5289F4F7">
      <w:pPr>
        <w:spacing w:line="580" w:lineRule="exact"/>
        <w:ind w:firstLine="640"/>
        <w:jc w:val="both"/>
      </w:pPr>
      <w:r>
        <w:rPr>
          <w:rFonts w:ascii="仿宋_GB2312" w:hAnsi="仿宋_GB2312" w:eastAsia="仿宋_GB2312"/>
          <w:b/>
          <w:sz w:val="32"/>
        </w:rPr>
        <w:t>2024年度收入总计388.93万元，</w:t>
      </w:r>
      <w:r>
        <w:rPr>
          <w:rFonts w:ascii="仿宋_GB2312" w:hAnsi="仿宋_GB2312" w:eastAsia="仿宋_GB2312"/>
          <w:b w:val="0"/>
          <w:sz w:val="32"/>
        </w:rPr>
        <w:t>其中：本年收入合计385.37万元，使用非财政拨款结余（含专用结余）0.00万元，年初结转和结余3.56万元。</w:t>
      </w:r>
    </w:p>
    <w:p w14:paraId="4E483610">
      <w:pPr>
        <w:spacing w:line="580" w:lineRule="exact"/>
        <w:ind w:firstLine="640"/>
        <w:jc w:val="both"/>
      </w:pPr>
      <w:r>
        <w:rPr>
          <w:rFonts w:ascii="仿宋_GB2312" w:hAnsi="仿宋_GB2312" w:eastAsia="仿宋_GB2312"/>
          <w:b/>
          <w:sz w:val="32"/>
        </w:rPr>
        <w:t>2024年度支出总计388.93万元，</w:t>
      </w:r>
      <w:r>
        <w:rPr>
          <w:rFonts w:ascii="仿宋_GB2312" w:hAnsi="仿宋_GB2312" w:eastAsia="仿宋_GB2312"/>
          <w:b w:val="0"/>
          <w:sz w:val="32"/>
        </w:rPr>
        <w:t>其中：本年支出合计385.37万元，结余分配0.00万元，年末结转和结余3.56万元。</w:t>
      </w:r>
    </w:p>
    <w:p w14:paraId="3C30DCFF">
      <w:pPr>
        <w:spacing w:line="580" w:lineRule="exact"/>
        <w:ind w:firstLine="640"/>
        <w:jc w:val="both"/>
      </w:pPr>
      <w:r>
        <w:rPr>
          <w:rFonts w:ascii="仿宋_GB2312" w:hAnsi="仿宋_GB2312" w:eastAsia="仿宋_GB2312"/>
          <w:b w:val="0"/>
          <w:sz w:val="32"/>
        </w:rPr>
        <w:t>收入支出总体与上年相比，减少66.56万元，下降14.61%，主要原因是：本年机关运行经费资金较上年减少。</w:t>
      </w:r>
    </w:p>
    <w:p w14:paraId="2E2FC001">
      <w:pPr>
        <w:spacing w:line="640" w:lineRule="exact"/>
        <w:ind w:firstLine="640"/>
        <w:jc w:val="both"/>
        <w:outlineLvl w:val="2"/>
      </w:pPr>
      <w:r>
        <w:rPr>
          <w:rFonts w:ascii="黑体" w:hAnsi="黑体" w:eastAsia="黑体"/>
          <w:sz w:val="32"/>
        </w:rPr>
        <w:t>二、收入决算情况说明</w:t>
      </w:r>
    </w:p>
    <w:p w14:paraId="24FBB3A1">
      <w:pPr>
        <w:spacing w:line="580" w:lineRule="exact"/>
        <w:ind w:firstLine="640"/>
        <w:jc w:val="both"/>
      </w:pPr>
      <w:r>
        <w:rPr>
          <w:rFonts w:ascii="仿宋_GB2312" w:hAnsi="仿宋_GB2312" w:eastAsia="仿宋_GB2312"/>
          <w:b/>
          <w:sz w:val="32"/>
        </w:rPr>
        <w:t>本年收入385.37万元，</w:t>
      </w:r>
      <w:r>
        <w:rPr>
          <w:rFonts w:ascii="仿宋_GB2312" w:hAnsi="仿宋_GB2312" w:eastAsia="仿宋_GB2312"/>
          <w:b w:val="0"/>
          <w:sz w:val="32"/>
        </w:rPr>
        <w:t>其中：财政拨款收入385.37万元，占100.00%；上级补助收入0.00万元，占0.00%；事业收入0.00万元，占0.00%；经营收入0.00万元，占0.00%；附属单位上缴收入0.00万元，占0.00%；其他收入0.00万元，占0.00%。</w:t>
      </w:r>
    </w:p>
    <w:p w14:paraId="795C7322">
      <w:pPr>
        <w:spacing w:line="640" w:lineRule="exact"/>
        <w:ind w:firstLine="640"/>
        <w:jc w:val="both"/>
        <w:outlineLvl w:val="2"/>
      </w:pPr>
      <w:r>
        <w:rPr>
          <w:rFonts w:ascii="黑体" w:hAnsi="黑体" w:eastAsia="黑体"/>
          <w:sz w:val="32"/>
        </w:rPr>
        <w:t>三、支出决算情况说明</w:t>
      </w:r>
    </w:p>
    <w:p w14:paraId="73BFDD11">
      <w:pPr>
        <w:spacing w:line="580" w:lineRule="exact"/>
        <w:ind w:firstLine="640"/>
        <w:jc w:val="both"/>
      </w:pPr>
      <w:r>
        <w:rPr>
          <w:rFonts w:ascii="仿宋_GB2312" w:hAnsi="仿宋_GB2312" w:eastAsia="仿宋_GB2312"/>
          <w:b/>
          <w:sz w:val="32"/>
        </w:rPr>
        <w:t>本年支出385.37万元，</w:t>
      </w:r>
      <w:r>
        <w:rPr>
          <w:rFonts w:ascii="仿宋_GB2312" w:hAnsi="仿宋_GB2312" w:eastAsia="仿宋_GB2312"/>
          <w:b w:val="0"/>
          <w:sz w:val="32"/>
        </w:rPr>
        <w:t>其中：基本支出302.27万元，占78.44%；项目支出83.11万元，占21.57%；上缴上级支出0.00万元，占0.00%；经营支出0.00万元，占0.00%；对附属单位补助支出0.00万元，占0.00%。</w:t>
      </w:r>
    </w:p>
    <w:p w14:paraId="6A6D0648">
      <w:pPr>
        <w:spacing w:line="640" w:lineRule="exact"/>
        <w:ind w:firstLine="640"/>
        <w:jc w:val="both"/>
        <w:outlineLvl w:val="2"/>
      </w:pPr>
      <w:r>
        <w:rPr>
          <w:rFonts w:ascii="黑体" w:hAnsi="黑体" w:eastAsia="黑体"/>
          <w:sz w:val="32"/>
        </w:rPr>
        <w:t>四、财政拨款收入支出决算总体情况说明</w:t>
      </w:r>
    </w:p>
    <w:p w14:paraId="0075766C">
      <w:pPr>
        <w:spacing w:line="580" w:lineRule="exact"/>
        <w:ind w:firstLine="640"/>
        <w:jc w:val="both"/>
      </w:pPr>
      <w:r>
        <w:rPr>
          <w:rFonts w:ascii="仿宋_GB2312" w:hAnsi="仿宋_GB2312" w:eastAsia="仿宋_GB2312"/>
          <w:b/>
          <w:sz w:val="32"/>
        </w:rPr>
        <w:t>2024年度财政拨款收入总计385.37万元，</w:t>
      </w:r>
      <w:r>
        <w:rPr>
          <w:rFonts w:ascii="仿宋_GB2312" w:hAnsi="仿宋_GB2312" w:eastAsia="仿宋_GB2312"/>
          <w:b w:val="0"/>
          <w:sz w:val="32"/>
        </w:rPr>
        <w:t>其中：年初财政拨款结转和结余0.00万元，本年财政拨款收入385.37万元。</w:t>
      </w:r>
      <w:r>
        <w:rPr>
          <w:rFonts w:ascii="仿宋_GB2312" w:hAnsi="仿宋_GB2312" w:eastAsia="仿宋_GB2312"/>
          <w:b/>
          <w:sz w:val="32"/>
        </w:rPr>
        <w:t>财政拨款支出总计385.37万元，</w:t>
      </w:r>
      <w:r>
        <w:rPr>
          <w:rFonts w:ascii="仿宋_GB2312" w:hAnsi="仿宋_GB2312" w:eastAsia="仿宋_GB2312"/>
          <w:b w:val="0"/>
          <w:sz w:val="32"/>
        </w:rPr>
        <w:t>其中：年末财政拨款结转和结余0.00万元，本年财政拨款支出385.37万元。</w:t>
      </w:r>
    </w:p>
    <w:p w14:paraId="0C5ACE8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减少66.56万元，下降14.73%，主要原因是：本年机关运行资金较上年减少。</w:t>
      </w:r>
      <w:r>
        <w:rPr>
          <w:rFonts w:ascii="仿宋_GB2312" w:hAnsi="仿宋_GB2312" w:eastAsia="仿宋_GB2312"/>
          <w:b/>
          <w:sz w:val="32"/>
        </w:rPr>
        <w:t>与年初预算相比，</w:t>
      </w:r>
      <w:r>
        <w:rPr>
          <w:rFonts w:ascii="仿宋_GB2312" w:hAnsi="仿宋_GB2312" w:eastAsia="仿宋_GB2312"/>
          <w:b w:val="0"/>
          <w:sz w:val="32"/>
        </w:rPr>
        <w:t>年初预算数390.08万元，决算数385.37万元，预决算差异率-1.21%，主要原因是：年中调减机关运行资金，导致预决算存在差异。</w:t>
      </w:r>
    </w:p>
    <w:p w14:paraId="1E803182">
      <w:pPr>
        <w:spacing w:line="640" w:lineRule="exact"/>
        <w:ind w:firstLine="640"/>
        <w:jc w:val="both"/>
        <w:outlineLvl w:val="2"/>
      </w:pPr>
      <w:r>
        <w:rPr>
          <w:rFonts w:ascii="黑体" w:hAnsi="黑体" w:eastAsia="黑体"/>
          <w:sz w:val="32"/>
        </w:rPr>
        <w:t>五、一般公共预算财政拨款支出决算情况说明</w:t>
      </w:r>
    </w:p>
    <w:p w14:paraId="2969280D">
      <w:pPr>
        <w:spacing w:line="640" w:lineRule="exact"/>
        <w:ind w:firstLine="640"/>
        <w:jc w:val="both"/>
        <w:outlineLvl w:val="3"/>
      </w:pPr>
      <w:r>
        <w:rPr>
          <w:rFonts w:ascii="楷体_GB2312" w:hAnsi="楷体_GB2312" w:eastAsia="楷体_GB2312"/>
          <w:b/>
          <w:sz w:val="32"/>
        </w:rPr>
        <w:t>（一）一般公共预算财政拨款支出决算总体情况</w:t>
      </w:r>
    </w:p>
    <w:p w14:paraId="33C073F7">
      <w:pPr>
        <w:spacing w:line="580" w:lineRule="exact"/>
        <w:ind w:firstLine="640"/>
        <w:jc w:val="both"/>
      </w:pPr>
      <w:r>
        <w:rPr>
          <w:rFonts w:ascii="仿宋_GB2312" w:hAnsi="仿宋_GB2312" w:eastAsia="仿宋_GB2312"/>
          <w:b/>
          <w:sz w:val="32"/>
        </w:rPr>
        <w:t>2024年度一般公共预算财政拨款支出385.37万元，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减少66.56万元，下降14.73%，主要原因是：本年机关运行资金较上年减少。</w:t>
      </w:r>
      <w:r>
        <w:rPr>
          <w:rFonts w:ascii="仿宋_GB2312" w:hAnsi="仿宋_GB2312" w:eastAsia="仿宋_GB2312"/>
          <w:b/>
          <w:sz w:val="32"/>
        </w:rPr>
        <w:t>与年初预算相比,</w:t>
      </w:r>
      <w:r>
        <w:rPr>
          <w:rFonts w:ascii="仿宋_GB2312" w:hAnsi="仿宋_GB2312" w:eastAsia="仿宋_GB2312"/>
          <w:b w:val="0"/>
          <w:sz w:val="32"/>
        </w:rPr>
        <w:t>年初预算数390.08万元，决算数385.37万元，预决算差异率-1.21%，主要原因是：年中调减机关运行资金，导致预决算存在差异。</w:t>
      </w:r>
    </w:p>
    <w:p w14:paraId="00373734">
      <w:pPr>
        <w:spacing w:line="640" w:lineRule="exact"/>
        <w:ind w:firstLine="640"/>
        <w:jc w:val="both"/>
        <w:outlineLvl w:val="3"/>
      </w:pPr>
      <w:r>
        <w:rPr>
          <w:rFonts w:ascii="楷体_GB2312" w:hAnsi="楷体_GB2312" w:eastAsia="楷体_GB2312"/>
          <w:b/>
          <w:sz w:val="32"/>
        </w:rPr>
        <w:t>（二）一般公共预算财政拨款支出决算结构情况</w:t>
      </w:r>
    </w:p>
    <w:p w14:paraId="0F2ECA35">
      <w:pPr>
        <w:spacing w:line="580" w:lineRule="exact"/>
        <w:ind w:firstLine="640"/>
        <w:jc w:val="both"/>
      </w:pPr>
      <w:r>
        <w:rPr>
          <w:rFonts w:ascii="仿宋_GB2312" w:hAnsi="仿宋_GB2312" w:eastAsia="仿宋_GB2312"/>
          <w:b w:val="0"/>
          <w:sz w:val="32"/>
        </w:rPr>
        <w:t>1.一般公共服务支出(类)305.26万元,占79.21%。</w:t>
      </w:r>
    </w:p>
    <w:p w14:paraId="35F5B839">
      <w:pPr>
        <w:spacing w:line="580" w:lineRule="exact"/>
        <w:ind w:firstLine="640"/>
        <w:jc w:val="both"/>
      </w:pPr>
      <w:r>
        <w:rPr>
          <w:rFonts w:ascii="仿宋_GB2312" w:hAnsi="仿宋_GB2312" w:eastAsia="仿宋_GB2312"/>
          <w:b w:val="0"/>
          <w:sz w:val="32"/>
        </w:rPr>
        <w:t>2.社会保障和就业支出(类)42.69万元,占11.08%。</w:t>
      </w:r>
    </w:p>
    <w:p w14:paraId="023EB9EB">
      <w:pPr>
        <w:spacing w:line="580" w:lineRule="exact"/>
        <w:ind w:firstLine="640"/>
        <w:jc w:val="both"/>
      </w:pPr>
      <w:r>
        <w:rPr>
          <w:rFonts w:ascii="仿宋_GB2312" w:hAnsi="仿宋_GB2312" w:eastAsia="仿宋_GB2312"/>
          <w:b w:val="0"/>
          <w:sz w:val="32"/>
        </w:rPr>
        <w:t>3.卫生健康支出(类)15.28万元,占3.97%。</w:t>
      </w:r>
    </w:p>
    <w:p w14:paraId="190FDA09">
      <w:pPr>
        <w:spacing w:line="580" w:lineRule="exact"/>
        <w:ind w:firstLine="640"/>
        <w:jc w:val="both"/>
      </w:pPr>
      <w:r>
        <w:rPr>
          <w:rFonts w:ascii="仿宋_GB2312" w:hAnsi="仿宋_GB2312" w:eastAsia="仿宋_GB2312"/>
          <w:b w:val="0"/>
          <w:sz w:val="32"/>
        </w:rPr>
        <w:t>4.住房保障支出(类)22.14万元,占5.75%。</w:t>
      </w:r>
    </w:p>
    <w:p w14:paraId="291EBDF7">
      <w:pPr>
        <w:spacing w:line="640" w:lineRule="exact"/>
        <w:ind w:firstLine="640"/>
        <w:jc w:val="both"/>
        <w:outlineLvl w:val="3"/>
      </w:pPr>
      <w:r>
        <w:rPr>
          <w:rFonts w:ascii="楷体_GB2312" w:hAnsi="楷体_GB2312" w:eastAsia="楷体_GB2312"/>
          <w:b/>
          <w:sz w:val="32"/>
        </w:rPr>
        <w:t>（三）一般公共预算财政拨款支出决算具体情况</w:t>
      </w:r>
    </w:p>
    <w:p w14:paraId="6FA7ABA8">
      <w:pPr>
        <w:spacing w:line="580" w:lineRule="exact"/>
        <w:ind w:firstLine="640"/>
        <w:jc w:val="both"/>
      </w:pPr>
      <w:r>
        <w:rPr>
          <w:rFonts w:ascii="仿宋_GB2312" w:hAnsi="仿宋_GB2312" w:eastAsia="仿宋_GB2312"/>
          <w:b w:val="0"/>
          <w:sz w:val="32"/>
        </w:rPr>
        <w:t>1.一般公共服务支出(类)其他共产党事务支出(款)一般行政管理事务(项):支出决算数为83.11万元，比上年决算减少72.73万元，下降46.67%,主要原因是：本年机关运行资金较上年减少。</w:t>
      </w:r>
    </w:p>
    <w:p w14:paraId="3E57BFA3">
      <w:pPr>
        <w:spacing w:line="580" w:lineRule="exact"/>
        <w:ind w:firstLine="640"/>
        <w:jc w:val="both"/>
      </w:pPr>
      <w:r>
        <w:rPr>
          <w:rFonts w:ascii="仿宋_GB2312" w:hAnsi="仿宋_GB2312" w:eastAsia="仿宋_GB2312"/>
          <w:b w:val="0"/>
          <w:sz w:val="32"/>
        </w:rPr>
        <w:t>2.一般公共服务支出(类)其他共产党事务支出(款)事业运行(项):支出决算数为222.16万元，比上年决算减少5.69万元，下降2.50%,主要原因是：本年办公费、委托业务费、印刷费支出减少。</w:t>
      </w:r>
    </w:p>
    <w:p w14:paraId="547B9C74">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28.54万元，比上年决算增加6.19万元，增长27.70%,主要原因是：本年在职人员工资基数调增，养老缴费基数上涨，相应支出增加。</w:t>
      </w:r>
    </w:p>
    <w:p w14:paraId="4C8BE041">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14.15万元，比上年决算增加1.28万元，增长9.95%,主要原因是：本年在职人员工资基数调增，职业年金缴费基数上涨，相应支出增加。</w:t>
      </w:r>
    </w:p>
    <w:p w14:paraId="36511063">
      <w:pPr>
        <w:spacing w:line="580" w:lineRule="exact"/>
        <w:ind w:firstLine="640"/>
        <w:jc w:val="both"/>
      </w:pPr>
      <w:r>
        <w:rPr>
          <w:rFonts w:ascii="仿宋_GB2312" w:hAnsi="仿宋_GB2312" w:eastAsia="仿宋_GB2312"/>
          <w:b w:val="0"/>
          <w:sz w:val="32"/>
        </w:rPr>
        <w:t>5.卫生健康支出(类)行政事业单位医疗(款)事业单位医疗(项):支出决算数为14.28万元，比上年决算增加3.04万元，增长27.05%,主要原因是：本年在职人员工资基数调增，事业单位医疗缴费基数上涨，相应支出增加。</w:t>
      </w:r>
    </w:p>
    <w:p w14:paraId="6903B5B4">
      <w:pPr>
        <w:spacing w:line="580" w:lineRule="exact"/>
        <w:ind w:firstLine="640"/>
        <w:jc w:val="both"/>
      </w:pPr>
      <w:r>
        <w:rPr>
          <w:rFonts w:ascii="仿宋_GB2312" w:hAnsi="仿宋_GB2312" w:eastAsia="仿宋_GB2312"/>
          <w:b w:val="0"/>
          <w:sz w:val="32"/>
        </w:rPr>
        <w:t>6.卫生健康支出(类)行政事业单位医疗(款)公务员医疗补助(项):支出决算数为0.89万元，比上年决算增加0.07万元，增长8.54%,主要原因是：本年在职人员工资基数调增，公务员医疗补助缴费基数上涨，相应支出增加。</w:t>
      </w:r>
    </w:p>
    <w:p w14:paraId="4A580F97">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7.卫生健康支出(类)行政事业单位医疗(款)其他行政事业单位医疗支出(项):支出决算数为0.11万元，比上年决算增加0.00万元，增长0.00%,主要原因是：本年在职人员其他行政事业单位医疗缴费与上年持平。</w:t>
      </w:r>
    </w:p>
    <w:p w14:paraId="193130DA">
      <w:pPr>
        <w:spacing w:line="580" w:lineRule="exact"/>
        <w:ind w:firstLine="640"/>
        <w:jc w:val="both"/>
      </w:pPr>
      <w:r>
        <w:rPr>
          <w:rFonts w:ascii="仿宋_GB2312" w:hAnsi="仿宋_GB2312" w:eastAsia="仿宋_GB2312"/>
          <w:b w:val="0"/>
          <w:sz w:val="32"/>
        </w:rPr>
        <w:t>8.住房保障支出(类)住房改革支出(款)住房公积金(项):支出决算数为22.14万元，比上年决算增加1.29万元，增长6.19%,主要原因是：本年在职人员工资基数调增，公积金缴费基数上涨，相应支出增加。</w:t>
      </w:r>
    </w:p>
    <w:p w14:paraId="6330004A">
      <w:pPr>
        <w:spacing w:line="640" w:lineRule="exact"/>
        <w:ind w:firstLine="640"/>
        <w:jc w:val="both"/>
        <w:outlineLvl w:val="2"/>
      </w:pPr>
      <w:r>
        <w:rPr>
          <w:rFonts w:ascii="黑体" w:hAnsi="黑体" w:eastAsia="黑体"/>
          <w:sz w:val="32"/>
        </w:rPr>
        <w:t>六、一般公共预算财政拨款基本支出决算情况说明</w:t>
      </w:r>
    </w:p>
    <w:p w14:paraId="6228C289">
      <w:pPr>
        <w:spacing w:line="580" w:lineRule="exact"/>
        <w:ind w:firstLine="640"/>
        <w:jc w:val="both"/>
      </w:pPr>
      <w:r>
        <w:rPr>
          <w:rFonts w:ascii="仿宋_GB2312" w:hAnsi="仿宋_GB2312" w:eastAsia="仿宋_GB2312"/>
          <w:b w:val="0"/>
          <w:sz w:val="32"/>
        </w:rPr>
        <w:t>2024年度一般公共预算财政拨款基本支出302.27万元，其中：</w:t>
      </w:r>
      <w:r>
        <w:rPr>
          <w:rFonts w:ascii="仿宋_GB2312" w:hAnsi="仿宋_GB2312" w:eastAsia="仿宋_GB2312"/>
          <w:b/>
          <w:sz w:val="32"/>
        </w:rPr>
        <w:t>人员经费282.89万元，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218B6C52">
      <w:pPr>
        <w:spacing w:line="580" w:lineRule="exact"/>
        <w:ind w:firstLine="640"/>
        <w:jc w:val="both"/>
      </w:pPr>
      <w:r>
        <w:rPr>
          <w:rFonts w:ascii="仿宋_GB2312" w:hAnsi="仿宋_GB2312" w:eastAsia="仿宋_GB2312"/>
          <w:b/>
          <w:sz w:val="32"/>
        </w:rPr>
        <w:t>公用经费19.38万元，</w:t>
      </w:r>
      <w:r>
        <w:rPr>
          <w:rFonts w:ascii="仿宋_GB2312" w:hAnsi="仿宋_GB2312" w:eastAsia="仿宋_GB2312"/>
          <w:b w:val="0"/>
          <w:sz w:val="32"/>
        </w:rPr>
        <w:t>包括：办公费、印刷费、邮电费、差旅费、维修（护）费、劳务费、委托业务费、工会经费、福利费、公务用车运行维护费、其他交通费用、其他商品和服务支出。</w:t>
      </w:r>
    </w:p>
    <w:p w14:paraId="7F5B8233">
      <w:pPr>
        <w:spacing w:line="640" w:lineRule="exact"/>
        <w:ind w:firstLine="640"/>
        <w:jc w:val="both"/>
        <w:outlineLvl w:val="2"/>
      </w:pPr>
      <w:r>
        <w:rPr>
          <w:rFonts w:ascii="黑体" w:hAnsi="黑体" w:eastAsia="黑体"/>
          <w:sz w:val="32"/>
        </w:rPr>
        <w:t>七、政府性基金预算财政拨款收入支出决算情况说明</w:t>
      </w:r>
    </w:p>
    <w:p w14:paraId="56D4ECB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1ECC24E">
      <w:pPr>
        <w:spacing w:line="640" w:lineRule="exact"/>
        <w:ind w:firstLine="640"/>
        <w:jc w:val="both"/>
        <w:outlineLvl w:val="2"/>
      </w:pPr>
      <w:r>
        <w:rPr>
          <w:rFonts w:ascii="黑体" w:hAnsi="黑体" w:eastAsia="黑体"/>
          <w:sz w:val="32"/>
        </w:rPr>
        <w:t>八、国有资本经营预算财政拨款收入支出决算情况说明</w:t>
      </w:r>
    </w:p>
    <w:p w14:paraId="2712326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9FDBD0C">
      <w:pPr>
        <w:spacing w:line="640" w:lineRule="exact"/>
        <w:ind w:firstLine="640"/>
        <w:jc w:val="both"/>
        <w:outlineLvl w:val="2"/>
      </w:pPr>
      <w:r>
        <w:rPr>
          <w:rFonts w:ascii="黑体" w:hAnsi="黑体" w:eastAsia="黑体"/>
          <w:sz w:val="32"/>
        </w:rPr>
        <w:t>九、财政拨款“三公”经费支出决算情况说明</w:t>
      </w:r>
    </w:p>
    <w:p w14:paraId="3549BEC1">
      <w:pPr>
        <w:spacing w:line="580" w:lineRule="exact"/>
        <w:ind w:firstLine="640"/>
        <w:jc w:val="both"/>
      </w:pPr>
      <w:r>
        <w:rPr>
          <w:rFonts w:ascii="仿宋_GB2312" w:hAnsi="仿宋_GB2312" w:eastAsia="仿宋_GB2312"/>
          <w:b/>
          <w:sz w:val="32"/>
        </w:rPr>
        <w:t>2024年度财政拨款“三公”经费支出5.90万元，</w:t>
      </w:r>
      <w:r>
        <w:rPr>
          <w:rFonts w:ascii="仿宋_GB2312" w:hAnsi="仿宋_GB2312" w:eastAsia="仿宋_GB2312"/>
          <w:b w:val="0"/>
          <w:sz w:val="32"/>
        </w:rPr>
        <w:t>比上年增加3.50万元，增长145.83%，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5.90万元，占100.00%，比上年增加3.50万元，增长145.83%，主要原因是：本年因业务需求，用车次数增加，燃油费增加，导致公务用车运行维护费较上年增加。公务接待费支出0.00万元，占0.00%，比上年增加0.00万元，增长0.00%，主要原因是：2023年与2024年均未安排公务接待费支出。</w:t>
      </w:r>
    </w:p>
    <w:p w14:paraId="27DE0600">
      <w:pPr>
        <w:spacing w:line="580" w:lineRule="exact"/>
        <w:ind w:firstLine="640"/>
        <w:jc w:val="both"/>
      </w:pPr>
      <w:r>
        <w:rPr>
          <w:rFonts w:ascii="仿宋_GB2312" w:hAnsi="仿宋_GB2312" w:eastAsia="仿宋_GB2312"/>
          <w:b/>
          <w:sz w:val="32"/>
        </w:rPr>
        <w:t>具体情况如下：</w:t>
      </w:r>
    </w:p>
    <w:p w14:paraId="04BC3AE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2885E0D">
      <w:pPr>
        <w:spacing w:line="580" w:lineRule="exact"/>
        <w:ind w:firstLine="640"/>
        <w:jc w:val="both"/>
      </w:pPr>
      <w:r>
        <w:rPr>
          <w:rFonts w:ascii="仿宋_GB2312" w:hAnsi="仿宋_GB2312" w:eastAsia="仿宋_GB2312"/>
          <w:b w:val="0"/>
          <w:sz w:val="32"/>
        </w:rPr>
        <w:t>公务用车购置及运行维护费5.90万元，其中：公务用车购置费0.00万元，公务用车运行维护费5.90万元。公务用车运行维护费开支内容包括车辆加油费、维修费、保险费、审车费、过路费。公务用车购置数0辆，公务用车保有量1辆。国有资产占用情况中固定资产车辆0辆，与公务用车保有量差异原因是：借用其他单位车辆，车辆费用由本单位支付。</w:t>
      </w:r>
    </w:p>
    <w:p w14:paraId="27AB18D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573739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5.90万元，决算数5.90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5.90万元，决算数5.90万元，预决算差异率0.00%，主要原因是：严格按照预算执行，预决算无差异。公务接待费全年预算数0.00万元，决算数0.00万元，预决算差异率0.00%，主要原因是：本单位无公务接待费。</w:t>
      </w:r>
    </w:p>
    <w:p w14:paraId="1756FC70">
      <w:pPr>
        <w:spacing w:line="640" w:lineRule="exact"/>
        <w:ind w:firstLine="640"/>
        <w:jc w:val="both"/>
        <w:outlineLvl w:val="2"/>
      </w:pPr>
      <w:r>
        <w:rPr>
          <w:rFonts w:ascii="黑体" w:hAnsi="黑体" w:eastAsia="黑体"/>
          <w:sz w:val="32"/>
        </w:rPr>
        <w:t>十、其他重要事项的情况说明</w:t>
      </w:r>
    </w:p>
    <w:p w14:paraId="2123BCE2">
      <w:pPr>
        <w:spacing w:line="640" w:lineRule="exact"/>
        <w:ind w:firstLine="640"/>
        <w:jc w:val="both"/>
        <w:outlineLvl w:val="3"/>
      </w:pPr>
      <w:r>
        <w:rPr>
          <w:rFonts w:ascii="楷体_GB2312" w:hAnsi="楷体_GB2312" w:eastAsia="楷体_GB2312"/>
          <w:b/>
          <w:sz w:val="32"/>
        </w:rPr>
        <w:t>（一）机关运行经费及公用经费支出情况</w:t>
      </w:r>
    </w:p>
    <w:p w14:paraId="50D6800C">
      <w:pPr>
        <w:spacing w:line="580" w:lineRule="exact"/>
        <w:ind w:firstLine="640"/>
        <w:jc w:val="both"/>
      </w:pPr>
      <w:r>
        <w:rPr>
          <w:rFonts w:ascii="仿宋_GB2312" w:hAnsi="仿宋_GB2312" w:eastAsia="仿宋_GB2312"/>
          <w:b w:val="0"/>
          <w:sz w:val="32"/>
        </w:rPr>
        <w:t>2024年度昌吉回族自治州指挥中心（事业单位）公用经费支出19.38万元，比上年减少2.24万元，下降10.36%，主要原因是：本年办公费、委托业务费、印刷费支出减少，导致公用经费支出减少。</w:t>
      </w:r>
    </w:p>
    <w:p w14:paraId="2DF7670E">
      <w:pPr>
        <w:spacing w:line="640" w:lineRule="exact"/>
        <w:ind w:firstLine="640"/>
        <w:jc w:val="both"/>
        <w:outlineLvl w:val="3"/>
      </w:pPr>
      <w:r>
        <w:rPr>
          <w:rFonts w:ascii="楷体_GB2312" w:hAnsi="楷体_GB2312" w:eastAsia="楷体_GB2312"/>
          <w:b/>
          <w:sz w:val="32"/>
        </w:rPr>
        <w:t>（二）政府采购情况</w:t>
      </w:r>
    </w:p>
    <w:p w14:paraId="47C1E73B">
      <w:pPr>
        <w:spacing w:line="580" w:lineRule="exact"/>
        <w:ind w:firstLine="640"/>
        <w:jc w:val="both"/>
      </w:pPr>
      <w:r>
        <w:rPr>
          <w:rFonts w:ascii="仿宋_GB2312" w:hAnsi="仿宋_GB2312" w:eastAsia="仿宋_GB2312"/>
          <w:b w:val="0"/>
          <w:sz w:val="32"/>
        </w:rPr>
        <w:t>2024年度政府采购支出总额1.39万元，其中：政府采购货物支出1.06万元、政府采购工程支出0.00万元、政府采购服务支出0.33万元。</w:t>
      </w:r>
    </w:p>
    <w:p w14:paraId="0DE5CC5F">
      <w:pPr>
        <w:spacing w:line="580" w:lineRule="exact"/>
        <w:ind w:firstLine="640"/>
        <w:jc w:val="both"/>
      </w:pPr>
      <w:r>
        <w:rPr>
          <w:rFonts w:ascii="仿宋_GB2312" w:hAnsi="仿宋_GB2312" w:eastAsia="仿宋_GB2312"/>
          <w:b w:val="0"/>
          <w:sz w:val="32"/>
        </w:rPr>
        <w:t>授予中小企业合同金额1.39万元，占政府采购支出总额的100.00%，其中：授予小微企业合同金额1.39万元，占政府采购支出总额的100.00%。</w:t>
      </w:r>
    </w:p>
    <w:p w14:paraId="0F4623DB">
      <w:pPr>
        <w:spacing w:line="640" w:lineRule="exact"/>
        <w:ind w:firstLine="640"/>
        <w:jc w:val="both"/>
        <w:outlineLvl w:val="3"/>
      </w:pPr>
      <w:r>
        <w:rPr>
          <w:rFonts w:ascii="楷体_GB2312" w:hAnsi="楷体_GB2312" w:eastAsia="楷体_GB2312"/>
          <w:b/>
          <w:sz w:val="32"/>
        </w:rPr>
        <w:t>（三）国有资产占用情况说明</w:t>
      </w:r>
    </w:p>
    <w:p w14:paraId="159D4A07">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1台（套）。</w:t>
      </w:r>
    </w:p>
    <w:p w14:paraId="7D5B01B3">
      <w:pPr>
        <w:spacing w:line="640" w:lineRule="exact"/>
        <w:ind w:firstLine="640"/>
        <w:jc w:val="both"/>
        <w:outlineLvl w:val="2"/>
      </w:pPr>
      <w:r>
        <w:rPr>
          <w:rFonts w:ascii="黑体" w:hAnsi="黑体" w:eastAsia="黑体"/>
          <w:sz w:val="32"/>
        </w:rPr>
        <w:t>十一、预算绩效的情况说明</w:t>
      </w:r>
    </w:p>
    <w:p w14:paraId="73B9E2B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根据预算绩效管理要求，本单位2024年度预算绩效管理形成整体支出绩效自评表1个，全年预算总额388.93万元，实际执行总额385.37万元；预算绩效评价项目</w:t>
      </w:r>
      <w:r>
        <w:rPr>
          <w:rFonts w:hint="eastAsia" w:ascii="仿宋_GB2312" w:hAnsi="仿宋_GB2312" w:eastAsia="仿宋_GB2312"/>
          <w:b w:val="0"/>
          <w:sz w:val="32"/>
          <w:lang w:val="en-US" w:eastAsia="zh-CN"/>
        </w:rPr>
        <w:t>3</w:t>
      </w:r>
      <w:r>
        <w:rPr>
          <w:rFonts w:ascii="仿宋_GB2312" w:hAnsi="仿宋_GB2312" w:eastAsia="仿宋_GB2312"/>
          <w:b w:val="0"/>
          <w:sz w:val="32"/>
        </w:rPr>
        <w:t>个，全年预算数83.11万元，全年执行数83.11万元。预算绩效管理取得的成效：本年绩效自评表涉密，不予公开。发现的问题及原因：本年绩效自评表涉密，不予公开。下一步改进措施：本年绩效自评表涉密，不予公开。具体附整体支出绩效自评表。</w:t>
      </w:r>
    </w:p>
    <w:p w14:paraId="709F0E8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DCA0C56">
        <w:tblPrEx>
          <w:tblCellMar>
            <w:top w:w="0" w:type="dxa"/>
            <w:left w:w="108" w:type="dxa"/>
            <w:bottom w:w="0" w:type="dxa"/>
            <w:right w:w="108" w:type="dxa"/>
          </w:tblCellMar>
        </w:tblPrEx>
        <w:tc>
          <w:tcPr>
            <w:tcW w:w="8847" w:type="dxa"/>
            <w:gridSpan w:val="9"/>
            <w:vAlign w:val="center"/>
          </w:tcPr>
          <w:p w14:paraId="3A01B453">
            <w:pPr>
              <w:jc w:val="center"/>
            </w:pPr>
            <w:r>
              <w:rPr>
                <w:rFonts w:ascii="宋体" w:hAnsi="宋体" w:eastAsia="宋体"/>
                <w:sz w:val="24"/>
              </w:rPr>
              <w:t>单位整体支出绩效自评表</w:t>
            </w:r>
          </w:p>
        </w:tc>
      </w:tr>
      <w:tr w14:paraId="2812CAA1">
        <w:tblPrEx>
          <w:tblCellMar>
            <w:top w:w="0" w:type="dxa"/>
            <w:left w:w="108" w:type="dxa"/>
            <w:bottom w:w="0" w:type="dxa"/>
            <w:right w:w="108" w:type="dxa"/>
          </w:tblCellMar>
        </w:tblPrEx>
        <w:tc>
          <w:tcPr>
            <w:tcW w:w="8847" w:type="dxa"/>
            <w:gridSpan w:val="9"/>
            <w:vAlign w:val="center"/>
          </w:tcPr>
          <w:p w14:paraId="5D4DD63C">
            <w:pPr>
              <w:jc w:val="center"/>
            </w:pPr>
            <w:r>
              <w:rPr>
                <w:rFonts w:ascii="宋体" w:hAnsi="宋体" w:eastAsia="宋体"/>
                <w:sz w:val="24"/>
              </w:rPr>
              <w:t>（2024年度）</w:t>
            </w:r>
          </w:p>
        </w:tc>
      </w:tr>
      <w:tr w14:paraId="5833DD6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1876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F251F9">
            <w:pPr>
              <w:jc w:val="center"/>
            </w:pPr>
            <w:r>
              <w:rPr>
                <w:rFonts w:ascii="宋体" w:hAnsi="宋体" w:eastAsia="宋体"/>
                <w:sz w:val="16"/>
              </w:rPr>
              <w:t>昌吉回族自治州指挥中心</w:t>
            </w:r>
          </w:p>
        </w:tc>
      </w:tr>
      <w:tr w14:paraId="3487D17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01A4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9D09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0E39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957B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50A9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994F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C4D3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FA2DE">
            <w:pPr>
              <w:jc w:val="center"/>
            </w:pPr>
            <w:r>
              <w:rPr>
                <w:rFonts w:ascii="宋体" w:hAnsi="宋体" w:eastAsia="宋体"/>
                <w:sz w:val="16"/>
              </w:rPr>
              <w:t>得分</w:t>
            </w:r>
          </w:p>
        </w:tc>
      </w:tr>
      <w:tr w14:paraId="498A61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4C1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0F9D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3BC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B55D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291E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990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9F9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FF9A3">
            <w:pPr>
              <w:jc w:val="center"/>
            </w:pPr>
            <w:r>
              <w:rPr>
                <w:rFonts w:ascii="宋体" w:hAnsi="宋体" w:eastAsia="宋体"/>
                <w:sz w:val="16"/>
              </w:rPr>
              <w:t>-</w:t>
            </w:r>
          </w:p>
        </w:tc>
      </w:tr>
      <w:tr w14:paraId="4B83B4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E53F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699C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F627F">
            <w:pPr>
              <w:jc w:val="center"/>
            </w:pPr>
            <w:r>
              <w:rPr>
                <w:rFonts w:ascii="宋体" w:hAnsi="宋体" w:eastAsia="宋体"/>
                <w:sz w:val="16"/>
              </w:rPr>
              <w:t>390.08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E6128">
            <w:pPr>
              <w:jc w:val="center"/>
            </w:pPr>
            <w:r>
              <w:rPr>
                <w:rFonts w:ascii="宋体" w:hAnsi="宋体" w:eastAsia="宋体"/>
                <w:sz w:val="16"/>
              </w:rPr>
              <w:t>385.37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A3BF8">
            <w:pPr>
              <w:jc w:val="center"/>
            </w:pPr>
            <w:r>
              <w:rPr>
                <w:rFonts w:ascii="宋体" w:hAnsi="宋体" w:eastAsia="宋体"/>
                <w:sz w:val="16"/>
              </w:rPr>
              <w:t>385.37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43B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C85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0F289">
            <w:pPr>
              <w:jc w:val="center"/>
            </w:pPr>
            <w:r>
              <w:rPr>
                <w:rFonts w:ascii="宋体" w:hAnsi="宋体" w:eastAsia="宋体"/>
                <w:sz w:val="16"/>
              </w:rPr>
              <w:t>-</w:t>
            </w:r>
          </w:p>
        </w:tc>
      </w:tr>
      <w:tr w14:paraId="03207A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25CD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BF2D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55B28">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2959E">
            <w:pPr>
              <w:jc w:val="center"/>
            </w:pPr>
            <w:r>
              <w:rPr>
                <w:rFonts w:ascii="宋体" w:hAnsi="宋体" w:eastAsia="宋体"/>
                <w:sz w:val="16"/>
              </w:rPr>
              <w:t>3.56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6C5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A89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647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56674">
            <w:pPr>
              <w:jc w:val="center"/>
            </w:pPr>
            <w:r>
              <w:rPr>
                <w:rFonts w:ascii="宋体" w:hAnsi="宋体" w:eastAsia="宋体"/>
                <w:sz w:val="16"/>
              </w:rPr>
              <w:t>-</w:t>
            </w:r>
          </w:p>
        </w:tc>
      </w:tr>
      <w:tr w14:paraId="35FEA3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6B9D5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65E2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7704E">
            <w:pPr>
              <w:jc w:val="center"/>
            </w:pPr>
            <w:r>
              <w:rPr>
                <w:rFonts w:ascii="宋体" w:hAnsi="宋体" w:eastAsia="宋体"/>
                <w:sz w:val="16"/>
              </w:rPr>
              <w:t>395.08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92058">
            <w:pPr>
              <w:jc w:val="center"/>
            </w:pPr>
            <w:r>
              <w:rPr>
                <w:rFonts w:ascii="宋体" w:hAnsi="宋体" w:eastAsia="宋体"/>
                <w:sz w:val="16"/>
              </w:rPr>
              <w:t>388.93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37050">
            <w:pPr>
              <w:jc w:val="center"/>
            </w:pPr>
            <w:r>
              <w:rPr>
                <w:rFonts w:ascii="宋体" w:hAnsi="宋体" w:eastAsia="宋体"/>
                <w:sz w:val="16"/>
              </w:rPr>
              <w:t>385.37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FBC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BB144">
            <w:pPr>
              <w:jc w:val="center"/>
            </w:pPr>
            <w:r>
              <w:rPr>
                <w:rFonts w:ascii="宋体" w:hAnsi="宋体" w:eastAsia="宋体"/>
                <w:sz w:val="16"/>
              </w:rPr>
              <w:t>99.08%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DCBC7">
            <w:pPr>
              <w:jc w:val="center"/>
            </w:pPr>
            <w:r>
              <w:rPr>
                <w:rFonts w:ascii="宋体" w:hAnsi="宋体" w:eastAsia="宋体"/>
                <w:sz w:val="16"/>
              </w:rPr>
              <w:t>9.91</w:t>
            </w:r>
          </w:p>
        </w:tc>
      </w:tr>
      <w:tr w14:paraId="163C1D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F35BE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F7280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D43F83">
            <w:pPr>
              <w:jc w:val="center"/>
            </w:pPr>
            <w:r>
              <w:rPr>
                <w:rFonts w:ascii="宋体" w:hAnsi="宋体" w:eastAsia="宋体"/>
                <w:sz w:val="16"/>
              </w:rPr>
              <w:t>实际完成情况</w:t>
            </w:r>
          </w:p>
        </w:tc>
      </w:tr>
      <w:tr w14:paraId="2A0244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FB89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5B0E43">
            <w:pPr>
              <w:jc w:val="both"/>
            </w:pPr>
            <w:r>
              <w:rPr>
                <w:rFonts w:ascii="宋体" w:hAnsi="宋体" w:eastAsia="宋体"/>
                <w:sz w:val="16"/>
              </w:rPr>
              <w:t>负责自治州指挥部办公室指挥调度，协调联络，应急统筹等。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1018C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全年预算数为388.93万元，全年执行数为385.37万元，总预算执行率为99.08%。2024年</w:t>
            </w:r>
            <w:r>
              <w:rPr>
                <w:rFonts w:hint="eastAsia" w:ascii="宋体" w:hAnsi="宋体"/>
                <w:sz w:val="16"/>
                <w:lang w:eastAsia="zh-CN"/>
              </w:rPr>
              <w:t>本单位</w:t>
            </w:r>
            <w:r>
              <w:rPr>
                <w:rFonts w:ascii="宋体" w:hAnsi="宋体" w:eastAsia="宋体"/>
                <w:sz w:val="16"/>
              </w:rPr>
              <w:t>完成以下工作内容：1.指挥大厅设备巡检维护12次；2.分析研究问题隐患5次；3.召开主任办公会议3次；4.全年问题整改率100%；5.对全州中心站调度覆盖率100%。通过以上工作的实施，达到保障指挥大厅设备的正常运行，发现问题及时整改的效益。</w:t>
            </w:r>
          </w:p>
        </w:tc>
      </w:tr>
      <w:tr w14:paraId="5B64A7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2FBF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48D6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25A3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0E4D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4D6F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3ED4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04E0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9370D">
            <w:pPr>
              <w:jc w:val="center"/>
            </w:pPr>
            <w:r>
              <w:rPr>
                <w:rFonts w:ascii="宋体" w:hAnsi="宋体" w:eastAsia="宋体"/>
                <w:sz w:val="16"/>
              </w:rPr>
              <w:t>得分</w:t>
            </w:r>
          </w:p>
        </w:tc>
      </w:tr>
      <w:tr w14:paraId="46207B1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0250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129F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68BB7">
            <w:pPr>
              <w:jc w:val="center"/>
            </w:pPr>
            <w:r>
              <w:rPr>
                <w:rFonts w:ascii="宋体" w:hAnsi="宋体" w:eastAsia="宋体"/>
                <w:sz w:val="16"/>
              </w:rPr>
              <w:t>指挥大厅设备巡检维护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AB295">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18E2B">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D083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8D7CE">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8BE69">
            <w:pPr>
              <w:jc w:val="center"/>
            </w:pPr>
            <w:r>
              <w:rPr>
                <w:rFonts w:ascii="宋体" w:hAnsi="宋体" w:eastAsia="宋体"/>
                <w:sz w:val="16"/>
              </w:rPr>
              <w:t>20</w:t>
            </w:r>
          </w:p>
        </w:tc>
      </w:tr>
      <w:tr w14:paraId="1092CE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B990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5F70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12014">
            <w:pPr>
              <w:jc w:val="center"/>
            </w:pPr>
            <w:r>
              <w:rPr>
                <w:rFonts w:ascii="宋体" w:hAnsi="宋体" w:eastAsia="宋体"/>
                <w:sz w:val="16"/>
              </w:rPr>
              <w:t>分析研究问题隐患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19513">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DE435">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73F1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A874A">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369B3">
            <w:pPr>
              <w:jc w:val="center"/>
            </w:pPr>
            <w:r>
              <w:rPr>
                <w:rFonts w:ascii="宋体" w:hAnsi="宋体" w:eastAsia="宋体"/>
                <w:sz w:val="16"/>
              </w:rPr>
              <w:t>20</w:t>
            </w:r>
          </w:p>
        </w:tc>
      </w:tr>
      <w:tr w14:paraId="0066A7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2C2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547A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0FD5E">
            <w:pPr>
              <w:jc w:val="center"/>
            </w:pPr>
            <w:r>
              <w:rPr>
                <w:rFonts w:ascii="宋体" w:hAnsi="宋体" w:eastAsia="宋体"/>
                <w:sz w:val="16"/>
              </w:rPr>
              <w:t>召开主任办公会议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BBF8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33024">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906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3BB17">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BC28A">
            <w:pPr>
              <w:jc w:val="center"/>
            </w:pPr>
            <w:r>
              <w:rPr>
                <w:rFonts w:ascii="宋体" w:hAnsi="宋体" w:eastAsia="宋体"/>
                <w:sz w:val="16"/>
              </w:rPr>
              <w:t>20</w:t>
            </w:r>
          </w:p>
        </w:tc>
      </w:tr>
      <w:tr w14:paraId="7E3775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47A7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A497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F9B8A">
            <w:pPr>
              <w:jc w:val="center"/>
            </w:pPr>
            <w:r>
              <w:rPr>
                <w:rFonts w:ascii="宋体" w:hAnsi="宋体" w:eastAsia="宋体"/>
                <w:sz w:val="16"/>
              </w:rPr>
              <w:t>全年问题整改率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C99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05812">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4001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BCED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ED67D">
            <w:pPr>
              <w:jc w:val="center"/>
            </w:pPr>
            <w:r>
              <w:rPr>
                <w:rFonts w:ascii="宋体" w:hAnsi="宋体" w:eastAsia="宋体"/>
                <w:sz w:val="16"/>
              </w:rPr>
              <w:t>20</w:t>
            </w:r>
          </w:p>
        </w:tc>
      </w:tr>
      <w:tr w14:paraId="746566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D77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BC8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57F40">
            <w:pPr>
              <w:jc w:val="center"/>
            </w:pPr>
            <w:r>
              <w:rPr>
                <w:rFonts w:ascii="宋体" w:hAnsi="宋体" w:eastAsia="宋体"/>
                <w:sz w:val="16"/>
              </w:rPr>
              <w:t>对全州中心站调度覆盖率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3F5E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BD5B5">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EF8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F0CE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C2856">
            <w:pPr>
              <w:jc w:val="center"/>
            </w:pPr>
            <w:r>
              <w:rPr>
                <w:rFonts w:ascii="宋体" w:hAnsi="宋体" w:eastAsia="宋体"/>
                <w:sz w:val="16"/>
              </w:rPr>
              <w:t>10</w:t>
            </w:r>
          </w:p>
        </w:tc>
      </w:tr>
    </w:tbl>
    <w:p w14:paraId="6AF64009">
      <w:r>
        <w:br w:type="page"/>
      </w:r>
    </w:p>
    <w:p w14:paraId="7445281B">
      <w:pPr>
        <w:spacing w:line="640" w:lineRule="exact"/>
        <w:ind w:firstLine="640"/>
        <w:jc w:val="both"/>
        <w:outlineLvl w:val="2"/>
      </w:pPr>
      <w:r>
        <w:rPr>
          <w:rFonts w:ascii="黑体" w:hAnsi="黑体" w:eastAsia="黑体"/>
          <w:sz w:val="32"/>
        </w:rPr>
        <w:t>十二、其他需说明的事项</w:t>
      </w:r>
    </w:p>
    <w:p w14:paraId="1DDD116A">
      <w:pPr>
        <w:spacing w:line="580" w:lineRule="exact"/>
        <w:ind w:firstLine="640"/>
        <w:jc w:val="both"/>
      </w:pPr>
      <w:r>
        <w:rPr>
          <w:rFonts w:ascii="仿宋_GB2312" w:hAnsi="仿宋_GB2312" w:eastAsia="仿宋_GB2312"/>
          <w:b w:val="0"/>
          <w:sz w:val="32"/>
        </w:rPr>
        <w:t>本年本单位SM项目3个，全年预算数83.11元，全年执行数83.11万元。</w:t>
      </w:r>
    </w:p>
    <w:p w14:paraId="73F3D2AC">
      <w:r>
        <w:br w:type="page"/>
      </w:r>
    </w:p>
    <w:p w14:paraId="25DEEEB8">
      <w:pPr>
        <w:spacing w:line="240" w:lineRule="auto"/>
        <w:jc w:val="center"/>
        <w:outlineLvl w:val="1"/>
      </w:pPr>
      <w:r>
        <w:rPr>
          <w:rFonts w:ascii="黑体" w:hAnsi="黑体" w:eastAsia="黑体"/>
          <w:sz w:val="32"/>
        </w:rPr>
        <w:t>第三部分 专业名词解释</w:t>
      </w:r>
    </w:p>
    <w:p w14:paraId="72C125C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31BA1B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D1B7C0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1A1CC1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9AA73E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7E7E0D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47CD5E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9E445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B11BD8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9F5337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9A1E1A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2ED944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EBABB0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21D7BE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99B07E5">
      <w:r>
        <w:br w:type="page"/>
      </w:r>
    </w:p>
    <w:p w14:paraId="06B4D6FC">
      <w:pPr>
        <w:spacing w:line="240" w:lineRule="auto"/>
        <w:jc w:val="center"/>
        <w:outlineLvl w:val="1"/>
      </w:pPr>
      <w:r>
        <w:rPr>
          <w:rFonts w:ascii="黑体" w:hAnsi="黑体" w:eastAsia="黑体"/>
          <w:sz w:val="32"/>
        </w:rPr>
        <w:t>第四部分 部门决算报表（见附表）</w:t>
      </w:r>
    </w:p>
    <w:p w14:paraId="28D83082">
      <w:pPr>
        <w:spacing w:line="240" w:lineRule="auto"/>
        <w:ind w:firstLine="640"/>
        <w:jc w:val="both"/>
      </w:pPr>
      <w:r>
        <w:rPr>
          <w:rFonts w:ascii="仿宋_GB2312" w:hAnsi="仿宋_GB2312" w:eastAsia="仿宋_GB2312"/>
          <w:b w:val="0"/>
          <w:sz w:val="32"/>
        </w:rPr>
        <w:t>一、《收入支出决算总表》</w:t>
      </w:r>
    </w:p>
    <w:p w14:paraId="2804D96A">
      <w:pPr>
        <w:spacing w:line="240" w:lineRule="auto"/>
        <w:ind w:firstLine="640"/>
        <w:jc w:val="both"/>
      </w:pPr>
      <w:r>
        <w:rPr>
          <w:rFonts w:ascii="仿宋_GB2312" w:hAnsi="仿宋_GB2312" w:eastAsia="仿宋_GB2312"/>
          <w:b w:val="0"/>
          <w:sz w:val="32"/>
        </w:rPr>
        <w:t>二、《收入决算表》</w:t>
      </w:r>
    </w:p>
    <w:p w14:paraId="73488EB4">
      <w:pPr>
        <w:spacing w:line="240" w:lineRule="auto"/>
        <w:ind w:firstLine="640"/>
        <w:jc w:val="both"/>
      </w:pPr>
      <w:r>
        <w:rPr>
          <w:rFonts w:ascii="仿宋_GB2312" w:hAnsi="仿宋_GB2312" w:eastAsia="仿宋_GB2312"/>
          <w:b w:val="0"/>
          <w:sz w:val="32"/>
        </w:rPr>
        <w:t>三、《支出决算表》</w:t>
      </w:r>
    </w:p>
    <w:p w14:paraId="7094D2B6">
      <w:pPr>
        <w:spacing w:line="240" w:lineRule="auto"/>
        <w:ind w:firstLine="640"/>
        <w:jc w:val="both"/>
      </w:pPr>
      <w:r>
        <w:rPr>
          <w:rFonts w:ascii="仿宋_GB2312" w:hAnsi="仿宋_GB2312" w:eastAsia="仿宋_GB2312"/>
          <w:b w:val="0"/>
          <w:sz w:val="32"/>
        </w:rPr>
        <w:t>四、《财政拨款收入支出决算总表》</w:t>
      </w:r>
    </w:p>
    <w:p w14:paraId="4E3E8756">
      <w:pPr>
        <w:spacing w:line="240" w:lineRule="auto"/>
        <w:ind w:firstLine="640"/>
        <w:jc w:val="both"/>
      </w:pPr>
      <w:r>
        <w:rPr>
          <w:rFonts w:ascii="仿宋_GB2312" w:hAnsi="仿宋_GB2312" w:eastAsia="仿宋_GB2312"/>
          <w:b w:val="0"/>
          <w:sz w:val="32"/>
        </w:rPr>
        <w:t>五、《一般公共预算财政拨款支出决算表》</w:t>
      </w:r>
    </w:p>
    <w:p w14:paraId="72220C4F">
      <w:pPr>
        <w:spacing w:line="240" w:lineRule="auto"/>
        <w:ind w:firstLine="640"/>
        <w:jc w:val="both"/>
      </w:pPr>
      <w:r>
        <w:rPr>
          <w:rFonts w:ascii="仿宋_GB2312" w:hAnsi="仿宋_GB2312" w:eastAsia="仿宋_GB2312"/>
          <w:b w:val="0"/>
          <w:sz w:val="32"/>
        </w:rPr>
        <w:t>六、《一般公共预算财政拨款基本支出决算表》</w:t>
      </w:r>
    </w:p>
    <w:p w14:paraId="2E42B476">
      <w:pPr>
        <w:spacing w:line="240" w:lineRule="auto"/>
        <w:ind w:firstLine="640"/>
        <w:jc w:val="both"/>
      </w:pPr>
      <w:r>
        <w:rPr>
          <w:rFonts w:ascii="仿宋_GB2312" w:hAnsi="仿宋_GB2312" w:eastAsia="仿宋_GB2312"/>
          <w:b w:val="0"/>
          <w:sz w:val="32"/>
        </w:rPr>
        <w:t>七、《政府性基金预算财政拨款收入支出决算表》</w:t>
      </w:r>
    </w:p>
    <w:p w14:paraId="5C7859E0">
      <w:pPr>
        <w:spacing w:line="240" w:lineRule="auto"/>
        <w:ind w:firstLine="640"/>
        <w:jc w:val="both"/>
      </w:pPr>
      <w:r>
        <w:rPr>
          <w:rFonts w:ascii="仿宋_GB2312" w:hAnsi="仿宋_GB2312" w:eastAsia="仿宋_GB2312"/>
          <w:b w:val="0"/>
          <w:sz w:val="32"/>
        </w:rPr>
        <w:t>八、《国有资本经营预算财政拨款收入支出决算表》</w:t>
      </w:r>
    </w:p>
    <w:p w14:paraId="12BCB031">
      <w:pPr>
        <w:spacing w:line="240" w:lineRule="auto"/>
        <w:ind w:firstLine="640"/>
        <w:jc w:val="both"/>
      </w:pPr>
      <w:r>
        <w:rPr>
          <w:rFonts w:ascii="仿宋_GB2312" w:hAnsi="仿宋_GB2312" w:eastAsia="仿宋_GB2312"/>
          <w:b w:val="0"/>
          <w:sz w:val="32"/>
        </w:rPr>
        <w:t>九、《财政拨款“三公”经费支出决算表》</w:t>
      </w:r>
    </w:p>
    <w:p w14:paraId="4D278733">
      <w:pPr>
        <w:spacing w:line="240" w:lineRule="auto"/>
        <w:ind w:firstLine="640"/>
        <w:jc w:val="both"/>
      </w:pPr>
    </w:p>
    <w:p w14:paraId="70CB2E51">
      <w:pPr>
        <w:spacing w:line="240" w:lineRule="auto"/>
        <w:ind w:firstLine="640"/>
        <w:jc w:val="both"/>
      </w:pPr>
    </w:p>
    <w:p w14:paraId="101B299D">
      <w:pPr>
        <w:spacing w:line="240" w:lineRule="auto"/>
        <w:ind w:firstLine="640"/>
        <w:jc w:val="both"/>
      </w:pPr>
    </w:p>
    <w:p w14:paraId="090D464C">
      <w:pPr>
        <w:spacing w:line="240" w:lineRule="auto"/>
        <w:ind w:firstLine="640"/>
        <w:jc w:val="both"/>
      </w:pPr>
    </w:p>
    <w:p w14:paraId="60AAFBE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5A4B5F"/>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030989"/>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4338</Words>
  <Characters>5072</Characters>
  <Lines>0</Lines>
  <Paragraphs>0</Paragraphs>
  <TotalTime>3</TotalTime>
  <ScaleCrop>false</ScaleCrop>
  <LinksUpToDate>false</LinksUpToDate>
  <CharactersWithSpaces>5080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