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昌吉回族自治州住房公积金管理中心2024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59D17328">
      <w:r>
        <w:br w:type="page"/>
      </w:r>
    </w:p>
    <w:p w14:paraId="7A99A066">
      <w:pPr>
        <w:spacing w:line="640" w:lineRule="exact"/>
        <w:jc w:val="center"/>
        <w:outlineLvl w:val="1"/>
      </w:pPr>
      <w:r>
        <w:rPr>
          <w:rFonts w:ascii="黑体" w:hAnsi="黑体" w:eastAsia="黑体"/>
          <w:sz w:val="32"/>
        </w:rPr>
        <w:t>第一部分 单位概况</w:t>
      </w:r>
    </w:p>
    <w:p w14:paraId="73F9B8FA">
      <w:pPr>
        <w:spacing w:line="640" w:lineRule="exact"/>
        <w:ind w:firstLine="640"/>
        <w:jc w:val="both"/>
        <w:outlineLvl w:val="2"/>
      </w:pPr>
      <w:r>
        <w:rPr>
          <w:rFonts w:ascii="黑体" w:hAnsi="黑体" w:eastAsia="黑体"/>
          <w:sz w:val="32"/>
        </w:rPr>
        <w:t>一、主要职能</w:t>
      </w:r>
    </w:p>
    <w:p w14:paraId="0853889A">
      <w:pPr>
        <w:spacing w:line="580" w:lineRule="exact"/>
        <w:ind w:firstLine="640"/>
        <w:jc w:val="both"/>
      </w:pPr>
      <w:r>
        <w:rPr>
          <w:rFonts w:hint="eastAsia" w:ascii="仿宋_GB2312" w:hAnsi="仿宋_GB2312" w:eastAsia="仿宋_GB2312"/>
          <w:sz w:val="32"/>
          <w:lang w:eastAsia="zh-CN"/>
        </w:rPr>
        <w:t>1.</w:t>
      </w:r>
      <w:r>
        <w:rPr>
          <w:rFonts w:ascii="仿宋_GB2312" w:hAnsi="仿宋_GB2312" w:eastAsia="仿宋_GB2312"/>
          <w:sz w:val="32"/>
        </w:rPr>
        <w:t>编制、执行住房公积金的归集、使用计划。</w:t>
      </w:r>
    </w:p>
    <w:p w14:paraId="32734B77">
      <w:pPr>
        <w:spacing w:line="580" w:lineRule="exact"/>
        <w:ind w:firstLine="640"/>
        <w:jc w:val="both"/>
      </w:pPr>
      <w:r>
        <w:rPr>
          <w:rFonts w:hint="eastAsia" w:ascii="仿宋_GB2312" w:hAnsi="仿宋_GB2312" w:eastAsia="仿宋_GB2312"/>
          <w:sz w:val="32"/>
          <w:lang w:eastAsia="zh-CN"/>
        </w:rPr>
        <w:t>2.</w:t>
      </w:r>
      <w:r>
        <w:rPr>
          <w:rFonts w:ascii="仿宋_GB2312" w:hAnsi="仿宋_GB2312" w:eastAsia="仿宋_GB2312"/>
          <w:sz w:val="32"/>
        </w:rPr>
        <w:t>负责记载职工住房公积金的缴存、提取、使用等情况。</w:t>
      </w:r>
    </w:p>
    <w:p w14:paraId="51E212DD">
      <w:pPr>
        <w:spacing w:line="580" w:lineRule="exact"/>
        <w:ind w:firstLine="640"/>
        <w:jc w:val="both"/>
      </w:pPr>
      <w:r>
        <w:rPr>
          <w:rFonts w:hint="eastAsia" w:ascii="仿宋_GB2312" w:hAnsi="仿宋_GB2312" w:eastAsia="仿宋_GB2312"/>
          <w:sz w:val="32"/>
          <w:lang w:eastAsia="zh-CN"/>
        </w:rPr>
        <w:t>3.</w:t>
      </w:r>
      <w:r>
        <w:rPr>
          <w:rFonts w:ascii="仿宋_GB2312" w:hAnsi="仿宋_GB2312" w:eastAsia="仿宋_GB2312"/>
          <w:sz w:val="32"/>
        </w:rPr>
        <w:t>负责住房公积金的核算。</w:t>
      </w:r>
    </w:p>
    <w:p w14:paraId="5BA75826">
      <w:pPr>
        <w:spacing w:line="580" w:lineRule="exact"/>
        <w:ind w:firstLine="640"/>
        <w:jc w:val="both"/>
      </w:pPr>
      <w:r>
        <w:rPr>
          <w:rFonts w:hint="eastAsia" w:ascii="仿宋_GB2312" w:hAnsi="仿宋_GB2312" w:eastAsia="仿宋_GB2312"/>
          <w:sz w:val="32"/>
          <w:lang w:eastAsia="zh-CN"/>
        </w:rPr>
        <w:t>4.</w:t>
      </w:r>
      <w:r>
        <w:rPr>
          <w:rFonts w:ascii="仿宋_GB2312" w:hAnsi="仿宋_GB2312" w:eastAsia="仿宋_GB2312"/>
          <w:sz w:val="32"/>
        </w:rPr>
        <w:t>审批住房公积金的提取、使用。</w:t>
      </w:r>
    </w:p>
    <w:p w14:paraId="223F4AB1">
      <w:pPr>
        <w:spacing w:line="580" w:lineRule="exact"/>
        <w:ind w:firstLine="640"/>
        <w:jc w:val="both"/>
      </w:pPr>
      <w:r>
        <w:rPr>
          <w:rFonts w:hint="eastAsia" w:ascii="仿宋_GB2312" w:hAnsi="仿宋_GB2312" w:eastAsia="仿宋_GB2312"/>
          <w:sz w:val="32"/>
          <w:lang w:eastAsia="zh-CN"/>
        </w:rPr>
        <w:t>5.</w:t>
      </w:r>
      <w:r>
        <w:rPr>
          <w:rFonts w:ascii="仿宋_GB2312" w:hAnsi="仿宋_GB2312" w:eastAsia="仿宋_GB2312"/>
          <w:sz w:val="32"/>
        </w:rPr>
        <w:t>负责住房公积金的保值和归还。</w:t>
      </w:r>
    </w:p>
    <w:p w14:paraId="0A6C223F">
      <w:pPr>
        <w:spacing w:line="580" w:lineRule="exact"/>
        <w:ind w:firstLine="640"/>
        <w:jc w:val="both"/>
      </w:pPr>
      <w:r>
        <w:rPr>
          <w:rFonts w:hint="eastAsia" w:ascii="仿宋_GB2312" w:hAnsi="仿宋_GB2312" w:eastAsia="仿宋_GB2312"/>
          <w:sz w:val="32"/>
          <w:lang w:eastAsia="zh-CN"/>
        </w:rPr>
        <w:t>6.</w:t>
      </w:r>
      <w:r>
        <w:rPr>
          <w:rFonts w:ascii="仿宋_GB2312" w:hAnsi="仿宋_GB2312" w:eastAsia="仿宋_GB2312"/>
          <w:sz w:val="32"/>
        </w:rPr>
        <w:t>编制住房公积金归集、使用计划执行情况的报告。</w:t>
      </w:r>
    </w:p>
    <w:p w14:paraId="3AAD4671">
      <w:pPr>
        <w:spacing w:line="580" w:lineRule="exact"/>
        <w:ind w:firstLine="640"/>
        <w:jc w:val="both"/>
      </w:pPr>
      <w:r>
        <w:rPr>
          <w:rFonts w:hint="eastAsia" w:ascii="仿宋_GB2312" w:hAnsi="仿宋_GB2312" w:eastAsia="仿宋_GB2312"/>
          <w:sz w:val="32"/>
          <w:lang w:eastAsia="zh-CN"/>
        </w:rPr>
        <w:t>7.</w:t>
      </w:r>
      <w:r>
        <w:rPr>
          <w:rFonts w:ascii="仿宋_GB2312" w:hAnsi="仿宋_GB2312" w:eastAsia="仿宋_GB2312"/>
          <w:sz w:val="32"/>
        </w:rPr>
        <w:t>承办住房公积金管理委员会决定的其他事项。</w:t>
      </w:r>
    </w:p>
    <w:p w14:paraId="1F1114E1">
      <w:pPr>
        <w:spacing w:line="640" w:lineRule="exact"/>
        <w:ind w:firstLine="640"/>
        <w:jc w:val="both"/>
        <w:outlineLvl w:val="2"/>
      </w:pPr>
      <w:r>
        <w:rPr>
          <w:rFonts w:ascii="黑体" w:hAnsi="黑体" w:eastAsia="黑体"/>
          <w:sz w:val="32"/>
        </w:rPr>
        <w:t>二、机构设置及人员情况</w:t>
      </w:r>
    </w:p>
    <w:p w14:paraId="34D75235">
      <w:pPr>
        <w:spacing w:line="580" w:lineRule="exact"/>
        <w:ind w:firstLine="640"/>
        <w:jc w:val="both"/>
      </w:pPr>
      <w:r>
        <w:rPr>
          <w:rFonts w:ascii="仿宋_GB2312" w:hAnsi="仿宋_GB2312" w:eastAsia="仿宋_GB2312"/>
          <w:sz w:val="32"/>
        </w:rPr>
        <w:t>昌吉回族自治州住房公积金管理中心2024年度，实有人数96人，其中：在职人员70人，减少5人；离休人员0人，增加0人；退休人员26人,增加6人。</w:t>
      </w:r>
    </w:p>
    <w:p w14:paraId="0E009BF1">
      <w:pPr>
        <w:spacing w:line="580" w:lineRule="exact"/>
        <w:ind w:firstLine="640"/>
        <w:jc w:val="both"/>
      </w:pPr>
      <w:r>
        <w:rPr>
          <w:rFonts w:ascii="仿宋_GB2312" w:hAnsi="仿宋_GB2312" w:eastAsia="仿宋_GB2312"/>
          <w:sz w:val="32"/>
        </w:rPr>
        <w:t>昌吉回族自治州住房公积金管理中心无下属预算单位，下设14个科室，分别是：木垒管理部、奇台管理部、吉木萨尔管理部、准东管理部、阜康管理部、昌吉管理部、呼图壁管理部、玛纳斯管理部、组织人事科、审计稽核科、综合业务科、资金核算科、政策法规科、办公室。</w:t>
      </w:r>
    </w:p>
    <w:p w14:paraId="62E9EACB">
      <w:r>
        <w:br w:type="page"/>
      </w:r>
    </w:p>
    <w:p w14:paraId="0BD63A7A">
      <w:pPr>
        <w:spacing w:line="240" w:lineRule="auto"/>
        <w:jc w:val="center"/>
        <w:outlineLvl w:val="1"/>
      </w:pPr>
      <w:r>
        <w:rPr>
          <w:rFonts w:ascii="黑体" w:hAnsi="黑体" w:eastAsia="黑体"/>
          <w:sz w:val="32"/>
        </w:rPr>
        <w:t>第二部分 部门决算情况说明</w:t>
      </w:r>
    </w:p>
    <w:p w14:paraId="34C889BD">
      <w:pPr>
        <w:spacing w:line="640" w:lineRule="exact"/>
        <w:ind w:firstLine="640"/>
        <w:jc w:val="both"/>
        <w:outlineLvl w:val="2"/>
      </w:pPr>
      <w:r>
        <w:rPr>
          <w:rFonts w:ascii="黑体" w:hAnsi="黑体" w:eastAsia="黑体"/>
          <w:sz w:val="32"/>
        </w:rPr>
        <w:t>一、收入支出决算总体情况说明</w:t>
      </w:r>
    </w:p>
    <w:p w14:paraId="2D02BA89">
      <w:pPr>
        <w:spacing w:line="580" w:lineRule="exact"/>
        <w:ind w:firstLine="640"/>
        <w:jc w:val="both"/>
      </w:pPr>
      <w:r>
        <w:rPr>
          <w:rFonts w:ascii="仿宋_GB2312" w:hAnsi="仿宋_GB2312" w:eastAsia="仿宋_GB2312"/>
          <w:b/>
          <w:sz w:val="32"/>
        </w:rPr>
        <w:t>2024年度收入总计3,308.36万元，</w:t>
      </w:r>
      <w:r>
        <w:rPr>
          <w:rFonts w:ascii="仿宋_GB2312" w:hAnsi="仿宋_GB2312" w:eastAsia="仿宋_GB2312"/>
          <w:b w:val="0"/>
          <w:sz w:val="32"/>
        </w:rPr>
        <w:t>其中：本年收入合计3,308.36万元，使用非财政拨款结余（含专用结余）0.00万元，年初结转和结余0.00万元。</w:t>
      </w:r>
    </w:p>
    <w:p w14:paraId="3A41C700">
      <w:pPr>
        <w:spacing w:line="580" w:lineRule="exact"/>
        <w:ind w:firstLine="640"/>
        <w:jc w:val="both"/>
        <w:rPr>
          <w:spacing w:val="-6"/>
          <w:sz w:val="32"/>
        </w:rPr>
      </w:pPr>
      <w:r>
        <w:rPr>
          <w:rFonts w:ascii="仿宋_GB2312" w:hAnsi="仿宋_GB2312" w:eastAsia="仿宋_GB2312"/>
          <w:b/>
          <w:spacing w:val="-6"/>
          <w:sz w:val="32"/>
        </w:rPr>
        <w:t>2024年度支出总计3,308.36万元，</w:t>
      </w:r>
      <w:r>
        <w:rPr>
          <w:rFonts w:ascii="仿宋_GB2312" w:hAnsi="仿宋_GB2312" w:eastAsia="仿宋_GB2312"/>
          <w:b w:val="0"/>
          <w:spacing w:val="-6"/>
          <w:sz w:val="32"/>
        </w:rPr>
        <w:t>其中：本年支出合计3,308.36万元，结余分配0.00万元，年末结转和结余0.00万元。</w:t>
      </w:r>
    </w:p>
    <w:p w14:paraId="64961F0E">
      <w:pPr>
        <w:spacing w:line="580" w:lineRule="exact"/>
        <w:ind w:firstLine="640"/>
        <w:jc w:val="both"/>
      </w:pPr>
      <w:r>
        <w:rPr>
          <w:rFonts w:ascii="仿宋_GB2312" w:hAnsi="仿宋_GB2312" w:eastAsia="仿宋_GB2312"/>
          <w:b w:val="0"/>
          <w:sz w:val="32"/>
        </w:rPr>
        <w:t>收入支出总体与上年相比，增加272.32万元，增长8.97%，主要原因是：本年在职人员工资调增，相关人员经费增加；增加单位信息网络服务费用、住房公积金管理服务资金。</w:t>
      </w:r>
    </w:p>
    <w:p w14:paraId="0872D0D0">
      <w:pPr>
        <w:spacing w:line="640" w:lineRule="exact"/>
        <w:ind w:firstLine="640"/>
        <w:jc w:val="both"/>
        <w:outlineLvl w:val="2"/>
      </w:pPr>
      <w:r>
        <w:rPr>
          <w:rFonts w:ascii="黑体" w:hAnsi="黑体" w:eastAsia="黑体"/>
          <w:sz w:val="32"/>
        </w:rPr>
        <w:t>二、收入决算情况说明</w:t>
      </w:r>
    </w:p>
    <w:p w14:paraId="57E87992">
      <w:pPr>
        <w:spacing w:line="580" w:lineRule="exact"/>
        <w:ind w:firstLine="640"/>
        <w:jc w:val="both"/>
      </w:pPr>
      <w:r>
        <w:rPr>
          <w:rFonts w:ascii="仿宋_GB2312" w:hAnsi="仿宋_GB2312" w:eastAsia="仿宋_GB2312"/>
          <w:b/>
          <w:sz w:val="32"/>
        </w:rPr>
        <w:t>本年收入3,308.36万元，</w:t>
      </w:r>
      <w:r>
        <w:rPr>
          <w:rFonts w:ascii="仿宋_GB2312" w:hAnsi="仿宋_GB2312" w:eastAsia="仿宋_GB2312"/>
          <w:b w:val="0"/>
          <w:sz w:val="32"/>
        </w:rPr>
        <w:t>其中：财政拨款收入3,308.36万元，占100.00%；上级补助收入0.00万元，占0.00%；事业收入0.00万元，占0.00%；经营收入0.00万元，占0.00%；附属单位上缴收入0.00万元，占0.00%；其他收入0.00万元，占0.00%。</w:t>
      </w:r>
    </w:p>
    <w:p w14:paraId="345E3BAE">
      <w:pPr>
        <w:spacing w:line="640" w:lineRule="exact"/>
        <w:ind w:firstLine="640"/>
        <w:jc w:val="both"/>
        <w:outlineLvl w:val="2"/>
      </w:pPr>
      <w:r>
        <w:rPr>
          <w:rFonts w:ascii="黑体" w:hAnsi="黑体" w:eastAsia="黑体"/>
          <w:sz w:val="32"/>
        </w:rPr>
        <w:t>三、支出决算情况说明</w:t>
      </w:r>
    </w:p>
    <w:p w14:paraId="1D46768A">
      <w:pPr>
        <w:spacing w:line="580" w:lineRule="exact"/>
        <w:ind w:firstLine="640"/>
        <w:jc w:val="both"/>
      </w:pPr>
      <w:r>
        <w:rPr>
          <w:rFonts w:ascii="仿宋_GB2312" w:hAnsi="仿宋_GB2312" w:eastAsia="仿宋_GB2312"/>
          <w:b/>
          <w:sz w:val="32"/>
        </w:rPr>
        <w:t>本年支出3,308.36万元，</w:t>
      </w:r>
      <w:r>
        <w:rPr>
          <w:rFonts w:ascii="仿宋_GB2312" w:hAnsi="仿宋_GB2312" w:eastAsia="仿宋_GB2312"/>
          <w:b w:val="0"/>
          <w:sz w:val="32"/>
        </w:rPr>
        <w:t>其中：基本支出2,490.21万元，占75.27%；项目支出818.15万元，占24.73%；上缴上级支出0.00万元，占0.00%；经营支出0.00万元，占0.00%；对附属单位补助支出0.00万元，占0.00%。</w:t>
      </w:r>
    </w:p>
    <w:p w14:paraId="04E2523D">
      <w:pPr>
        <w:spacing w:line="640" w:lineRule="exact"/>
        <w:ind w:firstLine="640"/>
        <w:jc w:val="both"/>
        <w:outlineLvl w:val="2"/>
      </w:pPr>
      <w:r>
        <w:rPr>
          <w:rFonts w:ascii="黑体" w:hAnsi="黑体" w:eastAsia="黑体"/>
          <w:sz w:val="32"/>
        </w:rPr>
        <w:t>四、财政拨款收入支出决算总体情况说明</w:t>
      </w:r>
    </w:p>
    <w:p w14:paraId="77266A9F">
      <w:pPr>
        <w:spacing w:line="580" w:lineRule="exact"/>
        <w:ind w:firstLine="640"/>
        <w:jc w:val="both"/>
      </w:pPr>
      <w:r>
        <w:rPr>
          <w:rFonts w:ascii="仿宋_GB2312" w:hAnsi="仿宋_GB2312" w:eastAsia="仿宋_GB2312"/>
          <w:b/>
          <w:sz w:val="32"/>
        </w:rPr>
        <w:t>2024年度财政拨款收入总计3,308.36万元，</w:t>
      </w:r>
      <w:r>
        <w:rPr>
          <w:rFonts w:ascii="仿宋_GB2312" w:hAnsi="仿宋_GB2312" w:eastAsia="仿宋_GB2312"/>
          <w:b w:val="0"/>
          <w:sz w:val="32"/>
        </w:rPr>
        <w:t>其中：年初财政拨款结转和结余0.00万元，本年财政拨款收入3,308.36万元。</w:t>
      </w:r>
      <w:r>
        <w:rPr>
          <w:rFonts w:ascii="仿宋_GB2312" w:hAnsi="仿宋_GB2312" w:eastAsia="仿宋_GB2312"/>
          <w:b/>
          <w:sz w:val="32"/>
        </w:rPr>
        <w:t>财政拨款支出总计3,308.36万元，</w:t>
      </w:r>
      <w:r>
        <w:rPr>
          <w:rFonts w:ascii="仿宋_GB2312" w:hAnsi="仿宋_GB2312" w:eastAsia="仿宋_GB2312"/>
          <w:b w:val="0"/>
          <w:sz w:val="32"/>
        </w:rPr>
        <w:t>其中：年末财政拨款结转和结余0.00万元，本年财政拨款支出3,308.36万元。</w:t>
      </w:r>
    </w:p>
    <w:p w14:paraId="05319141">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增加272.32万元，增长8.97%，主要原因是：本年在职人员工资调增，相关人员经费增加；增加单位信息网络服务费用、住房公积金管理服务资金。</w:t>
      </w:r>
      <w:r>
        <w:rPr>
          <w:rFonts w:ascii="仿宋_GB2312" w:hAnsi="仿宋_GB2312" w:eastAsia="仿宋_GB2312"/>
          <w:b/>
          <w:sz w:val="32"/>
        </w:rPr>
        <w:t>与年初预算相比，</w:t>
      </w:r>
      <w:r>
        <w:rPr>
          <w:rFonts w:ascii="仿宋_GB2312" w:hAnsi="仿宋_GB2312" w:eastAsia="仿宋_GB2312"/>
          <w:b w:val="0"/>
          <w:sz w:val="32"/>
        </w:rPr>
        <w:t>年初预算数3,459.79万元，决算数3,308.36万元，预决算差异率-4.38%，主要原因是：本年在职人员减少，年中调减人员经费，导致预决算存在差异。</w:t>
      </w:r>
    </w:p>
    <w:p w14:paraId="38AA9D6A">
      <w:pPr>
        <w:spacing w:line="640" w:lineRule="exact"/>
        <w:ind w:firstLine="640"/>
        <w:jc w:val="both"/>
        <w:outlineLvl w:val="2"/>
      </w:pPr>
      <w:r>
        <w:rPr>
          <w:rFonts w:ascii="黑体" w:hAnsi="黑体" w:eastAsia="黑体"/>
          <w:sz w:val="32"/>
        </w:rPr>
        <w:t>五、一般公共预算财政拨款支出决算情况说明</w:t>
      </w:r>
    </w:p>
    <w:p w14:paraId="03263126">
      <w:pPr>
        <w:spacing w:line="640" w:lineRule="exact"/>
        <w:ind w:firstLine="640"/>
        <w:jc w:val="both"/>
        <w:outlineLvl w:val="3"/>
      </w:pPr>
      <w:r>
        <w:rPr>
          <w:rFonts w:ascii="楷体_GB2312" w:hAnsi="楷体_GB2312" w:eastAsia="楷体_GB2312"/>
          <w:b/>
          <w:sz w:val="32"/>
        </w:rPr>
        <w:t>（一）一般公共预算财政拨款支出决算总体情况</w:t>
      </w:r>
    </w:p>
    <w:p w14:paraId="329B7074">
      <w:pPr>
        <w:spacing w:line="580" w:lineRule="exact"/>
        <w:ind w:firstLine="640"/>
        <w:jc w:val="both"/>
      </w:pPr>
      <w:r>
        <w:rPr>
          <w:rFonts w:ascii="仿宋_GB2312" w:hAnsi="仿宋_GB2312" w:eastAsia="仿宋_GB2312"/>
          <w:b/>
          <w:sz w:val="32"/>
        </w:rPr>
        <w:t>2024年度一般公共预算财政拨款支出3,308.36万元，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增加272.32万元，增长8.97%，主要原因是：本年在职人员工资调增，相关人员经费增加；增加单位信息网络服务费用、住房公积金管理服务资金。</w:t>
      </w:r>
      <w:r>
        <w:rPr>
          <w:rFonts w:ascii="仿宋_GB2312" w:hAnsi="仿宋_GB2312" w:eastAsia="仿宋_GB2312"/>
          <w:b/>
          <w:sz w:val="32"/>
        </w:rPr>
        <w:t>与年初预算相比,</w:t>
      </w:r>
      <w:r>
        <w:rPr>
          <w:rFonts w:ascii="仿宋_GB2312" w:hAnsi="仿宋_GB2312" w:eastAsia="仿宋_GB2312"/>
          <w:b w:val="0"/>
          <w:sz w:val="32"/>
        </w:rPr>
        <w:t>年初预算数3,459.79万元，决算数3,308.36万元，预决算差异率-4.38%，主要原因是：本年在职人员减少，年中调减人员经费，导致预决算存在差异。</w:t>
      </w:r>
    </w:p>
    <w:p w14:paraId="4CC95955">
      <w:pPr>
        <w:spacing w:line="640" w:lineRule="exact"/>
        <w:ind w:firstLine="640"/>
        <w:jc w:val="both"/>
        <w:outlineLvl w:val="3"/>
      </w:pPr>
      <w:r>
        <w:rPr>
          <w:rFonts w:ascii="楷体_GB2312" w:hAnsi="楷体_GB2312" w:eastAsia="楷体_GB2312"/>
          <w:b/>
          <w:sz w:val="32"/>
        </w:rPr>
        <w:t>（二）一般公共预算财政拨款支出决算结构情况</w:t>
      </w:r>
    </w:p>
    <w:p w14:paraId="19E4B7F7">
      <w:pPr>
        <w:spacing w:line="580" w:lineRule="exact"/>
        <w:ind w:firstLine="640"/>
        <w:jc w:val="both"/>
      </w:pPr>
      <w:r>
        <w:rPr>
          <w:rFonts w:ascii="仿宋_GB2312" w:hAnsi="仿宋_GB2312" w:eastAsia="仿宋_GB2312"/>
          <w:b w:val="0"/>
          <w:sz w:val="32"/>
        </w:rPr>
        <w:t>1.社会保障和就业支出(类)215.39万元,占6.51%。</w:t>
      </w:r>
    </w:p>
    <w:p w14:paraId="49389213">
      <w:pPr>
        <w:spacing w:line="580" w:lineRule="exact"/>
        <w:ind w:firstLine="640"/>
        <w:jc w:val="both"/>
      </w:pPr>
      <w:r>
        <w:rPr>
          <w:rFonts w:ascii="仿宋_GB2312" w:hAnsi="仿宋_GB2312" w:eastAsia="仿宋_GB2312"/>
          <w:b w:val="0"/>
          <w:sz w:val="32"/>
        </w:rPr>
        <w:t>2.卫生健康支出(类)72.27万元,占2.18%。</w:t>
      </w:r>
    </w:p>
    <w:p w14:paraId="1D995124">
      <w:pPr>
        <w:spacing w:line="580" w:lineRule="exact"/>
        <w:ind w:firstLine="640"/>
        <w:jc w:val="both"/>
      </w:pPr>
      <w:r>
        <w:rPr>
          <w:rFonts w:ascii="仿宋_GB2312" w:hAnsi="仿宋_GB2312" w:eastAsia="仿宋_GB2312"/>
          <w:b w:val="0"/>
          <w:sz w:val="32"/>
        </w:rPr>
        <w:t>3.住房保障支出(类)2,999.85万元,占90.67%。</w:t>
      </w:r>
    </w:p>
    <w:p w14:paraId="209CF6F7">
      <w:pPr>
        <w:spacing w:line="580" w:lineRule="exact"/>
        <w:ind w:firstLine="640"/>
        <w:jc w:val="both"/>
      </w:pPr>
      <w:r>
        <w:rPr>
          <w:rFonts w:ascii="仿宋_GB2312" w:hAnsi="仿宋_GB2312" w:eastAsia="仿宋_GB2312"/>
          <w:b w:val="0"/>
          <w:sz w:val="32"/>
        </w:rPr>
        <w:t>4.其他支出(类)20.84万元,占0.63%。</w:t>
      </w:r>
    </w:p>
    <w:p w14:paraId="14A970C5">
      <w:pPr>
        <w:spacing w:line="640" w:lineRule="exact"/>
        <w:ind w:firstLine="640"/>
        <w:jc w:val="both"/>
        <w:outlineLvl w:val="3"/>
      </w:pPr>
      <w:r>
        <w:rPr>
          <w:rFonts w:ascii="楷体_GB2312" w:hAnsi="楷体_GB2312" w:eastAsia="楷体_GB2312"/>
          <w:b/>
          <w:sz w:val="32"/>
        </w:rPr>
        <w:t>（三）一般公共预算财政拨款支出决算具体情况</w:t>
      </w:r>
    </w:p>
    <w:p w14:paraId="7814FA33">
      <w:pPr>
        <w:spacing w:line="580" w:lineRule="exact"/>
        <w:ind w:firstLine="640"/>
        <w:jc w:val="both"/>
      </w:pPr>
      <w:r>
        <w:rPr>
          <w:rFonts w:ascii="仿宋_GB2312" w:hAnsi="仿宋_GB2312" w:eastAsia="仿宋_GB2312"/>
          <w:b w:val="0"/>
          <w:sz w:val="32"/>
        </w:rPr>
        <w:t>1.社会保障和就业支出(类)行政事业单位养老支出(款)事业单位离退休(项):支出决算数为12.68万元，比上年决算增加5.20万元，增长69.52%,主要原因是：本年退休人员增加，退休费支出增加。</w:t>
      </w:r>
    </w:p>
    <w:p w14:paraId="33C925B0">
      <w:pPr>
        <w:spacing w:line="580" w:lineRule="exact"/>
        <w:ind w:firstLine="640"/>
        <w:jc w:val="both"/>
      </w:pPr>
      <w:r>
        <w:rPr>
          <w:rFonts w:ascii="仿宋_GB2312" w:hAnsi="仿宋_GB2312" w:eastAsia="仿宋_GB2312"/>
          <w:b w:val="0"/>
          <w:sz w:val="32"/>
        </w:rPr>
        <w:t>2.社会保障和就业支出(类)行政事业单位养老支出(款)机关事业单位基本养老保险缴费支出(项):支出决算数为135.14万元，比上年决算增加10.27万元，增长8.22%,主要原因是：本年在职人员工资基数调增，养老缴费基数上涨，相应支出增加。</w:t>
      </w:r>
    </w:p>
    <w:p w14:paraId="5989568B">
      <w:pPr>
        <w:spacing w:line="580" w:lineRule="exact"/>
        <w:ind w:firstLine="640"/>
        <w:jc w:val="both"/>
      </w:pPr>
      <w:r>
        <w:rPr>
          <w:rFonts w:ascii="仿宋_GB2312" w:hAnsi="仿宋_GB2312" w:eastAsia="仿宋_GB2312"/>
          <w:b w:val="0"/>
          <w:sz w:val="32"/>
        </w:rPr>
        <w:t>3.社会保障和就业支出(类)行政事业单位养老支出(款)机关事业单位职业年金缴费支出(项):支出决算数为67.57万元，比上年决算增加5.14万元，增长8.23%,主要原因是：本年新增退休人员，职业年金缴费支出增加。</w:t>
      </w:r>
    </w:p>
    <w:p w14:paraId="57F46050">
      <w:pPr>
        <w:spacing w:line="580" w:lineRule="exact"/>
        <w:ind w:firstLine="640"/>
        <w:jc w:val="both"/>
      </w:pPr>
      <w:r>
        <w:rPr>
          <w:rFonts w:ascii="仿宋_GB2312" w:hAnsi="仿宋_GB2312" w:eastAsia="仿宋_GB2312"/>
          <w:b w:val="0"/>
          <w:sz w:val="32"/>
        </w:rPr>
        <w:t>4.社会保障和就业支出(类)抚恤(款)死亡抚恤(项):支出决算数为0.00万元，比上年决算减少5.45万元，下降100.00%,主要原因是：本年无死亡人员，无死亡抚恤支出。</w:t>
      </w:r>
    </w:p>
    <w:p w14:paraId="009A1A42">
      <w:pPr>
        <w:spacing w:line="580" w:lineRule="exact"/>
        <w:ind w:firstLine="640"/>
        <w:jc w:val="both"/>
      </w:pPr>
      <w:r>
        <w:rPr>
          <w:rFonts w:ascii="仿宋_GB2312" w:hAnsi="仿宋_GB2312" w:eastAsia="仿宋_GB2312"/>
          <w:b w:val="0"/>
          <w:sz w:val="32"/>
        </w:rPr>
        <w:t>5.卫生健康支出(类)行政事业单位医疗(款)事业单位医疗(项):支出决算数为67.57万元，比上年决算增加5.14万元，增长8.23%,主要原因是：本年在职人员工资基数调增，医疗缴费基数上涨，相应支出增加。</w:t>
      </w:r>
    </w:p>
    <w:p w14:paraId="123BD94A">
      <w:pPr>
        <w:spacing w:line="580" w:lineRule="exact"/>
        <w:ind w:firstLine="640"/>
        <w:jc w:val="both"/>
      </w:pPr>
      <w:r>
        <w:rPr>
          <w:rFonts w:ascii="仿宋_GB2312" w:hAnsi="仿宋_GB2312" w:eastAsia="仿宋_GB2312"/>
          <w:b w:val="0"/>
          <w:sz w:val="32"/>
        </w:rPr>
        <w:t>6.卫生健康支出(类)行政事业单位医疗(款)公务员医疗补助(项):支出决算数为4.22万元，比上年决算增加0.32万元，增长8.21%,主要原因是：本年在职人员工资基数调增，医疗缴费基数上涨，相应支出增加。</w:t>
      </w:r>
    </w:p>
    <w:p w14:paraId="047B6B3A">
      <w:pPr>
        <w:spacing w:line="580" w:lineRule="exact"/>
        <w:ind w:firstLine="640"/>
        <w:jc w:val="both"/>
      </w:pPr>
      <w:r>
        <w:rPr>
          <w:rFonts w:ascii="仿宋_GB2312" w:hAnsi="仿宋_GB2312" w:eastAsia="仿宋_GB2312"/>
          <w:b w:val="0"/>
          <w:sz w:val="32"/>
        </w:rPr>
        <w:t>7.卫生健康支出(类)行政事业单位医疗(款)其他行政事业单位医疗支出(项):支出决算数为0.48万元，比上年决算减少0.07万元，下降12.73%,主要原因是：本年在职人员减少，其他行政事业单位医疗支出较上年减少。</w:t>
      </w:r>
    </w:p>
    <w:p w14:paraId="0AD155D7">
      <w:pPr>
        <w:spacing w:line="580" w:lineRule="exact"/>
        <w:ind w:firstLine="640"/>
        <w:jc w:val="both"/>
      </w:pPr>
      <w:r>
        <w:rPr>
          <w:rFonts w:ascii="仿宋_GB2312" w:hAnsi="仿宋_GB2312" w:eastAsia="仿宋_GB2312"/>
          <w:b w:val="0"/>
          <w:sz w:val="32"/>
        </w:rPr>
        <w:t>8.住房保障支出(类)住房改革支出(款)住房公积金(项):支出决算数为108.72万元，比上年决算增加10.23万元，增长10.39%,主要原因是：本年在职人员工资基数调增，公积金缴费基数上涨，相应支出增加。</w:t>
      </w:r>
    </w:p>
    <w:p w14:paraId="17B2830E">
      <w:pPr>
        <w:spacing w:line="580" w:lineRule="exact"/>
        <w:ind w:firstLine="640"/>
        <w:jc w:val="both"/>
      </w:pPr>
      <w:r>
        <w:rPr>
          <w:rFonts w:ascii="仿宋_GB2312" w:hAnsi="仿宋_GB2312" w:eastAsia="仿宋_GB2312"/>
          <w:b w:val="0"/>
          <w:sz w:val="32"/>
        </w:rPr>
        <w:t>9.住房保障支出(类)城乡社区住宅(款)住房公积金管理(项):支出决算数为2,891.14万元，比上年决算增加242.52万元，增长9.16%,主要原因是：本年在职人员工资调增，相关人员经费增加；增加单位信息网络服务费用、住房公积金管理服务资金。</w:t>
      </w:r>
    </w:p>
    <w:p w14:paraId="23F769CA">
      <w:pPr>
        <w:spacing w:line="580" w:lineRule="exact"/>
        <w:ind w:firstLine="640"/>
        <w:jc w:val="both"/>
      </w:pPr>
      <w:r>
        <w:rPr>
          <w:rFonts w:ascii="仿宋_GB2312" w:hAnsi="仿宋_GB2312" w:eastAsia="仿宋_GB2312"/>
          <w:b w:val="0"/>
          <w:sz w:val="32"/>
        </w:rPr>
        <w:t>10.其他支出(类)其他支出(款)其他支出(项):支出决算数为20.84万元，比上年决算减少0.99万元，下降4.54%,主要原因是：本年减少为民办实事业务经费。</w:t>
      </w:r>
    </w:p>
    <w:p w14:paraId="7F6D4DF5">
      <w:pPr>
        <w:spacing w:line="640" w:lineRule="exact"/>
        <w:ind w:firstLine="640"/>
        <w:jc w:val="both"/>
        <w:outlineLvl w:val="2"/>
      </w:pPr>
      <w:r>
        <w:rPr>
          <w:rFonts w:ascii="黑体" w:hAnsi="黑体" w:eastAsia="黑体"/>
          <w:sz w:val="32"/>
        </w:rPr>
        <w:t>六、一般公共预算财政拨款基本支出决算情况说明</w:t>
      </w:r>
    </w:p>
    <w:p w14:paraId="76B26A73">
      <w:pPr>
        <w:spacing w:line="580" w:lineRule="exact"/>
        <w:ind w:firstLine="640"/>
        <w:jc w:val="both"/>
      </w:pPr>
      <w:r>
        <w:rPr>
          <w:rFonts w:ascii="仿宋_GB2312" w:hAnsi="仿宋_GB2312" w:eastAsia="仿宋_GB2312"/>
          <w:b w:val="0"/>
          <w:sz w:val="32"/>
        </w:rPr>
        <w:t>2024年度一般公共预算财政拨款基本支出2,490.21万元，其中：</w:t>
      </w:r>
      <w:r>
        <w:rPr>
          <w:rFonts w:ascii="仿宋_GB2312" w:hAnsi="仿宋_GB2312" w:eastAsia="仿宋_GB2312"/>
          <w:b/>
          <w:sz w:val="32"/>
        </w:rPr>
        <w:t>人员经费2,387.53万元，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退休费、生活补助、奖励金。</w:t>
      </w:r>
    </w:p>
    <w:p w14:paraId="3CA29D0B">
      <w:pPr>
        <w:spacing w:line="580" w:lineRule="exact"/>
        <w:ind w:firstLine="640"/>
        <w:jc w:val="both"/>
        <w:rPr>
          <w:spacing w:val="-6"/>
          <w:sz w:val="32"/>
        </w:rPr>
      </w:pPr>
      <w:r>
        <w:rPr>
          <w:rFonts w:ascii="仿宋_GB2312" w:hAnsi="仿宋_GB2312" w:eastAsia="仿宋_GB2312"/>
          <w:b/>
          <w:spacing w:val="-6"/>
          <w:sz w:val="32"/>
        </w:rPr>
        <w:t>公用经费102.68万元，</w:t>
      </w:r>
      <w:r>
        <w:rPr>
          <w:rFonts w:ascii="仿宋_GB2312" w:hAnsi="仿宋_GB2312" w:eastAsia="仿宋_GB2312"/>
          <w:b w:val="0"/>
          <w:spacing w:val="-6"/>
          <w:sz w:val="32"/>
        </w:rPr>
        <w:t>包括：办公费、水费、电费、邮电费、取暖费、物业管理费、公务接待费、劳务费、工会经费、福利费、公务用车运行维护费、其他交通费用、其他商品和服务支出。</w:t>
      </w:r>
    </w:p>
    <w:p w14:paraId="3C9BAC42">
      <w:pPr>
        <w:spacing w:line="640" w:lineRule="exact"/>
        <w:ind w:firstLine="640"/>
        <w:jc w:val="both"/>
        <w:outlineLvl w:val="2"/>
      </w:pPr>
      <w:r>
        <w:rPr>
          <w:rFonts w:ascii="黑体" w:hAnsi="黑体" w:eastAsia="黑体"/>
          <w:sz w:val="32"/>
        </w:rPr>
        <w:t>七、政府性基金预算财政拨款收入支出决算情况说明</w:t>
      </w:r>
    </w:p>
    <w:p w14:paraId="4FABB7FD">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0CF0720D">
      <w:pPr>
        <w:spacing w:line="640" w:lineRule="exact"/>
        <w:ind w:firstLine="640"/>
        <w:jc w:val="both"/>
        <w:outlineLvl w:val="2"/>
      </w:pPr>
      <w:r>
        <w:rPr>
          <w:rFonts w:ascii="黑体" w:hAnsi="黑体" w:eastAsia="黑体"/>
          <w:sz w:val="32"/>
        </w:rPr>
        <w:t>八、国有资本经营预算财政拨款收入支出决算情况说明</w:t>
      </w:r>
    </w:p>
    <w:p w14:paraId="29228034">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6ACA4DA7">
      <w:pPr>
        <w:spacing w:line="640" w:lineRule="exact"/>
        <w:ind w:firstLine="640"/>
        <w:jc w:val="both"/>
        <w:outlineLvl w:val="2"/>
      </w:pPr>
      <w:r>
        <w:rPr>
          <w:rFonts w:ascii="黑体" w:hAnsi="黑体" w:eastAsia="黑体"/>
          <w:sz w:val="32"/>
        </w:rPr>
        <w:t>九、财政拨款“三公”经费支出决算情况说明</w:t>
      </w:r>
    </w:p>
    <w:p w14:paraId="2495310C">
      <w:pPr>
        <w:spacing w:line="580" w:lineRule="exact"/>
        <w:ind w:firstLine="640"/>
        <w:jc w:val="both"/>
      </w:pPr>
      <w:r>
        <w:rPr>
          <w:rFonts w:ascii="仿宋_GB2312" w:hAnsi="仿宋_GB2312" w:eastAsia="仿宋_GB2312"/>
          <w:b/>
          <w:sz w:val="32"/>
        </w:rPr>
        <w:t>2024年度财政拨款“三公”经费支出20.79万元，</w:t>
      </w:r>
      <w:r>
        <w:rPr>
          <w:rFonts w:ascii="仿宋_GB2312" w:hAnsi="仿宋_GB2312" w:eastAsia="仿宋_GB2312"/>
          <w:b w:val="0"/>
          <w:sz w:val="32"/>
        </w:rPr>
        <w:t>比上年减少0.05万元，下降0.24%，主要原因是：严格落实中央八项规定精神，厉行节约，减少公务接待费。其中：因公出国（境）费支出0.00万元，占0.00%，比上年增加0.00万元，增长0.00%，主要原因是：2023年与2024年均未安排因公出国（境）费支出。公务用车购置及运行维护费支出20.75万元，占99.81%，比上年增加0.00万元，增长0.00%，主要原因是：</w:t>
      </w:r>
      <w:r>
        <w:rPr>
          <w:rFonts w:hint="eastAsia" w:ascii="仿宋_GB2312" w:hAnsi="仿宋_GB2312" w:eastAsia="仿宋_GB2312"/>
          <w:b w:val="0"/>
          <w:sz w:val="32"/>
          <w:lang w:eastAsia="zh-CN"/>
        </w:rPr>
        <w:t>本单位</w:t>
      </w:r>
      <w:r>
        <w:rPr>
          <w:rFonts w:ascii="仿宋_GB2312" w:hAnsi="仿宋_GB2312" w:eastAsia="仿宋_GB2312"/>
          <w:b w:val="0"/>
          <w:sz w:val="32"/>
        </w:rPr>
        <w:t>公务用车运行维护费与上年一致无变化。公务接待费支出0.05万元，占0.24%，比上年减少0.05万元，下降50.00%，主要原因是：严格落实中央八项规定精神，厉行节约，减少公务接待费。</w:t>
      </w:r>
    </w:p>
    <w:p w14:paraId="235C7AA8">
      <w:pPr>
        <w:spacing w:line="580" w:lineRule="exact"/>
        <w:ind w:firstLine="640"/>
        <w:jc w:val="both"/>
      </w:pPr>
      <w:r>
        <w:rPr>
          <w:rFonts w:ascii="仿宋_GB2312" w:hAnsi="仿宋_GB2312" w:eastAsia="仿宋_GB2312"/>
          <w:b/>
          <w:sz w:val="32"/>
        </w:rPr>
        <w:t>具体情况如下：</w:t>
      </w:r>
    </w:p>
    <w:p w14:paraId="48E1FF5A">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237EDBEB">
      <w:pPr>
        <w:spacing w:line="580" w:lineRule="exact"/>
        <w:ind w:firstLine="640"/>
        <w:jc w:val="both"/>
        <w:rPr>
          <w:spacing w:val="-6"/>
          <w:sz w:val="32"/>
        </w:rPr>
      </w:pPr>
      <w:r>
        <w:rPr>
          <w:rFonts w:ascii="仿宋_GB2312" w:hAnsi="仿宋_GB2312" w:eastAsia="仿宋_GB2312"/>
          <w:b w:val="0"/>
          <w:spacing w:val="-6"/>
          <w:sz w:val="32"/>
        </w:rPr>
        <w:t>公务用车购置及运行维护费20.75万元，其中：公务用车购置费0.00万元，公务用车运行维护费20.75万元。公务用车运行维护费开支内容包括公务用车燃油费、维修维护费、保险费、过路费、新能源车电费。公务用车购置数0辆，公务用车保有量6辆。国有资产占用情况中固定资产车辆6辆，与公务用车保有量差异原因是：本单位固定资产车辆与公务用车保有量一致无差异。</w:t>
      </w:r>
    </w:p>
    <w:p w14:paraId="0EB079C3">
      <w:pPr>
        <w:spacing w:line="580" w:lineRule="exact"/>
        <w:ind w:firstLine="640"/>
        <w:jc w:val="both"/>
      </w:pPr>
      <w:r>
        <w:rPr>
          <w:rFonts w:ascii="仿宋_GB2312" w:hAnsi="仿宋_GB2312" w:eastAsia="仿宋_GB2312"/>
          <w:b w:val="0"/>
          <w:sz w:val="32"/>
        </w:rPr>
        <w:t>公务接待费0.05万元，开支内容包括接待公积金行业系统交流学习人员产生的就餐费。单位全年安排的国内公务接待1批次，4人次。</w:t>
      </w:r>
    </w:p>
    <w:p w14:paraId="56FAE7DD">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20.79万元，决算数20.79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20.75万元，决算数20.75万元，预决算差异率0.00%，主要原因是：严格按照预算执行，预决算无差异。公务接待费全年预算数0.05万元，决算数0.05万元，预决算差异率0.00%，主要原因是：严格按照预算执行，预决算无差异。</w:t>
      </w:r>
    </w:p>
    <w:p w14:paraId="3F7A7C67">
      <w:pPr>
        <w:spacing w:line="640" w:lineRule="exact"/>
        <w:ind w:firstLine="640"/>
        <w:jc w:val="both"/>
        <w:outlineLvl w:val="2"/>
      </w:pPr>
      <w:r>
        <w:rPr>
          <w:rFonts w:ascii="黑体" w:hAnsi="黑体" w:eastAsia="黑体"/>
          <w:sz w:val="32"/>
        </w:rPr>
        <w:t>十、其他重要事项的情况说明</w:t>
      </w:r>
    </w:p>
    <w:p w14:paraId="7BDD8C0C">
      <w:pPr>
        <w:spacing w:line="640" w:lineRule="exact"/>
        <w:ind w:firstLine="640"/>
        <w:jc w:val="both"/>
        <w:outlineLvl w:val="3"/>
      </w:pPr>
      <w:r>
        <w:rPr>
          <w:rFonts w:ascii="楷体_GB2312" w:hAnsi="楷体_GB2312" w:eastAsia="楷体_GB2312"/>
          <w:b/>
          <w:sz w:val="32"/>
        </w:rPr>
        <w:t>（一）机关运行经费及公用经费支出情况</w:t>
      </w:r>
    </w:p>
    <w:p w14:paraId="788E4B1E">
      <w:pPr>
        <w:spacing w:line="580" w:lineRule="exact"/>
        <w:ind w:firstLine="640"/>
        <w:jc w:val="both"/>
      </w:pPr>
      <w:r>
        <w:rPr>
          <w:rFonts w:ascii="仿宋_GB2312" w:hAnsi="仿宋_GB2312" w:eastAsia="仿宋_GB2312"/>
          <w:b w:val="0"/>
          <w:sz w:val="32"/>
        </w:rPr>
        <w:t>2024年度昌吉回族自治州住房公积金管理中心（事业单位）公用经费支出102.68万元，比上年增加36.76万元，增长55.76%，主要原因是：本年增加住房公积金贷款合同公证费、法律服务费。</w:t>
      </w:r>
    </w:p>
    <w:p w14:paraId="2C258918">
      <w:pPr>
        <w:spacing w:line="640" w:lineRule="exact"/>
        <w:ind w:firstLine="640"/>
        <w:jc w:val="both"/>
        <w:outlineLvl w:val="3"/>
      </w:pPr>
      <w:r>
        <w:rPr>
          <w:rFonts w:ascii="楷体_GB2312" w:hAnsi="楷体_GB2312" w:eastAsia="楷体_GB2312"/>
          <w:b/>
          <w:sz w:val="32"/>
        </w:rPr>
        <w:t>（二）政府采购情况</w:t>
      </w:r>
    </w:p>
    <w:p w14:paraId="67CB541E">
      <w:pPr>
        <w:spacing w:line="580" w:lineRule="exact"/>
        <w:ind w:firstLine="640"/>
        <w:jc w:val="both"/>
      </w:pPr>
      <w:r>
        <w:rPr>
          <w:rFonts w:ascii="仿宋_GB2312" w:hAnsi="仿宋_GB2312" w:eastAsia="仿宋_GB2312"/>
          <w:b w:val="0"/>
          <w:sz w:val="32"/>
        </w:rPr>
        <w:t>2024年度政府采购支出总额234.61万元，其中：政府采购货物支出69.35万元、政府采购工程支出20.41万元、政府采购服务支出144.85万元。</w:t>
      </w:r>
    </w:p>
    <w:p w14:paraId="6672E986">
      <w:pPr>
        <w:spacing w:line="580" w:lineRule="exact"/>
        <w:ind w:firstLine="640"/>
        <w:jc w:val="both"/>
      </w:pPr>
      <w:r>
        <w:rPr>
          <w:rFonts w:ascii="仿宋_GB2312" w:hAnsi="仿宋_GB2312" w:eastAsia="仿宋_GB2312"/>
          <w:b w:val="0"/>
          <w:sz w:val="32"/>
        </w:rPr>
        <w:t>授予中小企业合同金额234.61万元，占政府采购支出总额的100.00%，其中：授予小微企业合同金额234.61万元，占政府采购支出总额的100.00%。</w:t>
      </w:r>
    </w:p>
    <w:p w14:paraId="6B545F5C">
      <w:pPr>
        <w:spacing w:line="640" w:lineRule="exact"/>
        <w:ind w:firstLine="640"/>
        <w:jc w:val="both"/>
        <w:outlineLvl w:val="3"/>
      </w:pPr>
      <w:r>
        <w:rPr>
          <w:rFonts w:ascii="楷体_GB2312" w:hAnsi="楷体_GB2312" w:eastAsia="楷体_GB2312"/>
          <w:b/>
          <w:sz w:val="32"/>
        </w:rPr>
        <w:t>（三）国有资产占用情况说明</w:t>
      </w:r>
    </w:p>
    <w:p w14:paraId="720BD276">
      <w:pPr>
        <w:spacing w:line="580" w:lineRule="exact"/>
        <w:ind w:firstLine="640"/>
        <w:jc w:val="both"/>
      </w:pPr>
      <w:r>
        <w:rPr>
          <w:rFonts w:ascii="仿宋_GB2312" w:hAnsi="仿宋_GB2312" w:eastAsia="仿宋_GB2312"/>
          <w:b w:val="0"/>
          <w:sz w:val="32"/>
        </w:rPr>
        <w:t>截至2024年1</w:t>
      </w:r>
      <w:bookmarkStart w:id="0" w:name="_GoBack"/>
      <w:r>
        <w:rPr>
          <w:rFonts w:ascii="仿宋_GB2312" w:hAnsi="仿宋_GB2312" w:eastAsia="仿宋_GB2312"/>
          <w:b w:val="0"/>
          <w:sz w:val="32"/>
        </w:rPr>
        <w:t>2月31日</w:t>
      </w:r>
      <w:bookmarkEnd w:id="0"/>
      <w:r>
        <w:rPr>
          <w:rFonts w:ascii="仿宋_GB2312" w:hAnsi="仿宋_GB2312" w:eastAsia="仿宋_GB2312"/>
          <w:b w:val="0"/>
          <w:sz w:val="32"/>
        </w:rPr>
        <w:t>，房屋12,384.59平方米，价值4,171.24万元。车辆6辆，价值119.69万元，其中：副部（省）级及以上领导用车0辆、主要负责人用车0辆、机要通信用车0辆、应急保障用车0辆、执法执勤用车0辆、特种专业技术用车0辆、离退休干部服务用车0辆、其他用车6辆，其他用车主要是：一般公务用车。单价100万元（含）以上设备（不含车辆）3台（套）。</w:t>
      </w:r>
    </w:p>
    <w:p w14:paraId="7702B7D0">
      <w:pPr>
        <w:spacing w:line="640" w:lineRule="exact"/>
        <w:ind w:firstLine="640"/>
        <w:jc w:val="both"/>
        <w:outlineLvl w:val="2"/>
      </w:pPr>
      <w:r>
        <w:rPr>
          <w:rFonts w:ascii="黑体" w:hAnsi="黑体" w:eastAsia="黑体"/>
          <w:sz w:val="32"/>
        </w:rPr>
        <w:t>十一、预算绩效的情况说明</w:t>
      </w:r>
    </w:p>
    <w:p w14:paraId="020A045B">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3,308.35万元，实际执行总额3,308.35万元；预算绩效评价项目2个，全年预算数876.78万元，全年执行数808.15万元。预算绩效管理取得的成效：一是本单位以绩效目标实现为导向，加强制度建设，提升预算执行质量，预算绩效管理取得一定成效。预算绩效管理</w:t>
      </w:r>
      <w:r>
        <w:rPr>
          <w:rFonts w:hint="eastAsia" w:ascii="仿宋_GB2312" w:hAnsi="仿宋_GB2312" w:eastAsia="仿宋_GB2312"/>
          <w:b w:val="0"/>
          <w:sz w:val="32"/>
          <w:lang w:eastAsia="zh-CN"/>
        </w:rPr>
        <w:t>取得</w:t>
      </w:r>
      <w:r>
        <w:rPr>
          <w:rFonts w:ascii="仿宋_GB2312" w:hAnsi="仿宋_GB2312" w:eastAsia="仿宋_GB2312"/>
          <w:b w:val="0"/>
          <w:sz w:val="32"/>
        </w:rPr>
        <w:t>成效，科学制定目标，促进绩效目标顺利实现。二是自落实预算绩效管理工作以来，本单位在项目资金的使用上都有了更明确、更清晰</w:t>
      </w:r>
      <w:r>
        <w:rPr>
          <w:rFonts w:hint="eastAsia" w:ascii="仿宋_GB2312" w:hAnsi="仿宋_GB2312" w:eastAsia="仿宋_GB2312"/>
          <w:b w:val="0"/>
          <w:sz w:val="32"/>
          <w:lang w:eastAsia="zh-CN"/>
        </w:rPr>
        <w:t>地</w:t>
      </w:r>
      <w:r>
        <w:rPr>
          <w:rFonts w:ascii="仿宋_GB2312" w:hAnsi="仿宋_GB2312" w:eastAsia="仿宋_GB2312"/>
          <w:b w:val="0"/>
          <w:sz w:val="32"/>
        </w:rPr>
        <w:t>理解和认识。通过实施预算绩效管理，树立了绩效优先的管理理念，也很好</w:t>
      </w:r>
      <w:r>
        <w:rPr>
          <w:rFonts w:hint="eastAsia" w:ascii="仿宋_GB2312" w:hAnsi="仿宋_GB2312" w:eastAsia="仿宋_GB2312"/>
          <w:b w:val="0"/>
          <w:sz w:val="32"/>
          <w:lang w:eastAsia="zh-CN"/>
        </w:rPr>
        <w:t>地</w:t>
      </w:r>
      <w:r>
        <w:rPr>
          <w:rFonts w:ascii="仿宋_GB2312" w:hAnsi="仿宋_GB2312" w:eastAsia="仿宋_GB2312"/>
          <w:b w:val="0"/>
          <w:sz w:val="32"/>
        </w:rPr>
        <w:t>避免了在经费使用上出现违规行为的</w:t>
      </w:r>
      <w:r>
        <w:rPr>
          <w:rFonts w:hint="eastAsia" w:ascii="仿宋_GB2312" w:hAnsi="仿宋_GB2312" w:eastAsia="仿宋_GB2312"/>
          <w:b w:val="0"/>
          <w:sz w:val="32"/>
          <w:lang w:eastAsia="zh-CN"/>
        </w:rPr>
        <w:t>概率</w:t>
      </w:r>
      <w:r>
        <w:rPr>
          <w:rFonts w:ascii="仿宋_GB2312" w:hAnsi="仿宋_GB2312" w:eastAsia="仿宋_GB2312"/>
          <w:b w:val="0"/>
          <w:sz w:val="32"/>
        </w:rPr>
        <w:t>，提升了部门管理水平和资金使用效益，为全面实施绩效管理打下了坚实的基础。发现的问题及原因：一是绩效设置精细化程度有待完善。由于房地产市场受经济环境、城镇化速度、楼盘质量等多重因素影响，因此在三级指标设置上不仅需要分析测算历史住房公积金贷款发放量，还</w:t>
      </w:r>
      <w:r>
        <w:rPr>
          <w:rFonts w:hint="eastAsia" w:ascii="仿宋_GB2312" w:hAnsi="仿宋_GB2312" w:eastAsia="仿宋_GB2312"/>
          <w:b w:val="0"/>
          <w:sz w:val="32"/>
          <w:lang w:eastAsia="zh-CN"/>
        </w:rPr>
        <w:t>须具备</w:t>
      </w:r>
      <w:r>
        <w:rPr>
          <w:rFonts w:ascii="仿宋_GB2312" w:hAnsi="仿宋_GB2312" w:eastAsia="仿宋_GB2312"/>
          <w:b w:val="0"/>
          <w:sz w:val="32"/>
        </w:rPr>
        <w:t>前瞻性、动态性思维，进一步提升绩效指标的明确性、准确度；二是运用大数据分析能力还需提升。预算执行过程中运用大数据进行分析和统计的能力还需进一步完善，预算编制管理水平仍有进一步提升的空间。下一步改进措施：一是高度重视财政预决算工作，加大绩效工作宣传力度，加强预算的约束力；二是强化绩效理念，强化业务人员整体素质；三是加强对绩效的管理培训工作，设置目标时考虑目标的可实现，尽量做到目标的细化量化、明确清晰。具体附整体支出绩效自评表，项目支出绩效自评表和评价报告。</w:t>
      </w:r>
    </w:p>
    <w:p w14:paraId="6A586925">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5A695115">
        <w:tblPrEx>
          <w:tblCellMar>
            <w:top w:w="0" w:type="dxa"/>
            <w:left w:w="108" w:type="dxa"/>
            <w:bottom w:w="0" w:type="dxa"/>
            <w:right w:w="108" w:type="dxa"/>
          </w:tblCellMar>
        </w:tblPrEx>
        <w:tc>
          <w:tcPr>
            <w:tcW w:w="8847" w:type="dxa"/>
            <w:gridSpan w:val="9"/>
            <w:vAlign w:val="center"/>
          </w:tcPr>
          <w:p w14:paraId="425ED493">
            <w:pPr>
              <w:jc w:val="center"/>
            </w:pPr>
            <w:r>
              <w:rPr>
                <w:rFonts w:ascii="宋体" w:hAnsi="宋体" w:eastAsia="宋体"/>
                <w:sz w:val="24"/>
              </w:rPr>
              <w:t>单位整体支出绩效自评表</w:t>
            </w:r>
          </w:p>
        </w:tc>
      </w:tr>
      <w:tr w14:paraId="54BBCC09">
        <w:tblPrEx>
          <w:tblCellMar>
            <w:top w:w="0" w:type="dxa"/>
            <w:left w:w="108" w:type="dxa"/>
            <w:bottom w:w="0" w:type="dxa"/>
            <w:right w:w="108" w:type="dxa"/>
          </w:tblCellMar>
        </w:tblPrEx>
        <w:tc>
          <w:tcPr>
            <w:tcW w:w="8847" w:type="dxa"/>
            <w:gridSpan w:val="9"/>
            <w:vAlign w:val="center"/>
          </w:tcPr>
          <w:p w14:paraId="70F6FF82">
            <w:pPr>
              <w:jc w:val="center"/>
            </w:pPr>
            <w:r>
              <w:rPr>
                <w:rFonts w:ascii="宋体" w:hAnsi="宋体" w:eastAsia="宋体"/>
                <w:sz w:val="24"/>
              </w:rPr>
              <w:t>（2024年度）</w:t>
            </w:r>
          </w:p>
        </w:tc>
      </w:tr>
      <w:tr w14:paraId="4D50338A">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4BEB5A">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5E8B68D7">
            <w:pPr>
              <w:jc w:val="center"/>
            </w:pPr>
            <w:r>
              <w:rPr>
                <w:rFonts w:ascii="宋体" w:hAnsi="宋体" w:eastAsia="宋体"/>
                <w:sz w:val="16"/>
              </w:rPr>
              <w:t>昌吉回族自治州住房公积金管理中心</w:t>
            </w:r>
          </w:p>
        </w:tc>
      </w:tr>
      <w:tr w14:paraId="6A94C555">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6CE731F">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20E190">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9262F6">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F02D81">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C41537">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0DD967">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1E9794">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7AA184">
            <w:pPr>
              <w:jc w:val="center"/>
            </w:pPr>
            <w:r>
              <w:rPr>
                <w:rFonts w:ascii="宋体" w:hAnsi="宋体" w:eastAsia="宋体"/>
                <w:sz w:val="16"/>
              </w:rPr>
              <w:t>得分</w:t>
            </w:r>
          </w:p>
        </w:tc>
      </w:tr>
      <w:tr w14:paraId="629D2F3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A78939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7738FD">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F31BAE">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593EA4">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F50A8D">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33FE7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C559F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8E6EAC">
            <w:pPr>
              <w:jc w:val="center"/>
            </w:pPr>
            <w:r>
              <w:rPr>
                <w:rFonts w:ascii="宋体" w:hAnsi="宋体" w:eastAsia="宋体"/>
                <w:sz w:val="16"/>
              </w:rPr>
              <w:t>-</w:t>
            </w:r>
          </w:p>
        </w:tc>
      </w:tr>
      <w:tr w14:paraId="6987C3A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BB819E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CB3DBD">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1121CF">
            <w:pPr>
              <w:jc w:val="center"/>
            </w:pPr>
            <w:r>
              <w:rPr>
                <w:rFonts w:ascii="宋体" w:hAnsi="宋体" w:eastAsia="宋体"/>
                <w:sz w:val="16"/>
              </w:rPr>
              <w:t>3,459.79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66B1B6">
            <w:pPr>
              <w:jc w:val="center"/>
            </w:pPr>
            <w:r>
              <w:rPr>
                <w:rFonts w:ascii="宋体" w:hAnsi="宋体" w:eastAsia="宋体"/>
                <w:sz w:val="16"/>
              </w:rPr>
              <w:t>3,308.35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4B5932">
            <w:pPr>
              <w:jc w:val="center"/>
            </w:pPr>
            <w:r>
              <w:rPr>
                <w:rFonts w:ascii="宋体" w:hAnsi="宋体" w:eastAsia="宋体"/>
                <w:sz w:val="16"/>
              </w:rPr>
              <w:t>3,308.35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F35DF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2521F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8E12A0">
            <w:pPr>
              <w:jc w:val="center"/>
            </w:pPr>
            <w:r>
              <w:rPr>
                <w:rFonts w:ascii="宋体" w:hAnsi="宋体" w:eastAsia="宋体"/>
                <w:sz w:val="16"/>
              </w:rPr>
              <w:t>-</w:t>
            </w:r>
          </w:p>
        </w:tc>
      </w:tr>
      <w:tr w14:paraId="75AFAE2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9045A6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E74C2E">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65EB47">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25F73D">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C4A650">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E5DA7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7928D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8F600C">
            <w:pPr>
              <w:jc w:val="center"/>
            </w:pPr>
            <w:r>
              <w:rPr>
                <w:rFonts w:ascii="宋体" w:hAnsi="宋体" w:eastAsia="宋体"/>
                <w:sz w:val="16"/>
              </w:rPr>
              <w:t>-</w:t>
            </w:r>
          </w:p>
        </w:tc>
      </w:tr>
      <w:tr w14:paraId="12CF495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CFFBDA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B67C1E">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84214F">
            <w:pPr>
              <w:jc w:val="center"/>
            </w:pPr>
            <w:r>
              <w:rPr>
                <w:rFonts w:ascii="宋体" w:hAnsi="宋体" w:eastAsia="宋体"/>
                <w:sz w:val="16"/>
              </w:rPr>
              <w:t>3,459.79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B61B7D">
            <w:pPr>
              <w:jc w:val="center"/>
            </w:pPr>
            <w:r>
              <w:rPr>
                <w:rFonts w:ascii="宋体" w:hAnsi="宋体" w:eastAsia="宋体"/>
                <w:sz w:val="16"/>
              </w:rPr>
              <w:t>3,308.35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716DE1">
            <w:pPr>
              <w:jc w:val="center"/>
            </w:pPr>
            <w:r>
              <w:rPr>
                <w:rFonts w:ascii="宋体" w:hAnsi="宋体" w:eastAsia="宋体"/>
                <w:sz w:val="16"/>
              </w:rPr>
              <w:t>3,308.35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C0C78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C15089">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3375EE">
            <w:pPr>
              <w:jc w:val="center"/>
            </w:pPr>
            <w:r>
              <w:rPr>
                <w:rFonts w:ascii="宋体" w:hAnsi="宋体" w:eastAsia="宋体"/>
                <w:sz w:val="16"/>
              </w:rPr>
              <w:t>10</w:t>
            </w:r>
          </w:p>
        </w:tc>
      </w:tr>
      <w:tr w14:paraId="2BF277ED">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152C19">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03DB17A">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A1B90DC">
            <w:pPr>
              <w:jc w:val="center"/>
            </w:pPr>
            <w:r>
              <w:rPr>
                <w:rFonts w:ascii="宋体" w:hAnsi="宋体" w:eastAsia="宋体"/>
                <w:sz w:val="16"/>
              </w:rPr>
              <w:t>实际完成情况</w:t>
            </w:r>
          </w:p>
        </w:tc>
      </w:tr>
      <w:tr w14:paraId="4C3F095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9596A8F"/>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8D18986">
            <w:pPr>
              <w:jc w:val="both"/>
            </w:pPr>
            <w:r>
              <w:rPr>
                <w:rFonts w:ascii="宋体" w:hAnsi="宋体" w:eastAsia="宋体"/>
                <w:sz w:val="16"/>
              </w:rPr>
              <w:t>2024年中心坚持以习近平新时代中国特色社会主义思想为指导，坚持“住有所居，房住不炒、租购并举”定位，坚持住房公积金的初心，持续深化“放管服”改革，围绕</w:t>
            </w:r>
            <w:r>
              <w:rPr>
                <w:rFonts w:hint="eastAsia" w:ascii="宋体" w:hAnsi="宋体"/>
                <w:sz w:val="16"/>
                <w:lang w:eastAsia="zh-CN"/>
              </w:rPr>
              <w:t>群众急难愁盼</w:t>
            </w:r>
            <w:r>
              <w:rPr>
                <w:rFonts w:ascii="宋体" w:hAnsi="宋体" w:eastAsia="宋体"/>
                <w:sz w:val="16"/>
              </w:rPr>
              <w:t>调整优化住房公积金政策，提升数据质量，推动数字化发展，全面畅通各类在线服务渠道，让缴存单位和职工真正实现随时办、指尖办；持续推进强管理、优服务、防风险、提质效，不断推动各项工作圆满完成。</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FBC13D9">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全年预算数为3308.35万元，全年执行数为3308.35万元，总预算执行率为100%。2024年</w:t>
            </w:r>
            <w:r>
              <w:rPr>
                <w:rFonts w:hint="eastAsia" w:ascii="宋体" w:hAnsi="宋体"/>
                <w:sz w:val="16"/>
                <w:lang w:eastAsia="zh-CN"/>
              </w:rPr>
              <w:t>本单位</w:t>
            </w:r>
            <w:r>
              <w:rPr>
                <w:rFonts w:ascii="宋体" w:hAnsi="宋体" w:eastAsia="宋体"/>
                <w:sz w:val="16"/>
              </w:rPr>
              <w:t>主要完成以下工作：1.坚持以党建引领促发展，夯实公积金事业根基。2.坚持围绕主责主业，各项业务运行安全稳健。3.坚持践行为民惠民宗旨，强化宜居保障支持力。4</w:t>
            </w:r>
            <w:r>
              <w:rPr>
                <w:rFonts w:hint="eastAsia" w:ascii="宋体" w:hAnsi="宋体"/>
                <w:sz w:val="16"/>
                <w:lang w:eastAsia="zh-CN"/>
              </w:rPr>
              <w:t>聚焦</w:t>
            </w:r>
            <w:r>
              <w:rPr>
                <w:rFonts w:ascii="宋体" w:hAnsi="宋体" w:eastAsia="宋体"/>
                <w:sz w:val="16"/>
              </w:rPr>
              <w:t>提升效能，推动优质服务新成效。通过以上工作的实施，归集住房公积金37.37亿元，为8.13万名缴存职工提取住房公积金30.08亿元，累计发放个人住房贷款3469户、12.93亿元，助力我州房地产</w:t>
            </w:r>
            <w:r>
              <w:rPr>
                <w:rFonts w:hint="eastAsia" w:ascii="宋体" w:hAnsi="宋体"/>
                <w:sz w:val="16"/>
                <w:lang w:eastAsia="zh-CN"/>
              </w:rPr>
              <w:t>平稳</w:t>
            </w:r>
            <w:r>
              <w:rPr>
                <w:rFonts w:ascii="宋体" w:hAnsi="宋体" w:eastAsia="宋体"/>
                <w:sz w:val="16"/>
              </w:rPr>
              <w:t>稳健发展。</w:t>
            </w:r>
          </w:p>
        </w:tc>
      </w:tr>
      <w:tr w14:paraId="2470BCD9">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5B7516">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AD8B09">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B8D8BC">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1B8ABC">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8CDE45">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1D5A91">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80058F">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D6BF55">
            <w:pPr>
              <w:jc w:val="center"/>
            </w:pPr>
            <w:r>
              <w:rPr>
                <w:rFonts w:ascii="宋体" w:hAnsi="宋体" w:eastAsia="宋体"/>
                <w:sz w:val="16"/>
              </w:rPr>
              <w:t>得分</w:t>
            </w:r>
          </w:p>
        </w:tc>
      </w:tr>
      <w:tr w14:paraId="5D4AA854">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9A3A76">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E4D57F">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46D942">
            <w:pPr>
              <w:jc w:val="center"/>
            </w:pPr>
            <w:r>
              <w:rPr>
                <w:rFonts w:ascii="宋体" w:hAnsi="宋体" w:eastAsia="宋体"/>
                <w:sz w:val="16"/>
              </w:rPr>
              <w:t>住房公积金归集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DD5D1D">
            <w:pPr>
              <w:jc w:val="center"/>
            </w:pPr>
            <w:r>
              <w:rPr>
                <w:rFonts w:ascii="宋体" w:hAnsi="宋体" w:eastAsia="宋体"/>
                <w:sz w:val="16"/>
              </w:rPr>
              <w:t>&gt;=36.6亿元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FF8215">
            <w:pPr>
              <w:jc w:val="center"/>
            </w:pPr>
            <w:r>
              <w:rPr>
                <w:rFonts w:ascii="宋体" w:hAnsi="宋体" w:eastAsia="宋体"/>
                <w:sz w:val="16"/>
              </w:rPr>
              <w:t>昌吉州住房公积金管理中心2024年重点工作计划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3476CB">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5C6BFC">
            <w:pPr>
              <w:jc w:val="center"/>
            </w:pPr>
            <w:r>
              <w:rPr>
                <w:rFonts w:ascii="宋体" w:hAnsi="宋体" w:eastAsia="宋体"/>
                <w:sz w:val="16"/>
              </w:rPr>
              <w:t>37.37亿元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6B5030">
            <w:pPr>
              <w:jc w:val="center"/>
            </w:pPr>
            <w:r>
              <w:rPr>
                <w:rFonts w:ascii="宋体" w:hAnsi="宋体" w:eastAsia="宋体"/>
                <w:sz w:val="16"/>
              </w:rPr>
              <w:t>20</w:t>
            </w:r>
          </w:p>
        </w:tc>
      </w:tr>
      <w:tr w14:paraId="42D12A6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B2DC46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910C4C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B0C0AF">
            <w:pPr>
              <w:jc w:val="center"/>
            </w:pPr>
            <w:r>
              <w:rPr>
                <w:rFonts w:ascii="宋体" w:hAnsi="宋体" w:eastAsia="宋体"/>
                <w:sz w:val="16"/>
              </w:rPr>
              <w:t>住房公积金贷款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BB179D">
            <w:pPr>
              <w:jc w:val="center"/>
            </w:pPr>
            <w:r>
              <w:rPr>
                <w:rFonts w:ascii="宋体" w:hAnsi="宋体" w:eastAsia="宋体"/>
                <w:sz w:val="16"/>
              </w:rPr>
              <w:t>&lt;=18.27亿元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3C97B7">
            <w:pPr>
              <w:jc w:val="center"/>
            </w:pPr>
            <w:r>
              <w:rPr>
                <w:rFonts w:ascii="宋体" w:hAnsi="宋体" w:eastAsia="宋体"/>
                <w:sz w:val="16"/>
              </w:rPr>
              <w:t>昌吉州住房公积金管理中心2024年重点工作计划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683669">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35A24A">
            <w:pPr>
              <w:jc w:val="center"/>
            </w:pPr>
            <w:r>
              <w:rPr>
                <w:rFonts w:ascii="宋体" w:hAnsi="宋体" w:eastAsia="宋体"/>
                <w:sz w:val="16"/>
              </w:rPr>
              <w:t>12.93亿元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D76890">
            <w:pPr>
              <w:jc w:val="center"/>
            </w:pPr>
            <w:r>
              <w:rPr>
                <w:rFonts w:ascii="宋体" w:hAnsi="宋体" w:eastAsia="宋体"/>
                <w:sz w:val="16"/>
              </w:rPr>
              <w:t>20</w:t>
            </w:r>
          </w:p>
        </w:tc>
      </w:tr>
      <w:tr w14:paraId="73DE139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5D9C16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E5A90A">
            <w:pPr>
              <w:jc w:val="center"/>
            </w:pPr>
            <w:r>
              <w:rPr>
                <w:rFonts w:ascii="宋体" w:hAnsi="宋体" w:eastAsia="宋体"/>
                <w:sz w:val="16"/>
              </w:rPr>
              <w:t>质量指标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858350">
            <w:pPr>
              <w:jc w:val="center"/>
            </w:pPr>
            <w:r>
              <w:rPr>
                <w:rFonts w:ascii="宋体" w:hAnsi="宋体" w:eastAsia="宋体"/>
                <w:sz w:val="16"/>
              </w:rPr>
              <w:t>住房公积金贷款逾期率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AC33E2">
            <w:pPr>
              <w:jc w:val="center"/>
            </w:pPr>
            <w:r>
              <w:rPr>
                <w:rFonts w:ascii="宋体" w:hAnsi="宋体" w:eastAsia="宋体"/>
                <w:sz w:val="16"/>
              </w:rPr>
              <w:t>&lt;=1.5‰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3D18FF">
            <w:pPr>
              <w:jc w:val="center"/>
            </w:pPr>
            <w:r>
              <w:rPr>
                <w:rFonts w:ascii="宋体" w:hAnsi="宋体" w:eastAsia="宋体"/>
                <w:sz w:val="16"/>
              </w:rPr>
              <w:t>建金管</w:t>
            </w:r>
            <w:r>
              <w:rPr>
                <w:rFonts w:hint="eastAsia" w:ascii="宋体" w:hAnsi="宋体"/>
                <w:sz w:val="16"/>
                <w:lang w:eastAsia="zh-CN"/>
              </w:rPr>
              <w:t>〔2005〕123号</w:t>
            </w:r>
            <w:r>
              <w:rPr>
                <w:rFonts w:ascii="宋体" w:hAnsi="宋体" w:eastAsia="宋体"/>
                <w:sz w:val="16"/>
              </w:rPr>
              <w:t>建设部、财政部关于印发《住房公积金管理中心业务管理工作考核办法（试行）的通知》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CFE39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2E1F99">
            <w:pPr>
              <w:jc w:val="center"/>
            </w:pPr>
            <w:r>
              <w:rPr>
                <w:rFonts w:ascii="宋体" w:hAnsi="宋体" w:eastAsia="宋体"/>
                <w:sz w:val="16"/>
              </w:rPr>
              <w:t>0.31‰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44ED48">
            <w:pPr>
              <w:jc w:val="center"/>
            </w:pPr>
            <w:r>
              <w:rPr>
                <w:rFonts w:ascii="宋体" w:hAnsi="宋体" w:eastAsia="宋体"/>
                <w:sz w:val="16"/>
              </w:rPr>
              <w:t>10</w:t>
            </w:r>
          </w:p>
        </w:tc>
      </w:tr>
      <w:tr w14:paraId="0C29F554">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20FCE7">
            <w:pPr>
              <w:jc w:val="center"/>
            </w:pPr>
            <w:r>
              <w:rPr>
                <w:rFonts w:ascii="宋体" w:hAnsi="宋体" w:eastAsia="宋体"/>
                <w:sz w:val="16"/>
              </w:rPr>
              <w:t>社会效益</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891D42">
            <w:pPr>
              <w:jc w:val="center"/>
            </w:pPr>
            <w:r>
              <w:rPr>
                <w:rFonts w:ascii="宋体" w:hAnsi="宋体" w:eastAsia="宋体"/>
                <w:sz w:val="16"/>
              </w:rPr>
              <w:t>社会效益指标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2674CB">
            <w:pPr>
              <w:jc w:val="center"/>
            </w:pPr>
            <w:r>
              <w:rPr>
                <w:rFonts w:ascii="宋体" w:hAnsi="宋体" w:eastAsia="宋体"/>
                <w:sz w:val="16"/>
              </w:rPr>
              <w:t>住房公积金增值收益</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F4ED2D">
            <w:pPr>
              <w:jc w:val="center"/>
            </w:pPr>
            <w:r>
              <w:rPr>
                <w:rFonts w:ascii="宋体" w:hAnsi="宋体" w:eastAsia="宋体"/>
                <w:sz w:val="16"/>
              </w:rPr>
              <w:t>&gt;=1.65亿元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9CA947">
            <w:pPr>
              <w:jc w:val="center"/>
            </w:pPr>
            <w:r>
              <w:rPr>
                <w:rFonts w:ascii="宋体" w:hAnsi="宋体" w:eastAsia="宋体"/>
                <w:sz w:val="16"/>
              </w:rPr>
              <w:t>昌吉州住房公积金管理中心2023年度增值收益分配和管理费用财务决算及2024年度增值收益预算情况和管理费用财务预算的报告</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241CA8">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7AEB25">
            <w:pPr>
              <w:jc w:val="center"/>
            </w:pPr>
            <w:r>
              <w:rPr>
                <w:rFonts w:ascii="宋体" w:hAnsi="宋体" w:eastAsia="宋体"/>
                <w:sz w:val="16"/>
              </w:rPr>
              <w:t>2.06亿元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56DEE0">
            <w:pPr>
              <w:jc w:val="center"/>
            </w:pPr>
            <w:r>
              <w:rPr>
                <w:rFonts w:ascii="宋体" w:hAnsi="宋体" w:eastAsia="宋体"/>
                <w:sz w:val="16"/>
              </w:rPr>
              <w:t>20</w:t>
            </w:r>
          </w:p>
        </w:tc>
      </w:tr>
      <w:tr w14:paraId="022C99A0">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A68A40">
            <w:pPr>
              <w:jc w:val="center"/>
            </w:pPr>
            <w:r>
              <w:rPr>
                <w:rFonts w:ascii="宋体" w:hAnsi="宋体" w:eastAsia="宋体"/>
                <w:sz w:val="16"/>
              </w:rPr>
              <w:t>服务对象满意度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CFD575">
            <w:pPr>
              <w:jc w:val="center"/>
            </w:pPr>
            <w:r>
              <w:rPr>
                <w:rFonts w:ascii="宋体" w:hAnsi="宋体" w:eastAsia="宋体"/>
                <w:sz w:val="16"/>
              </w:rPr>
              <w:t>满意度指标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7F9DF8">
            <w:pPr>
              <w:jc w:val="center"/>
            </w:pPr>
            <w:r>
              <w:rPr>
                <w:rFonts w:ascii="宋体" w:hAnsi="宋体" w:eastAsia="宋体"/>
                <w:sz w:val="16"/>
              </w:rPr>
              <w:t>缴存职工满意度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279FF6">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509859">
            <w:pPr>
              <w:jc w:val="center"/>
            </w:pPr>
            <w:r>
              <w:rPr>
                <w:rFonts w:ascii="宋体" w:hAnsi="宋体" w:eastAsia="宋体"/>
                <w:sz w:val="16"/>
              </w:rPr>
              <w:t>建金</w:t>
            </w:r>
            <w:r>
              <w:rPr>
                <w:rFonts w:hint="eastAsia" w:ascii="宋体" w:hAnsi="宋体"/>
                <w:sz w:val="16"/>
                <w:lang w:eastAsia="zh-CN"/>
              </w:rPr>
              <w:t>〔2016〕14号</w:t>
            </w:r>
            <w:r>
              <w:rPr>
                <w:rFonts w:ascii="宋体" w:hAnsi="宋体" w:eastAsia="宋体"/>
                <w:sz w:val="16"/>
              </w:rPr>
              <w:t>《住房和城乡建设部关于</w:t>
            </w:r>
            <w:r>
              <w:rPr>
                <w:rFonts w:hint="eastAsia" w:ascii="宋体" w:hAnsi="宋体"/>
                <w:sz w:val="16"/>
                <w:lang w:eastAsia="zh-CN"/>
              </w:rPr>
              <w:t>印发</w:t>
            </w:r>
            <w:r>
              <w:rPr>
                <w:rFonts w:ascii="宋体" w:hAnsi="宋体" w:eastAsia="宋体"/>
                <w:sz w:val="16"/>
              </w:rPr>
              <w:t>加快房公积金综合服务平台的通知》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2BAB20">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C06857">
            <w:pPr>
              <w:jc w:val="center"/>
            </w:pPr>
            <w:r>
              <w:rPr>
                <w:rFonts w:ascii="宋体" w:hAnsi="宋体" w:eastAsia="宋体"/>
                <w:sz w:val="16"/>
              </w:rPr>
              <w:t>99.99%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D6A6A5">
            <w:pPr>
              <w:jc w:val="center"/>
            </w:pPr>
            <w:r>
              <w:rPr>
                <w:rFonts w:ascii="宋体" w:hAnsi="宋体" w:eastAsia="宋体"/>
                <w:sz w:val="16"/>
              </w:rPr>
              <w:t>20</w:t>
            </w:r>
          </w:p>
        </w:tc>
      </w:tr>
    </w:tbl>
    <w:p w14:paraId="3F130058">
      <w:r>
        <w:br w:type="page"/>
      </w:r>
    </w:p>
    <w:tbl>
      <w:tblPr>
        <w:tblStyle w:val="9"/>
        <w:tblW w:w="9090" w:type="dxa"/>
        <w:tblInd w:w="0" w:type="dxa"/>
        <w:tblLayout w:type="fixed"/>
        <w:tblCellMar>
          <w:top w:w="0" w:type="dxa"/>
          <w:left w:w="108" w:type="dxa"/>
          <w:bottom w:w="0" w:type="dxa"/>
          <w:right w:w="108" w:type="dxa"/>
        </w:tblCellMar>
      </w:tblPr>
      <w:tblGrid>
        <w:gridCol w:w="622"/>
        <w:gridCol w:w="400"/>
        <w:gridCol w:w="625"/>
        <w:gridCol w:w="628"/>
        <w:gridCol w:w="387"/>
        <w:gridCol w:w="560"/>
        <w:gridCol w:w="641"/>
        <w:gridCol w:w="91"/>
        <w:gridCol w:w="674"/>
        <w:gridCol w:w="474"/>
        <w:gridCol w:w="598"/>
        <w:gridCol w:w="562"/>
        <w:gridCol w:w="573"/>
        <w:gridCol w:w="206"/>
        <w:gridCol w:w="474"/>
        <w:gridCol w:w="1545"/>
        <w:gridCol w:w="30"/>
      </w:tblGrid>
      <w:tr w14:paraId="161CA412">
        <w:tblPrEx>
          <w:tblCellMar>
            <w:top w:w="0" w:type="dxa"/>
            <w:left w:w="108" w:type="dxa"/>
            <w:bottom w:w="0" w:type="dxa"/>
            <w:right w:w="108" w:type="dxa"/>
          </w:tblCellMar>
        </w:tblPrEx>
        <w:trPr>
          <w:gridAfter w:val="1"/>
          <w:wAfter w:w="30" w:type="dxa"/>
        </w:trPr>
        <w:tc>
          <w:tcPr>
            <w:tcW w:w="9060" w:type="dxa"/>
            <w:gridSpan w:val="16"/>
            <w:vAlign w:val="center"/>
          </w:tcPr>
          <w:p w14:paraId="26EE5298">
            <w:pPr>
              <w:jc w:val="center"/>
            </w:pPr>
            <w:r>
              <w:rPr>
                <w:rFonts w:ascii="宋体" w:hAnsi="宋体" w:eastAsia="宋体"/>
                <w:sz w:val="24"/>
              </w:rPr>
              <w:t>项目支出绩效自评表</w:t>
            </w:r>
          </w:p>
        </w:tc>
      </w:tr>
      <w:tr w14:paraId="2245F4A3">
        <w:tblPrEx>
          <w:tblCellMar>
            <w:top w:w="0" w:type="dxa"/>
            <w:left w:w="108" w:type="dxa"/>
            <w:bottom w:w="0" w:type="dxa"/>
            <w:right w:w="108" w:type="dxa"/>
          </w:tblCellMar>
        </w:tblPrEx>
        <w:trPr>
          <w:gridAfter w:val="1"/>
          <w:wAfter w:w="30" w:type="dxa"/>
        </w:trPr>
        <w:tc>
          <w:tcPr>
            <w:tcW w:w="9060" w:type="dxa"/>
            <w:gridSpan w:val="16"/>
            <w:tcBorders>
              <w:top w:val="single" w:color="auto" w:sz="10" w:space="0"/>
              <w:left w:val="single" w:color="auto" w:sz="10" w:space="0"/>
              <w:bottom w:val="single" w:color="auto" w:sz="10" w:space="0"/>
              <w:right w:val="single" w:color="auto" w:sz="10" w:space="0"/>
              <w:insideV w:val="single" w:sz="10" w:space="0"/>
            </w:tcBorders>
            <w:vAlign w:val="center"/>
          </w:tcPr>
          <w:p w14:paraId="7A840357">
            <w:pPr>
              <w:jc w:val="center"/>
            </w:pPr>
            <w:r>
              <w:rPr>
                <w:rFonts w:ascii="宋体" w:hAnsi="宋体" w:eastAsia="宋体"/>
                <w:sz w:val="24"/>
              </w:rPr>
              <w:t>(2024年度)</w:t>
            </w:r>
          </w:p>
        </w:tc>
      </w:tr>
      <w:tr w14:paraId="7C999ED1">
        <w:tblPrEx>
          <w:tblCellMar>
            <w:top w:w="0" w:type="dxa"/>
            <w:left w:w="108" w:type="dxa"/>
            <w:bottom w:w="0" w:type="dxa"/>
            <w:right w:w="108" w:type="dxa"/>
          </w:tblCellMar>
        </w:tblPrEx>
        <w:trPr>
          <w:gridAfter w:val="1"/>
          <w:wAfter w:w="30" w:type="dxa"/>
        </w:trPr>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456A10CF">
            <w:pPr>
              <w:jc w:val="center"/>
            </w:pPr>
            <w:r>
              <w:rPr>
                <w:rFonts w:ascii="宋体" w:hAnsi="宋体" w:eastAsia="宋体"/>
                <w:sz w:val="16"/>
              </w:rPr>
              <w:t>项目名称</w:t>
            </w:r>
          </w:p>
        </w:tc>
        <w:tc>
          <w:tcPr>
            <w:tcW w:w="8438" w:type="dxa"/>
            <w:gridSpan w:val="15"/>
            <w:tcBorders>
              <w:top w:val="single" w:color="auto" w:sz="10" w:space="0"/>
              <w:left w:val="single" w:color="auto" w:sz="10" w:space="0"/>
              <w:bottom w:val="single" w:color="auto" w:sz="10" w:space="0"/>
              <w:right w:val="single" w:color="auto" w:sz="10" w:space="0"/>
              <w:insideV w:val="single" w:sz="10" w:space="0"/>
            </w:tcBorders>
            <w:vAlign w:val="center"/>
          </w:tcPr>
          <w:p w14:paraId="3405E4A5">
            <w:pPr>
              <w:jc w:val="center"/>
            </w:pPr>
            <w:r>
              <w:rPr>
                <w:rFonts w:ascii="宋体" w:hAnsi="宋体" w:eastAsia="宋体"/>
                <w:sz w:val="16"/>
              </w:rPr>
              <w:t>住房公积金管理服务</w:t>
            </w:r>
          </w:p>
        </w:tc>
      </w:tr>
      <w:tr w14:paraId="79C94B8B">
        <w:tblPrEx>
          <w:tblCellMar>
            <w:top w:w="0" w:type="dxa"/>
            <w:left w:w="108" w:type="dxa"/>
            <w:bottom w:w="0" w:type="dxa"/>
            <w:right w:w="108" w:type="dxa"/>
          </w:tblCellMar>
        </w:tblPrEx>
        <w:trPr>
          <w:gridAfter w:val="1"/>
          <w:wAfter w:w="30" w:type="dxa"/>
        </w:trPr>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1930811E">
            <w:pPr>
              <w:jc w:val="center"/>
            </w:pPr>
            <w:r>
              <w:rPr>
                <w:rFonts w:ascii="宋体" w:hAnsi="宋体" w:eastAsia="宋体"/>
                <w:sz w:val="16"/>
              </w:rPr>
              <w:t>主管部门</w:t>
            </w:r>
          </w:p>
        </w:tc>
        <w:tc>
          <w:tcPr>
            <w:tcW w:w="3241"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7127C39">
            <w:pPr>
              <w:jc w:val="center"/>
            </w:pPr>
            <w:r>
              <w:rPr>
                <w:rFonts w:ascii="宋体" w:hAnsi="宋体" w:eastAsia="宋体"/>
                <w:sz w:val="16"/>
              </w:rPr>
              <w:t>昌吉回族自治州住房公积金管理中心</w:t>
            </w:r>
          </w:p>
        </w:tc>
        <w:tc>
          <w:tcPr>
            <w:tcW w:w="123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B3B3332">
            <w:pPr>
              <w:jc w:val="center"/>
            </w:pPr>
            <w:r>
              <w:rPr>
                <w:rFonts w:ascii="宋体" w:hAnsi="宋体" w:eastAsia="宋体"/>
                <w:sz w:val="16"/>
              </w:rPr>
              <w:t>实施单位</w:t>
            </w:r>
          </w:p>
        </w:tc>
        <w:tc>
          <w:tcPr>
            <w:tcW w:w="3958"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2FA23A8">
            <w:pPr>
              <w:jc w:val="center"/>
            </w:pPr>
            <w:r>
              <w:rPr>
                <w:rFonts w:ascii="宋体" w:hAnsi="宋体" w:eastAsia="宋体"/>
                <w:sz w:val="16"/>
              </w:rPr>
              <w:t>昌吉回族自治州住房公积金管理中心本级</w:t>
            </w:r>
          </w:p>
        </w:tc>
      </w:tr>
      <w:tr w14:paraId="5866684E">
        <w:tblPrEx>
          <w:tblCellMar>
            <w:top w:w="0" w:type="dxa"/>
            <w:left w:w="108" w:type="dxa"/>
            <w:bottom w:w="0" w:type="dxa"/>
            <w:right w:w="108" w:type="dxa"/>
          </w:tblCellMar>
        </w:tblPrEx>
        <w:trPr>
          <w:gridAfter w:val="1"/>
          <w:wAfter w:w="30" w:type="dxa"/>
        </w:trPr>
        <w:tc>
          <w:tcPr>
            <w:tcW w:w="62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0F0E05">
            <w:pPr>
              <w:jc w:val="center"/>
            </w:pPr>
            <w:r>
              <w:rPr>
                <w:rFonts w:ascii="宋体" w:hAnsi="宋体" w:eastAsia="宋体"/>
                <w:sz w:val="16"/>
              </w:rPr>
              <w:t>项目资金（万元）</w:t>
            </w:r>
          </w:p>
        </w:tc>
        <w:tc>
          <w:tcPr>
            <w:tcW w:w="102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068AC0">
            <w:pPr>
              <w:jc w:val="center"/>
            </w:pPr>
          </w:p>
        </w:tc>
        <w:tc>
          <w:tcPr>
            <w:tcW w:w="101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DBDA35">
            <w:pPr>
              <w:jc w:val="center"/>
            </w:pPr>
            <w:r>
              <w:rPr>
                <w:rFonts w:ascii="宋体" w:hAnsi="宋体" w:eastAsia="宋体"/>
                <w:sz w:val="16"/>
              </w:rPr>
              <w:t>年初预算数</w:t>
            </w:r>
          </w:p>
        </w:tc>
        <w:tc>
          <w:tcPr>
            <w:tcW w:w="120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86E65F">
            <w:pPr>
              <w:jc w:val="center"/>
            </w:pPr>
            <w:r>
              <w:rPr>
                <w:rFonts w:ascii="宋体" w:hAnsi="宋体" w:eastAsia="宋体"/>
                <w:sz w:val="16"/>
              </w:rPr>
              <w:t>全年预算数</w:t>
            </w:r>
          </w:p>
        </w:tc>
        <w:tc>
          <w:tcPr>
            <w:tcW w:w="123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AAA84E6">
            <w:pPr>
              <w:jc w:val="center"/>
            </w:pPr>
            <w:r>
              <w:rPr>
                <w:rFonts w:ascii="宋体" w:hAnsi="宋体" w:eastAsia="宋体"/>
                <w:sz w:val="16"/>
              </w:rPr>
              <w:t>全年执行数</w:t>
            </w:r>
          </w:p>
        </w:tc>
        <w:tc>
          <w:tcPr>
            <w:tcW w:w="116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923A16">
            <w:pPr>
              <w:jc w:val="center"/>
            </w:pPr>
            <w:r>
              <w:rPr>
                <w:rFonts w:ascii="宋体" w:hAnsi="宋体" w:eastAsia="宋体"/>
                <w:sz w:val="16"/>
              </w:rPr>
              <w:t>分值</w:t>
            </w:r>
          </w:p>
        </w:tc>
        <w:tc>
          <w:tcPr>
            <w:tcW w:w="77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2F56E5">
            <w:pPr>
              <w:jc w:val="center"/>
            </w:pPr>
            <w:r>
              <w:rPr>
                <w:rFonts w:ascii="宋体" w:hAnsi="宋体" w:eastAsia="宋体"/>
                <w:sz w:val="16"/>
              </w:rPr>
              <w:t>执行率</w:t>
            </w:r>
          </w:p>
        </w:tc>
        <w:tc>
          <w:tcPr>
            <w:tcW w:w="201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65F1CA">
            <w:pPr>
              <w:jc w:val="center"/>
            </w:pPr>
            <w:r>
              <w:rPr>
                <w:rFonts w:ascii="宋体" w:hAnsi="宋体" w:eastAsia="宋体"/>
                <w:sz w:val="16"/>
              </w:rPr>
              <w:t>得分</w:t>
            </w:r>
          </w:p>
        </w:tc>
      </w:tr>
      <w:tr w14:paraId="6861C031">
        <w:tblPrEx>
          <w:tblCellMar>
            <w:top w:w="0" w:type="dxa"/>
            <w:left w:w="108" w:type="dxa"/>
            <w:bottom w:w="0" w:type="dxa"/>
            <w:right w:w="108" w:type="dxa"/>
          </w:tblCellMar>
        </w:tblPrEx>
        <w:trPr>
          <w:gridAfter w:val="1"/>
          <w:wAfter w:w="30" w:type="dxa"/>
        </w:trPr>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5B865B7D"/>
        </w:tc>
        <w:tc>
          <w:tcPr>
            <w:tcW w:w="102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978423">
            <w:pPr>
              <w:jc w:val="center"/>
            </w:pPr>
            <w:r>
              <w:rPr>
                <w:rFonts w:ascii="宋体" w:hAnsi="宋体" w:eastAsia="宋体"/>
                <w:sz w:val="16"/>
              </w:rPr>
              <w:t>年度资金总额</w:t>
            </w:r>
          </w:p>
        </w:tc>
        <w:tc>
          <w:tcPr>
            <w:tcW w:w="101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D3C873">
            <w:pPr>
              <w:jc w:val="center"/>
            </w:pPr>
            <w:r>
              <w:rPr>
                <w:rFonts w:ascii="宋体" w:hAnsi="宋体" w:eastAsia="宋体"/>
                <w:sz w:val="16"/>
              </w:rPr>
              <w:t>612.00</w:t>
            </w:r>
          </w:p>
        </w:tc>
        <w:tc>
          <w:tcPr>
            <w:tcW w:w="120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A29240">
            <w:pPr>
              <w:jc w:val="center"/>
            </w:pPr>
            <w:r>
              <w:rPr>
                <w:rFonts w:ascii="宋体" w:hAnsi="宋体" w:eastAsia="宋体"/>
                <w:sz w:val="16"/>
              </w:rPr>
              <w:t>534.78</w:t>
            </w:r>
          </w:p>
        </w:tc>
        <w:tc>
          <w:tcPr>
            <w:tcW w:w="123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1B41602">
            <w:pPr>
              <w:jc w:val="center"/>
            </w:pPr>
            <w:r>
              <w:rPr>
                <w:rFonts w:ascii="宋体" w:hAnsi="宋体" w:eastAsia="宋体"/>
                <w:sz w:val="16"/>
              </w:rPr>
              <w:t>486.91</w:t>
            </w:r>
          </w:p>
        </w:tc>
        <w:tc>
          <w:tcPr>
            <w:tcW w:w="116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55FFC0">
            <w:pPr>
              <w:jc w:val="center"/>
            </w:pPr>
            <w:r>
              <w:rPr>
                <w:rFonts w:ascii="宋体" w:hAnsi="宋体" w:eastAsia="宋体"/>
                <w:sz w:val="16"/>
              </w:rPr>
              <w:t>10</w:t>
            </w:r>
          </w:p>
        </w:tc>
        <w:tc>
          <w:tcPr>
            <w:tcW w:w="77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D4E85F">
            <w:pPr>
              <w:jc w:val="center"/>
            </w:pPr>
            <w:r>
              <w:rPr>
                <w:rFonts w:ascii="宋体" w:hAnsi="宋体" w:eastAsia="宋体"/>
                <w:sz w:val="16"/>
              </w:rPr>
              <w:t>91.05%</w:t>
            </w:r>
          </w:p>
        </w:tc>
        <w:tc>
          <w:tcPr>
            <w:tcW w:w="201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7B6DA1">
            <w:pPr>
              <w:jc w:val="center"/>
            </w:pPr>
            <w:r>
              <w:rPr>
                <w:rFonts w:ascii="宋体" w:hAnsi="宋体" w:eastAsia="宋体"/>
                <w:sz w:val="16"/>
              </w:rPr>
              <w:t>7.76</w:t>
            </w:r>
          </w:p>
        </w:tc>
      </w:tr>
      <w:tr w14:paraId="4DB38C75">
        <w:tblPrEx>
          <w:tblCellMar>
            <w:top w:w="0" w:type="dxa"/>
            <w:left w:w="108" w:type="dxa"/>
            <w:bottom w:w="0" w:type="dxa"/>
            <w:right w:w="108" w:type="dxa"/>
          </w:tblCellMar>
        </w:tblPrEx>
        <w:trPr>
          <w:gridAfter w:val="1"/>
          <w:wAfter w:w="30" w:type="dxa"/>
        </w:trPr>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1753E164"/>
        </w:tc>
        <w:tc>
          <w:tcPr>
            <w:tcW w:w="102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CD9E14">
            <w:pPr>
              <w:jc w:val="center"/>
            </w:pPr>
            <w:r>
              <w:rPr>
                <w:rFonts w:ascii="宋体" w:hAnsi="宋体" w:eastAsia="宋体"/>
                <w:sz w:val="16"/>
              </w:rPr>
              <w:t>其中：当年财政拨款</w:t>
            </w:r>
          </w:p>
        </w:tc>
        <w:tc>
          <w:tcPr>
            <w:tcW w:w="101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200EB2">
            <w:pPr>
              <w:jc w:val="center"/>
            </w:pPr>
            <w:r>
              <w:rPr>
                <w:rFonts w:ascii="宋体" w:hAnsi="宋体" w:eastAsia="宋体"/>
                <w:sz w:val="16"/>
              </w:rPr>
              <w:t>612.00</w:t>
            </w:r>
          </w:p>
        </w:tc>
        <w:tc>
          <w:tcPr>
            <w:tcW w:w="120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7C95FA">
            <w:pPr>
              <w:jc w:val="center"/>
            </w:pPr>
            <w:r>
              <w:rPr>
                <w:rFonts w:ascii="宋体" w:hAnsi="宋体" w:eastAsia="宋体"/>
                <w:sz w:val="16"/>
              </w:rPr>
              <w:t>534.78</w:t>
            </w:r>
          </w:p>
        </w:tc>
        <w:tc>
          <w:tcPr>
            <w:tcW w:w="123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F00CE05">
            <w:pPr>
              <w:jc w:val="center"/>
            </w:pPr>
            <w:r>
              <w:rPr>
                <w:rFonts w:ascii="宋体" w:hAnsi="宋体" w:eastAsia="宋体"/>
                <w:sz w:val="16"/>
              </w:rPr>
              <w:t>486.91</w:t>
            </w:r>
          </w:p>
        </w:tc>
        <w:tc>
          <w:tcPr>
            <w:tcW w:w="116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7839F2">
            <w:pPr>
              <w:jc w:val="center"/>
            </w:pPr>
            <w:r>
              <w:rPr>
                <w:rFonts w:ascii="宋体" w:hAnsi="宋体" w:eastAsia="宋体"/>
                <w:sz w:val="16"/>
              </w:rPr>
              <w:t>—</w:t>
            </w:r>
          </w:p>
        </w:tc>
        <w:tc>
          <w:tcPr>
            <w:tcW w:w="77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19E8ED">
            <w:pPr>
              <w:jc w:val="center"/>
            </w:pPr>
            <w:r>
              <w:rPr>
                <w:rFonts w:ascii="宋体" w:hAnsi="宋体" w:eastAsia="宋体"/>
                <w:sz w:val="16"/>
              </w:rPr>
              <w:t>—</w:t>
            </w:r>
          </w:p>
        </w:tc>
        <w:tc>
          <w:tcPr>
            <w:tcW w:w="201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640AE5">
            <w:pPr>
              <w:jc w:val="center"/>
            </w:pPr>
            <w:r>
              <w:rPr>
                <w:rFonts w:ascii="宋体" w:hAnsi="宋体" w:eastAsia="宋体"/>
                <w:sz w:val="16"/>
              </w:rPr>
              <w:t>—</w:t>
            </w:r>
          </w:p>
        </w:tc>
      </w:tr>
      <w:tr w14:paraId="3B8E0838">
        <w:tblPrEx>
          <w:tblCellMar>
            <w:top w:w="0" w:type="dxa"/>
            <w:left w:w="108" w:type="dxa"/>
            <w:bottom w:w="0" w:type="dxa"/>
            <w:right w:w="108" w:type="dxa"/>
          </w:tblCellMar>
        </w:tblPrEx>
        <w:trPr>
          <w:gridAfter w:val="1"/>
          <w:wAfter w:w="30" w:type="dxa"/>
        </w:trPr>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13350076"/>
        </w:tc>
        <w:tc>
          <w:tcPr>
            <w:tcW w:w="102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DB046C">
            <w:pPr>
              <w:jc w:val="center"/>
            </w:pPr>
            <w:r>
              <w:rPr>
                <w:rFonts w:ascii="宋体" w:hAnsi="宋体" w:eastAsia="宋体"/>
                <w:sz w:val="16"/>
              </w:rPr>
              <w:t xml:space="preserve">  其他资金</w:t>
            </w:r>
          </w:p>
        </w:tc>
        <w:tc>
          <w:tcPr>
            <w:tcW w:w="101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B2D920">
            <w:pPr>
              <w:jc w:val="center"/>
            </w:pPr>
            <w:r>
              <w:rPr>
                <w:rFonts w:ascii="宋体" w:hAnsi="宋体" w:eastAsia="宋体"/>
                <w:sz w:val="16"/>
              </w:rPr>
              <w:t>0.00</w:t>
            </w:r>
          </w:p>
        </w:tc>
        <w:tc>
          <w:tcPr>
            <w:tcW w:w="120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7257DB">
            <w:pPr>
              <w:jc w:val="center"/>
            </w:pPr>
            <w:r>
              <w:rPr>
                <w:rFonts w:ascii="宋体" w:hAnsi="宋体" w:eastAsia="宋体"/>
                <w:sz w:val="16"/>
              </w:rPr>
              <w:t>0.00</w:t>
            </w:r>
          </w:p>
        </w:tc>
        <w:tc>
          <w:tcPr>
            <w:tcW w:w="123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D8A783C">
            <w:pPr>
              <w:jc w:val="center"/>
            </w:pPr>
            <w:r>
              <w:rPr>
                <w:rFonts w:ascii="宋体" w:hAnsi="宋体" w:eastAsia="宋体"/>
                <w:sz w:val="16"/>
              </w:rPr>
              <w:t>0.00</w:t>
            </w:r>
          </w:p>
        </w:tc>
        <w:tc>
          <w:tcPr>
            <w:tcW w:w="116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DB2A46">
            <w:pPr>
              <w:jc w:val="center"/>
            </w:pPr>
            <w:r>
              <w:rPr>
                <w:rFonts w:ascii="宋体" w:hAnsi="宋体" w:eastAsia="宋体"/>
                <w:sz w:val="16"/>
              </w:rPr>
              <w:t>—</w:t>
            </w:r>
          </w:p>
        </w:tc>
        <w:tc>
          <w:tcPr>
            <w:tcW w:w="77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883854">
            <w:pPr>
              <w:jc w:val="center"/>
            </w:pPr>
            <w:r>
              <w:rPr>
                <w:rFonts w:ascii="宋体" w:hAnsi="宋体" w:eastAsia="宋体"/>
                <w:sz w:val="16"/>
              </w:rPr>
              <w:t>—</w:t>
            </w:r>
          </w:p>
        </w:tc>
        <w:tc>
          <w:tcPr>
            <w:tcW w:w="201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31E9FE">
            <w:pPr>
              <w:jc w:val="center"/>
            </w:pPr>
            <w:r>
              <w:rPr>
                <w:rFonts w:ascii="宋体" w:hAnsi="宋体" w:eastAsia="宋体"/>
                <w:sz w:val="16"/>
              </w:rPr>
              <w:t>—</w:t>
            </w:r>
          </w:p>
        </w:tc>
      </w:tr>
      <w:tr w14:paraId="5FB31E5E">
        <w:tblPrEx>
          <w:tblCellMar>
            <w:top w:w="0" w:type="dxa"/>
            <w:left w:w="108" w:type="dxa"/>
            <w:bottom w:w="0" w:type="dxa"/>
            <w:right w:w="108" w:type="dxa"/>
          </w:tblCellMar>
        </w:tblPrEx>
        <w:trPr>
          <w:gridAfter w:val="1"/>
          <w:wAfter w:w="30" w:type="dxa"/>
        </w:trPr>
        <w:tc>
          <w:tcPr>
            <w:tcW w:w="62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299AB4">
            <w:pPr>
              <w:jc w:val="center"/>
            </w:pPr>
            <w:r>
              <w:rPr>
                <w:rFonts w:ascii="宋体" w:hAnsi="宋体" w:eastAsia="宋体"/>
                <w:sz w:val="16"/>
              </w:rPr>
              <w:t>年度总体目标</w:t>
            </w:r>
          </w:p>
        </w:tc>
        <w:tc>
          <w:tcPr>
            <w:tcW w:w="4006"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2DF255E4">
            <w:pPr>
              <w:jc w:val="center"/>
            </w:pPr>
            <w:r>
              <w:rPr>
                <w:rFonts w:ascii="宋体" w:hAnsi="宋体" w:eastAsia="宋体"/>
                <w:sz w:val="16"/>
              </w:rPr>
              <w:t>预期目标</w:t>
            </w:r>
          </w:p>
        </w:tc>
        <w:tc>
          <w:tcPr>
            <w:tcW w:w="443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9F882AA">
            <w:pPr>
              <w:jc w:val="center"/>
            </w:pPr>
            <w:r>
              <w:rPr>
                <w:rFonts w:ascii="宋体" w:hAnsi="宋体" w:eastAsia="宋体"/>
                <w:sz w:val="16"/>
              </w:rPr>
              <w:t>实际完成情况</w:t>
            </w:r>
          </w:p>
        </w:tc>
      </w:tr>
      <w:tr w14:paraId="2EC0906C">
        <w:tblPrEx>
          <w:tblCellMar>
            <w:top w:w="0" w:type="dxa"/>
            <w:left w:w="108" w:type="dxa"/>
            <w:bottom w:w="0" w:type="dxa"/>
            <w:right w:w="108" w:type="dxa"/>
          </w:tblCellMar>
        </w:tblPrEx>
        <w:trPr>
          <w:gridAfter w:val="1"/>
          <w:wAfter w:w="30" w:type="dxa"/>
        </w:trPr>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5A114471"/>
        </w:tc>
        <w:tc>
          <w:tcPr>
            <w:tcW w:w="4006"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7653D08E">
            <w:pPr>
              <w:jc w:val="both"/>
            </w:pPr>
            <w:r>
              <w:rPr>
                <w:rFonts w:ascii="宋体" w:hAnsi="宋体" w:eastAsia="宋体"/>
                <w:sz w:val="16"/>
              </w:rPr>
              <w:t>为维护社会稳定，确保房地产市场健康稳定发展，坚持房子是用来住的。扩大住房公积金的覆盖面，2024年住房公积金项目坚持总目标为统领，提升公积金服务，实现数字化公积金管理，推进住房公积金事业高质量发展。该项目534.78万元，计划用于单位在编人员、聘用人员120人工作正常开展,更好地为广大缴存职工服务，印刷2次，宣传4批次，案件起诉数15个、工会经费及食堂补助12次，办公经费及律师费及时充足，积极落实逾期贷款催收措施，降低逾期率，防范风险，扩大住房公积金的覆盖面，保障职工合法权益实现。</w:t>
            </w:r>
          </w:p>
        </w:tc>
        <w:tc>
          <w:tcPr>
            <w:tcW w:w="443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FE79ED3">
            <w:pPr>
              <w:jc w:val="both"/>
            </w:pPr>
            <w:r>
              <w:rPr>
                <w:rFonts w:hint="eastAsia" w:ascii="宋体" w:hAnsi="宋体"/>
                <w:sz w:val="16"/>
                <w:lang w:eastAsia="zh-CN"/>
              </w:rPr>
              <w:t>截至</w:t>
            </w:r>
            <w:r>
              <w:rPr>
                <w:rFonts w:ascii="宋体" w:hAnsi="宋体" w:eastAsia="宋体"/>
                <w:sz w:val="16"/>
              </w:rPr>
              <w:t>2024年12月31日，该项目实际完成486.91万元，用于单位在编人员、聘用人员121人工作正常开展,完成印刷2次，宣传4批次，案件起诉数15个、工会经费及食堂补助12次，采购物资验收合格率为100%，个人住房公积金贷款逾期率为0.31‰，按时完成增值收益，2024年实现增值收益20612.05万元，服务缴存职工能力达到预期指标，办公经费及律师费及时充足，积极落实逾期贷款催收措施，降低逾期率，防范风险，扩大住房公积金的覆盖面，保障职工合法权益实现；通过该项目的实施，提升了公积金服务能力，实现数字化公积金管理，促进了住房公积金事业高质量发展，降低运行成本，防范风险，扩大了住房公积金的覆盖面，保障职工合法权益实现。</w:t>
            </w:r>
          </w:p>
        </w:tc>
      </w:tr>
      <w:tr w14:paraId="71FE21F3">
        <w:tblPrEx>
          <w:tblCellMar>
            <w:top w:w="0" w:type="dxa"/>
            <w:left w:w="108" w:type="dxa"/>
            <w:bottom w:w="0" w:type="dxa"/>
            <w:right w:w="108" w:type="dxa"/>
          </w:tblCellMar>
        </w:tblPrEx>
        <w:trPr>
          <w:gridAfter w:val="1"/>
          <w:wAfter w:w="30" w:type="dxa"/>
        </w:trPr>
        <w:tc>
          <w:tcPr>
            <w:tcW w:w="622" w:type="dxa"/>
            <w:tcBorders>
              <w:top w:val="single" w:color="auto" w:sz="10" w:space="0"/>
              <w:left w:val="single" w:color="auto" w:sz="10" w:space="0"/>
              <w:bottom w:val="single" w:color="auto" w:sz="10" w:space="0"/>
              <w:right w:val="single" w:color="auto" w:sz="10" w:space="0"/>
              <w:insideV w:val="single" w:sz="10" w:space="0"/>
            </w:tcBorders>
          </w:tcPr>
          <w:p w14:paraId="75AD1BF7"/>
        </w:tc>
        <w:tc>
          <w:tcPr>
            <w:tcW w:w="400" w:type="dxa"/>
            <w:tcBorders>
              <w:top w:val="single" w:color="auto" w:sz="10" w:space="0"/>
              <w:left w:val="single" w:color="auto" w:sz="10" w:space="0"/>
              <w:bottom w:val="single" w:color="auto" w:sz="10" w:space="0"/>
              <w:right w:val="single" w:color="auto" w:sz="10" w:space="0"/>
              <w:insideV w:val="single" w:sz="10" w:space="0"/>
            </w:tcBorders>
            <w:vAlign w:val="center"/>
          </w:tcPr>
          <w:p w14:paraId="64106B8E">
            <w:pPr>
              <w:jc w:val="center"/>
            </w:pPr>
            <w:r>
              <w:rPr>
                <w:rFonts w:ascii="宋体" w:hAnsi="宋体" w:eastAsia="宋体"/>
                <w:sz w:val="16"/>
              </w:rPr>
              <w:t>一级指标</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6F2D284B">
            <w:pPr>
              <w:jc w:val="center"/>
            </w:pPr>
            <w:r>
              <w:rPr>
                <w:rFonts w:ascii="宋体" w:hAnsi="宋体" w:eastAsia="宋体"/>
                <w:sz w:val="16"/>
              </w:rPr>
              <w:t>二级指标</w:t>
            </w:r>
          </w:p>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7469AF6A">
            <w:pPr>
              <w:jc w:val="center"/>
            </w:pPr>
            <w:r>
              <w:rPr>
                <w:rFonts w:ascii="宋体" w:hAnsi="宋体" w:eastAsia="宋体"/>
                <w:sz w:val="16"/>
              </w:rPr>
              <w:t>三级指标</w:t>
            </w:r>
          </w:p>
        </w:tc>
        <w:tc>
          <w:tcPr>
            <w:tcW w:w="387" w:type="dxa"/>
            <w:tcBorders>
              <w:top w:val="single" w:color="auto" w:sz="10" w:space="0"/>
              <w:left w:val="single" w:color="auto" w:sz="10" w:space="0"/>
              <w:bottom w:val="single" w:color="auto" w:sz="10" w:space="0"/>
              <w:right w:val="single" w:color="auto" w:sz="10" w:space="0"/>
              <w:insideV w:val="single" w:sz="10" w:space="0"/>
            </w:tcBorders>
            <w:vAlign w:val="center"/>
          </w:tcPr>
          <w:p w14:paraId="69FC4556">
            <w:pPr>
              <w:jc w:val="center"/>
            </w:pPr>
            <w:r>
              <w:rPr>
                <w:rFonts w:ascii="宋体" w:hAnsi="宋体" w:eastAsia="宋体"/>
                <w:sz w:val="16"/>
              </w:rPr>
              <w:t>权重</w:t>
            </w:r>
          </w:p>
        </w:tc>
        <w:tc>
          <w:tcPr>
            <w:tcW w:w="560" w:type="dxa"/>
            <w:tcBorders>
              <w:top w:val="single" w:color="auto" w:sz="10" w:space="0"/>
              <w:left w:val="single" w:color="auto" w:sz="10" w:space="0"/>
              <w:bottom w:val="single" w:color="auto" w:sz="10" w:space="0"/>
              <w:right w:val="single" w:color="auto" w:sz="10" w:space="0"/>
              <w:insideV w:val="single" w:sz="10" w:space="0"/>
            </w:tcBorders>
            <w:vAlign w:val="center"/>
          </w:tcPr>
          <w:p w14:paraId="70CC89E6">
            <w:pPr>
              <w:jc w:val="center"/>
            </w:pPr>
            <w:r>
              <w:rPr>
                <w:rFonts w:ascii="宋体" w:hAnsi="宋体" w:eastAsia="宋体"/>
                <w:sz w:val="16"/>
              </w:rPr>
              <w:t>目标值</w:t>
            </w:r>
          </w:p>
        </w:tc>
        <w:tc>
          <w:tcPr>
            <w:tcW w:w="7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509644">
            <w:pPr>
              <w:jc w:val="center"/>
            </w:pPr>
            <w:r>
              <w:rPr>
                <w:rFonts w:ascii="宋体" w:hAnsi="宋体" w:eastAsia="宋体"/>
                <w:sz w:val="16"/>
              </w:rPr>
              <w:t>业绩值</w:t>
            </w:r>
          </w:p>
        </w:tc>
        <w:tc>
          <w:tcPr>
            <w:tcW w:w="674" w:type="dxa"/>
            <w:tcBorders>
              <w:top w:val="single" w:color="auto" w:sz="10" w:space="0"/>
              <w:left w:val="single" w:color="auto" w:sz="10" w:space="0"/>
              <w:bottom w:val="single" w:color="auto" w:sz="10" w:space="0"/>
              <w:right w:val="single" w:color="auto" w:sz="10" w:space="0"/>
              <w:insideV w:val="single" w:sz="10" w:space="0"/>
            </w:tcBorders>
            <w:vAlign w:val="center"/>
          </w:tcPr>
          <w:p w14:paraId="7171A654">
            <w:pPr>
              <w:jc w:val="center"/>
            </w:pPr>
            <w:r>
              <w:rPr>
                <w:rFonts w:ascii="宋体" w:hAnsi="宋体" w:eastAsia="宋体"/>
                <w:sz w:val="16"/>
              </w:rPr>
              <w:t>完成率</w:t>
            </w:r>
          </w:p>
        </w:tc>
        <w:tc>
          <w:tcPr>
            <w:tcW w:w="474" w:type="dxa"/>
            <w:tcBorders>
              <w:top w:val="single" w:color="auto" w:sz="10" w:space="0"/>
              <w:left w:val="single" w:color="auto" w:sz="10" w:space="0"/>
              <w:bottom w:val="single" w:color="auto" w:sz="10" w:space="0"/>
              <w:right w:val="single" w:color="auto" w:sz="10" w:space="0"/>
              <w:insideV w:val="single" w:sz="10" w:space="0"/>
            </w:tcBorders>
            <w:vAlign w:val="center"/>
          </w:tcPr>
          <w:p w14:paraId="71402B35">
            <w:pPr>
              <w:jc w:val="center"/>
            </w:pPr>
            <w:r>
              <w:rPr>
                <w:rFonts w:ascii="宋体" w:hAnsi="宋体" w:eastAsia="宋体"/>
                <w:sz w:val="16"/>
              </w:rPr>
              <w:t>指标得分</w:t>
            </w:r>
          </w:p>
        </w:tc>
        <w:tc>
          <w:tcPr>
            <w:tcW w:w="598" w:type="dxa"/>
            <w:tcBorders>
              <w:top w:val="single" w:color="auto" w:sz="10" w:space="0"/>
              <w:left w:val="single" w:color="auto" w:sz="10" w:space="0"/>
              <w:bottom w:val="single" w:color="auto" w:sz="10" w:space="0"/>
              <w:right w:val="single" w:color="auto" w:sz="10" w:space="0"/>
              <w:insideV w:val="single" w:sz="10" w:space="0"/>
            </w:tcBorders>
            <w:vAlign w:val="center"/>
          </w:tcPr>
          <w:p w14:paraId="468A73C2">
            <w:pPr>
              <w:jc w:val="center"/>
            </w:pPr>
            <w:r>
              <w:rPr>
                <w:rFonts w:ascii="宋体" w:hAnsi="宋体" w:eastAsia="宋体"/>
                <w:sz w:val="16"/>
              </w:rPr>
              <w:t>指标值设定依据</w:t>
            </w:r>
          </w:p>
        </w:tc>
        <w:tc>
          <w:tcPr>
            <w:tcW w:w="562" w:type="dxa"/>
            <w:tcBorders>
              <w:top w:val="single" w:color="auto" w:sz="10" w:space="0"/>
              <w:left w:val="single" w:color="auto" w:sz="10" w:space="0"/>
              <w:bottom w:val="single" w:color="auto" w:sz="10" w:space="0"/>
              <w:right w:val="single" w:color="auto" w:sz="10" w:space="0"/>
              <w:insideV w:val="single" w:sz="10" w:space="0"/>
            </w:tcBorders>
            <w:vAlign w:val="center"/>
          </w:tcPr>
          <w:p w14:paraId="3E9BE1CB">
            <w:pPr>
              <w:jc w:val="center"/>
            </w:pPr>
            <w:r>
              <w:rPr>
                <w:rFonts w:ascii="宋体" w:hAnsi="宋体" w:eastAsia="宋体"/>
                <w:sz w:val="16"/>
              </w:rPr>
              <w:t>上年完成情况</w:t>
            </w:r>
          </w:p>
        </w:tc>
        <w:tc>
          <w:tcPr>
            <w:tcW w:w="573" w:type="dxa"/>
            <w:tcBorders>
              <w:top w:val="single" w:color="auto" w:sz="10" w:space="0"/>
              <w:left w:val="single" w:color="auto" w:sz="10" w:space="0"/>
              <w:bottom w:val="single" w:color="auto" w:sz="10" w:space="0"/>
              <w:right w:val="single" w:color="auto" w:sz="10" w:space="0"/>
              <w:insideV w:val="single" w:sz="10" w:space="0"/>
            </w:tcBorders>
            <w:vAlign w:val="center"/>
          </w:tcPr>
          <w:p w14:paraId="73AD7FBB">
            <w:pPr>
              <w:jc w:val="center"/>
            </w:pPr>
            <w:r>
              <w:rPr>
                <w:rFonts w:ascii="宋体" w:hAnsi="宋体" w:eastAsia="宋体"/>
                <w:sz w:val="16"/>
              </w:rPr>
              <w:t>赋分规则</w:t>
            </w:r>
          </w:p>
        </w:tc>
        <w:tc>
          <w:tcPr>
            <w:tcW w:w="68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78FFBF">
            <w:pPr>
              <w:jc w:val="center"/>
            </w:pPr>
            <w:r>
              <w:rPr>
                <w:rFonts w:ascii="宋体" w:hAnsi="宋体" w:eastAsia="宋体"/>
                <w:sz w:val="16"/>
              </w:rPr>
              <w:t>佐证资料</w:t>
            </w:r>
          </w:p>
        </w:tc>
        <w:tc>
          <w:tcPr>
            <w:tcW w:w="1545" w:type="dxa"/>
            <w:tcBorders>
              <w:top w:val="single" w:color="auto" w:sz="10" w:space="0"/>
              <w:left w:val="single" w:color="auto" w:sz="10" w:space="0"/>
              <w:bottom w:val="single" w:color="auto" w:sz="10" w:space="0"/>
              <w:right w:val="single" w:color="auto" w:sz="10" w:space="0"/>
              <w:insideV w:val="single" w:sz="10" w:space="0"/>
            </w:tcBorders>
            <w:vAlign w:val="center"/>
          </w:tcPr>
          <w:p w14:paraId="6988A7C2">
            <w:pPr>
              <w:jc w:val="center"/>
            </w:pPr>
            <w:r>
              <w:rPr>
                <w:rFonts w:ascii="宋体" w:hAnsi="宋体" w:eastAsia="宋体"/>
                <w:sz w:val="16"/>
              </w:rPr>
              <w:t>偏差原因分析及改进措施</w:t>
            </w:r>
          </w:p>
        </w:tc>
      </w:tr>
      <w:tr w14:paraId="4A419678">
        <w:tblPrEx>
          <w:tblCellMar>
            <w:top w:w="0" w:type="dxa"/>
            <w:left w:w="108" w:type="dxa"/>
            <w:bottom w:w="0" w:type="dxa"/>
            <w:right w:w="108" w:type="dxa"/>
          </w:tblCellMar>
        </w:tblPrEx>
        <w:trPr>
          <w:gridAfter w:val="1"/>
          <w:wAfter w:w="30" w:type="dxa"/>
        </w:trPr>
        <w:tc>
          <w:tcPr>
            <w:tcW w:w="62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3783FC">
            <w:pPr>
              <w:jc w:val="center"/>
            </w:pPr>
            <w:r>
              <w:rPr>
                <w:rFonts w:ascii="宋体" w:hAnsi="宋体" w:eastAsia="宋体"/>
                <w:sz w:val="16"/>
              </w:rPr>
              <w:t>年度绩效指标完成情况</w:t>
            </w:r>
          </w:p>
        </w:tc>
        <w:tc>
          <w:tcPr>
            <w:tcW w:w="400"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607A13F">
            <w:pPr>
              <w:jc w:val="center"/>
            </w:pPr>
            <w:r>
              <w:rPr>
                <w:rFonts w:ascii="宋体" w:hAnsi="宋体" w:eastAsia="宋体"/>
                <w:sz w:val="16"/>
              </w:rPr>
              <w:t>产出指标</w:t>
            </w:r>
          </w:p>
        </w:tc>
        <w:tc>
          <w:tcPr>
            <w:tcW w:w="62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955683">
            <w:pPr>
              <w:jc w:val="center"/>
            </w:pPr>
            <w:r>
              <w:rPr>
                <w:rFonts w:ascii="宋体" w:hAnsi="宋体" w:eastAsia="宋体"/>
                <w:sz w:val="16"/>
              </w:rPr>
              <w:t>数量指标</w:t>
            </w:r>
          </w:p>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5D9C2A4B">
            <w:pPr>
              <w:jc w:val="center"/>
            </w:pPr>
            <w:r>
              <w:rPr>
                <w:rFonts w:ascii="宋体" w:hAnsi="宋体" w:eastAsia="宋体"/>
                <w:sz w:val="16"/>
              </w:rPr>
              <w:t>印刷次数</w:t>
            </w:r>
          </w:p>
        </w:tc>
        <w:tc>
          <w:tcPr>
            <w:tcW w:w="387" w:type="dxa"/>
            <w:tcBorders>
              <w:top w:val="single" w:color="auto" w:sz="10" w:space="0"/>
              <w:left w:val="single" w:color="auto" w:sz="10" w:space="0"/>
              <w:bottom w:val="single" w:color="auto" w:sz="10" w:space="0"/>
              <w:right w:val="single" w:color="auto" w:sz="10" w:space="0"/>
              <w:insideV w:val="single" w:sz="10" w:space="0"/>
            </w:tcBorders>
            <w:vAlign w:val="center"/>
          </w:tcPr>
          <w:p w14:paraId="67D6C348">
            <w:pPr>
              <w:jc w:val="center"/>
            </w:pPr>
            <w:r>
              <w:rPr>
                <w:rFonts w:ascii="宋体" w:hAnsi="宋体" w:eastAsia="宋体"/>
                <w:sz w:val="16"/>
              </w:rPr>
              <w:t>5</w:t>
            </w:r>
          </w:p>
        </w:tc>
        <w:tc>
          <w:tcPr>
            <w:tcW w:w="560" w:type="dxa"/>
            <w:tcBorders>
              <w:top w:val="single" w:color="auto" w:sz="10" w:space="0"/>
              <w:left w:val="single" w:color="auto" w:sz="10" w:space="0"/>
              <w:bottom w:val="single" w:color="auto" w:sz="10" w:space="0"/>
              <w:right w:val="single" w:color="auto" w:sz="10" w:space="0"/>
              <w:insideV w:val="single" w:sz="10" w:space="0"/>
            </w:tcBorders>
            <w:vAlign w:val="center"/>
          </w:tcPr>
          <w:p w14:paraId="73D4D38F">
            <w:pPr>
              <w:jc w:val="center"/>
            </w:pPr>
            <w:r>
              <w:rPr>
                <w:rFonts w:ascii="宋体" w:hAnsi="宋体" w:eastAsia="宋体"/>
                <w:sz w:val="16"/>
              </w:rPr>
              <w:t>&gt;=2次</w:t>
            </w:r>
          </w:p>
        </w:tc>
        <w:tc>
          <w:tcPr>
            <w:tcW w:w="7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93B764">
            <w:pPr>
              <w:jc w:val="center"/>
            </w:pPr>
            <w:r>
              <w:rPr>
                <w:rFonts w:ascii="宋体" w:hAnsi="宋体" w:eastAsia="宋体"/>
                <w:sz w:val="16"/>
              </w:rPr>
              <w:t>=2次</w:t>
            </w:r>
          </w:p>
        </w:tc>
        <w:tc>
          <w:tcPr>
            <w:tcW w:w="674" w:type="dxa"/>
            <w:tcBorders>
              <w:top w:val="single" w:color="auto" w:sz="10" w:space="0"/>
              <w:left w:val="single" w:color="auto" w:sz="10" w:space="0"/>
              <w:bottom w:val="single" w:color="auto" w:sz="10" w:space="0"/>
              <w:right w:val="single" w:color="auto" w:sz="10" w:space="0"/>
              <w:insideV w:val="single" w:sz="10" w:space="0"/>
            </w:tcBorders>
            <w:vAlign w:val="center"/>
          </w:tcPr>
          <w:p w14:paraId="39F851BB">
            <w:pPr>
              <w:jc w:val="center"/>
            </w:pPr>
            <w:r>
              <w:rPr>
                <w:rFonts w:ascii="宋体" w:hAnsi="宋体" w:eastAsia="宋体"/>
                <w:sz w:val="16"/>
              </w:rPr>
              <w:t>100%</w:t>
            </w:r>
          </w:p>
        </w:tc>
        <w:tc>
          <w:tcPr>
            <w:tcW w:w="474" w:type="dxa"/>
            <w:tcBorders>
              <w:top w:val="single" w:color="auto" w:sz="10" w:space="0"/>
              <w:left w:val="single" w:color="auto" w:sz="10" w:space="0"/>
              <w:bottom w:val="single" w:color="auto" w:sz="10" w:space="0"/>
              <w:right w:val="single" w:color="auto" w:sz="10" w:space="0"/>
              <w:insideV w:val="single" w:sz="10" w:space="0"/>
            </w:tcBorders>
            <w:vAlign w:val="center"/>
          </w:tcPr>
          <w:p w14:paraId="512BDF16">
            <w:pPr>
              <w:jc w:val="center"/>
            </w:pPr>
            <w:r>
              <w:rPr>
                <w:rFonts w:ascii="宋体" w:hAnsi="宋体" w:eastAsia="宋体"/>
                <w:sz w:val="16"/>
              </w:rPr>
              <w:t>5</w:t>
            </w:r>
          </w:p>
        </w:tc>
        <w:tc>
          <w:tcPr>
            <w:tcW w:w="598" w:type="dxa"/>
            <w:tcBorders>
              <w:top w:val="single" w:color="auto" w:sz="10" w:space="0"/>
              <w:left w:val="single" w:color="auto" w:sz="10" w:space="0"/>
              <w:bottom w:val="single" w:color="auto" w:sz="10" w:space="0"/>
              <w:right w:val="single" w:color="auto" w:sz="10" w:space="0"/>
              <w:insideV w:val="single" w:sz="10" w:space="0"/>
            </w:tcBorders>
            <w:vAlign w:val="center"/>
          </w:tcPr>
          <w:p w14:paraId="535C6BDC">
            <w:pPr>
              <w:jc w:val="center"/>
            </w:pPr>
            <w:r>
              <w:rPr>
                <w:rFonts w:ascii="宋体" w:hAnsi="宋体" w:eastAsia="宋体"/>
                <w:sz w:val="16"/>
              </w:rPr>
              <w:t>计划标准</w:t>
            </w:r>
          </w:p>
        </w:tc>
        <w:tc>
          <w:tcPr>
            <w:tcW w:w="562" w:type="dxa"/>
            <w:tcBorders>
              <w:top w:val="single" w:color="auto" w:sz="10" w:space="0"/>
              <w:left w:val="single" w:color="auto" w:sz="10" w:space="0"/>
              <w:bottom w:val="single" w:color="auto" w:sz="10" w:space="0"/>
              <w:right w:val="single" w:color="auto" w:sz="10" w:space="0"/>
              <w:insideV w:val="single" w:sz="10" w:space="0"/>
            </w:tcBorders>
            <w:vAlign w:val="center"/>
          </w:tcPr>
          <w:p w14:paraId="771E81A3">
            <w:pPr>
              <w:jc w:val="center"/>
            </w:pPr>
            <w:r>
              <w:rPr>
                <w:rFonts w:ascii="宋体" w:hAnsi="宋体" w:eastAsia="宋体"/>
                <w:sz w:val="16"/>
              </w:rPr>
              <w:t>=3次</w:t>
            </w:r>
          </w:p>
        </w:tc>
        <w:tc>
          <w:tcPr>
            <w:tcW w:w="573" w:type="dxa"/>
            <w:tcBorders>
              <w:top w:val="single" w:color="auto" w:sz="10" w:space="0"/>
              <w:left w:val="single" w:color="auto" w:sz="10" w:space="0"/>
              <w:bottom w:val="single" w:color="auto" w:sz="10" w:space="0"/>
              <w:right w:val="single" w:color="auto" w:sz="10" w:space="0"/>
              <w:insideV w:val="single" w:sz="10" w:space="0"/>
            </w:tcBorders>
            <w:vAlign w:val="center"/>
          </w:tcPr>
          <w:p w14:paraId="7749798B">
            <w:pPr>
              <w:jc w:val="center"/>
            </w:pPr>
            <w:r>
              <w:rPr>
                <w:rFonts w:ascii="宋体" w:hAnsi="宋体" w:eastAsia="宋体"/>
                <w:sz w:val="16"/>
              </w:rPr>
              <w:t>按照完成比例赋分</w:t>
            </w:r>
          </w:p>
        </w:tc>
        <w:tc>
          <w:tcPr>
            <w:tcW w:w="68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B72DF9">
            <w:pPr>
              <w:jc w:val="center"/>
            </w:pPr>
            <w:r>
              <w:rPr>
                <w:rFonts w:ascii="宋体" w:hAnsi="宋体" w:eastAsia="宋体"/>
                <w:sz w:val="16"/>
              </w:rPr>
              <w:t>工作资料</w:t>
            </w:r>
          </w:p>
        </w:tc>
        <w:tc>
          <w:tcPr>
            <w:tcW w:w="1545" w:type="dxa"/>
            <w:tcBorders>
              <w:top w:val="single" w:color="auto" w:sz="10" w:space="0"/>
              <w:left w:val="single" w:color="auto" w:sz="10" w:space="0"/>
              <w:bottom w:val="single" w:color="auto" w:sz="10" w:space="0"/>
              <w:right w:val="single" w:color="auto" w:sz="10" w:space="0"/>
              <w:insideV w:val="single" w:sz="10" w:space="0"/>
            </w:tcBorders>
            <w:vAlign w:val="center"/>
          </w:tcPr>
          <w:p w14:paraId="6087CFB7">
            <w:pPr>
              <w:jc w:val="center"/>
            </w:pPr>
          </w:p>
        </w:tc>
      </w:tr>
      <w:tr w14:paraId="78335985">
        <w:tblPrEx>
          <w:tblCellMar>
            <w:top w:w="0" w:type="dxa"/>
            <w:left w:w="108" w:type="dxa"/>
            <w:bottom w:w="0" w:type="dxa"/>
            <w:right w:w="108" w:type="dxa"/>
          </w:tblCellMar>
        </w:tblPrEx>
        <w:trPr>
          <w:gridAfter w:val="1"/>
          <w:wAfter w:w="30" w:type="dxa"/>
        </w:trPr>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6574C7FB"/>
        </w:tc>
        <w:tc>
          <w:tcPr>
            <w:tcW w:w="400" w:type="dxa"/>
            <w:vMerge w:val="continue"/>
            <w:tcBorders>
              <w:top w:val="single" w:color="auto" w:sz="10" w:space="0"/>
              <w:left w:val="single" w:color="auto" w:sz="10" w:space="0"/>
              <w:bottom w:val="single" w:color="auto" w:sz="10" w:space="0"/>
              <w:right w:val="single" w:color="auto" w:sz="10" w:space="0"/>
              <w:insideV w:val="single" w:sz="10" w:space="0"/>
            </w:tcBorders>
          </w:tcPr>
          <w:p w14:paraId="0573EF3D"/>
        </w:tc>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3A2FF42F"/>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6F70AC79">
            <w:pPr>
              <w:jc w:val="center"/>
            </w:pPr>
            <w:r>
              <w:rPr>
                <w:rFonts w:ascii="宋体" w:hAnsi="宋体" w:eastAsia="宋体"/>
                <w:sz w:val="16"/>
              </w:rPr>
              <w:t>宣传批次</w:t>
            </w:r>
          </w:p>
        </w:tc>
        <w:tc>
          <w:tcPr>
            <w:tcW w:w="387" w:type="dxa"/>
            <w:tcBorders>
              <w:top w:val="single" w:color="auto" w:sz="10" w:space="0"/>
              <w:left w:val="single" w:color="auto" w:sz="10" w:space="0"/>
              <w:bottom w:val="single" w:color="auto" w:sz="10" w:space="0"/>
              <w:right w:val="single" w:color="auto" w:sz="10" w:space="0"/>
              <w:insideV w:val="single" w:sz="10" w:space="0"/>
            </w:tcBorders>
            <w:vAlign w:val="center"/>
          </w:tcPr>
          <w:p w14:paraId="4CB5C4D3">
            <w:pPr>
              <w:jc w:val="center"/>
            </w:pPr>
            <w:r>
              <w:rPr>
                <w:rFonts w:ascii="宋体" w:hAnsi="宋体" w:eastAsia="宋体"/>
                <w:sz w:val="16"/>
              </w:rPr>
              <w:t>5</w:t>
            </w:r>
          </w:p>
        </w:tc>
        <w:tc>
          <w:tcPr>
            <w:tcW w:w="560" w:type="dxa"/>
            <w:tcBorders>
              <w:top w:val="single" w:color="auto" w:sz="10" w:space="0"/>
              <w:left w:val="single" w:color="auto" w:sz="10" w:space="0"/>
              <w:bottom w:val="single" w:color="auto" w:sz="10" w:space="0"/>
              <w:right w:val="single" w:color="auto" w:sz="10" w:space="0"/>
              <w:insideV w:val="single" w:sz="10" w:space="0"/>
            </w:tcBorders>
            <w:vAlign w:val="center"/>
          </w:tcPr>
          <w:p w14:paraId="672B30C2">
            <w:pPr>
              <w:jc w:val="center"/>
            </w:pPr>
            <w:r>
              <w:rPr>
                <w:rFonts w:ascii="宋体" w:hAnsi="宋体" w:eastAsia="宋体"/>
                <w:sz w:val="16"/>
              </w:rPr>
              <w:t>&gt;=4次</w:t>
            </w:r>
          </w:p>
        </w:tc>
        <w:tc>
          <w:tcPr>
            <w:tcW w:w="7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9E3996">
            <w:pPr>
              <w:jc w:val="center"/>
            </w:pPr>
            <w:r>
              <w:rPr>
                <w:rFonts w:ascii="宋体" w:hAnsi="宋体" w:eastAsia="宋体"/>
                <w:sz w:val="16"/>
              </w:rPr>
              <w:t>=4次</w:t>
            </w:r>
          </w:p>
        </w:tc>
        <w:tc>
          <w:tcPr>
            <w:tcW w:w="674" w:type="dxa"/>
            <w:tcBorders>
              <w:top w:val="single" w:color="auto" w:sz="10" w:space="0"/>
              <w:left w:val="single" w:color="auto" w:sz="10" w:space="0"/>
              <w:bottom w:val="single" w:color="auto" w:sz="10" w:space="0"/>
              <w:right w:val="single" w:color="auto" w:sz="10" w:space="0"/>
              <w:insideV w:val="single" w:sz="10" w:space="0"/>
            </w:tcBorders>
            <w:vAlign w:val="center"/>
          </w:tcPr>
          <w:p w14:paraId="280E31B2">
            <w:pPr>
              <w:jc w:val="center"/>
            </w:pPr>
            <w:r>
              <w:rPr>
                <w:rFonts w:ascii="宋体" w:hAnsi="宋体" w:eastAsia="宋体"/>
                <w:sz w:val="16"/>
              </w:rPr>
              <w:t>100%</w:t>
            </w:r>
          </w:p>
        </w:tc>
        <w:tc>
          <w:tcPr>
            <w:tcW w:w="474" w:type="dxa"/>
            <w:tcBorders>
              <w:top w:val="single" w:color="auto" w:sz="10" w:space="0"/>
              <w:left w:val="single" w:color="auto" w:sz="10" w:space="0"/>
              <w:bottom w:val="single" w:color="auto" w:sz="10" w:space="0"/>
              <w:right w:val="single" w:color="auto" w:sz="10" w:space="0"/>
              <w:insideV w:val="single" w:sz="10" w:space="0"/>
            </w:tcBorders>
            <w:vAlign w:val="center"/>
          </w:tcPr>
          <w:p w14:paraId="151759D4">
            <w:pPr>
              <w:jc w:val="center"/>
            </w:pPr>
            <w:r>
              <w:rPr>
                <w:rFonts w:ascii="宋体" w:hAnsi="宋体" w:eastAsia="宋体"/>
                <w:sz w:val="16"/>
              </w:rPr>
              <w:t>5</w:t>
            </w:r>
          </w:p>
        </w:tc>
        <w:tc>
          <w:tcPr>
            <w:tcW w:w="598" w:type="dxa"/>
            <w:tcBorders>
              <w:top w:val="single" w:color="auto" w:sz="10" w:space="0"/>
              <w:left w:val="single" w:color="auto" w:sz="10" w:space="0"/>
              <w:bottom w:val="single" w:color="auto" w:sz="10" w:space="0"/>
              <w:right w:val="single" w:color="auto" w:sz="10" w:space="0"/>
              <w:insideV w:val="single" w:sz="10" w:space="0"/>
            </w:tcBorders>
            <w:vAlign w:val="center"/>
          </w:tcPr>
          <w:p w14:paraId="7AD20CD7">
            <w:pPr>
              <w:jc w:val="center"/>
            </w:pPr>
            <w:r>
              <w:rPr>
                <w:rFonts w:ascii="宋体" w:hAnsi="宋体" w:eastAsia="宋体"/>
                <w:sz w:val="16"/>
              </w:rPr>
              <w:t>计划标准</w:t>
            </w:r>
          </w:p>
        </w:tc>
        <w:tc>
          <w:tcPr>
            <w:tcW w:w="562" w:type="dxa"/>
            <w:tcBorders>
              <w:top w:val="single" w:color="auto" w:sz="10" w:space="0"/>
              <w:left w:val="single" w:color="auto" w:sz="10" w:space="0"/>
              <w:bottom w:val="single" w:color="auto" w:sz="10" w:space="0"/>
              <w:right w:val="single" w:color="auto" w:sz="10" w:space="0"/>
              <w:insideV w:val="single" w:sz="10" w:space="0"/>
            </w:tcBorders>
            <w:vAlign w:val="center"/>
          </w:tcPr>
          <w:p w14:paraId="10E772EF">
            <w:pPr>
              <w:jc w:val="center"/>
            </w:pPr>
            <w:r>
              <w:rPr>
                <w:rFonts w:ascii="宋体" w:hAnsi="宋体" w:eastAsia="宋体"/>
                <w:sz w:val="16"/>
              </w:rPr>
              <w:t>=2次</w:t>
            </w:r>
          </w:p>
        </w:tc>
        <w:tc>
          <w:tcPr>
            <w:tcW w:w="573" w:type="dxa"/>
            <w:tcBorders>
              <w:top w:val="single" w:color="auto" w:sz="10" w:space="0"/>
              <w:left w:val="single" w:color="auto" w:sz="10" w:space="0"/>
              <w:bottom w:val="single" w:color="auto" w:sz="10" w:space="0"/>
              <w:right w:val="single" w:color="auto" w:sz="10" w:space="0"/>
              <w:insideV w:val="single" w:sz="10" w:space="0"/>
            </w:tcBorders>
            <w:vAlign w:val="center"/>
          </w:tcPr>
          <w:p w14:paraId="50FE7128">
            <w:pPr>
              <w:jc w:val="center"/>
            </w:pPr>
            <w:r>
              <w:rPr>
                <w:rFonts w:ascii="宋体" w:hAnsi="宋体" w:eastAsia="宋体"/>
                <w:sz w:val="16"/>
              </w:rPr>
              <w:t>按照完成比例赋分</w:t>
            </w:r>
          </w:p>
        </w:tc>
        <w:tc>
          <w:tcPr>
            <w:tcW w:w="68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1E82B1">
            <w:pPr>
              <w:jc w:val="center"/>
            </w:pPr>
            <w:r>
              <w:rPr>
                <w:rFonts w:ascii="宋体" w:hAnsi="宋体" w:eastAsia="宋体"/>
                <w:sz w:val="16"/>
              </w:rPr>
              <w:t>工作资料</w:t>
            </w:r>
          </w:p>
        </w:tc>
        <w:tc>
          <w:tcPr>
            <w:tcW w:w="1545" w:type="dxa"/>
            <w:tcBorders>
              <w:top w:val="single" w:color="auto" w:sz="10" w:space="0"/>
              <w:left w:val="single" w:color="auto" w:sz="10" w:space="0"/>
              <w:bottom w:val="single" w:color="auto" w:sz="10" w:space="0"/>
              <w:right w:val="single" w:color="auto" w:sz="10" w:space="0"/>
              <w:insideV w:val="single" w:sz="10" w:space="0"/>
            </w:tcBorders>
            <w:vAlign w:val="center"/>
          </w:tcPr>
          <w:p w14:paraId="1CD809EC">
            <w:pPr>
              <w:jc w:val="center"/>
            </w:pPr>
          </w:p>
        </w:tc>
      </w:tr>
      <w:tr w14:paraId="2B73AA0A">
        <w:tblPrEx>
          <w:tblCellMar>
            <w:top w:w="0" w:type="dxa"/>
            <w:left w:w="108" w:type="dxa"/>
            <w:bottom w:w="0" w:type="dxa"/>
            <w:right w:w="108" w:type="dxa"/>
          </w:tblCellMar>
        </w:tblPrEx>
        <w:trPr>
          <w:gridAfter w:val="1"/>
          <w:wAfter w:w="30" w:type="dxa"/>
        </w:trPr>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14D24BF3"/>
        </w:tc>
        <w:tc>
          <w:tcPr>
            <w:tcW w:w="400" w:type="dxa"/>
            <w:vMerge w:val="continue"/>
            <w:tcBorders>
              <w:top w:val="single" w:color="auto" w:sz="10" w:space="0"/>
              <w:left w:val="single" w:color="auto" w:sz="10" w:space="0"/>
              <w:bottom w:val="single" w:color="auto" w:sz="10" w:space="0"/>
              <w:right w:val="single" w:color="auto" w:sz="10" w:space="0"/>
              <w:insideV w:val="single" w:sz="10" w:space="0"/>
            </w:tcBorders>
          </w:tcPr>
          <w:p w14:paraId="2812EE65"/>
        </w:tc>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3229C4C8"/>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5DC4E1F7">
            <w:pPr>
              <w:jc w:val="center"/>
            </w:pPr>
            <w:r>
              <w:rPr>
                <w:rFonts w:ascii="宋体" w:hAnsi="宋体" w:eastAsia="宋体"/>
                <w:sz w:val="16"/>
              </w:rPr>
              <w:t>起诉案件数</w:t>
            </w:r>
          </w:p>
        </w:tc>
        <w:tc>
          <w:tcPr>
            <w:tcW w:w="387" w:type="dxa"/>
            <w:tcBorders>
              <w:top w:val="single" w:color="auto" w:sz="10" w:space="0"/>
              <w:left w:val="single" w:color="auto" w:sz="10" w:space="0"/>
              <w:bottom w:val="single" w:color="auto" w:sz="10" w:space="0"/>
              <w:right w:val="single" w:color="auto" w:sz="10" w:space="0"/>
              <w:insideV w:val="single" w:sz="10" w:space="0"/>
            </w:tcBorders>
            <w:vAlign w:val="center"/>
          </w:tcPr>
          <w:p w14:paraId="47A8CCD7">
            <w:pPr>
              <w:jc w:val="center"/>
            </w:pPr>
            <w:r>
              <w:rPr>
                <w:rFonts w:ascii="宋体" w:hAnsi="宋体" w:eastAsia="宋体"/>
                <w:sz w:val="16"/>
              </w:rPr>
              <w:t>5</w:t>
            </w:r>
          </w:p>
        </w:tc>
        <w:tc>
          <w:tcPr>
            <w:tcW w:w="560" w:type="dxa"/>
            <w:tcBorders>
              <w:top w:val="single" w:color="auto" w:sz="10" w:space="0"/>
              <w:left w:val="single" w:color="auto" w:sz="10" w:space="0"/>
              <w:bottom w:val="single" w:color="auto" w:sz="10" w:space="0"/>
              <w:right w:val="single" w:color="auto" w:sz="10" w:space="0"/>
              <w:insideV w:val="single" w:sz="10" w:space="0"/>
            </w:tcBorders>
            <w:vAlign w:val="center"/>
          </w:tcPr>
          <w:p w14:paraId="72ED8E43">
            <w:pPr>
              <w:jc w:val="center"/>
            </w:pPr>
            <w:r>
              <w:rPr>
                <w:rFonts w:ascii="宋体" w:hAnsi="宋体" w:eastAsia="宋体"/>
                <w:sz w:val="16"/>
              </w:rPr>
              <w:t>&gt;=15个</w:t>
            </w:r>
          </w:p>
        </w:tc>
        <w:tc>
          <w:tcPr>
            <w:tcW w:w="7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B5BC68">
            <w:pPr>
              <w:jc w:val="center"/>
            </w:pPr>
            <w:r>
              <w:rPr>
                <w:rFonts w:ascii="宋体" w:hAnsi="宋体" w:eastAsia="宋体"/>
                <w:sz w:val="16"/>
              </w:rPr>
              <w:t>=15个</w:t>
            </w:r>
          </w:p>
        </w:tc>
        <w:tc>
          <w:tcPr>
            <w:tcW w:w="674" w:type="dxa"/>
            <w:tcBorders>
              <w:top w:val="single" w:color="auto" w:sz="10" w:space="0"/>
              <w:left w:val="single" w:color="auto" w:sz="10" w:space="0"/>
              <w:bottom w:val="single" w:color="auto" w:sz="10" w:space="0"/>
              <w:right w:val="single" w:color="auto" w:sz="10" w:space="0"/>
              <w:insideV w:val="single" w:sz="10" w:space="0"/>
            </w:tcBorders>
            <w:vAlign w:val="center"/>
          </w:tcPr>
          <w:p w14:paraId="567289E7">
            <w:pPr>
              <w:jc w:val="center"/>
            </w:pPr>
            <w:r>
              <w:rPr>
                <w:rFonts w:ascii="宋体" w:hAnsi="宋体" w:eastAsia="宋体"/>
                <w:sz w:val="16"/>
              </w:rPr>
              <w:t>100%</w:t>
            </w:r>
          </w:p>
        </w:tc>
        <w:tc>
          <w:tcPr>
            <w:tcW w:w="474" w:type="dxa"/>
            <w:tcBorders>
              <w:top w:val="single" w:color="auto" w:sz="10" w:space="0"/>
              <w:left w:val="single" w:color="auto" w:sz="10" w:space="0"/>
              <w:bottom w:val="single" w:color="auto" w:sz="10" w:space="0"/>
              <w:right w:val="single" w:color="auto" w:sz="10" w:space="0"/>
              <w:insideV w:val="single" w:sz="10" w:space="0"/>
            </w:tcBorders>
            <w:vAlign w:val="center"/>
          </w:tcPr>
          <w:p w14:paraId="643E449B">
            <w:pPr>
              <w:jc w:val="center"/>
            </w:pPr>
            <w:r>
              <w:rPr>
                <w:rFonts w:ascii="宋体" w:hAnsi="宋体" w:eastAsia="宋体"/>
                <w:sz w:val="16"/>
              </w:rPr>
              <w:t>5</w:t>
            </w:r>
          </w:p>
        </w:tc>
        <w:tc>
          <w:tcPr>
            <w:tcW w:w="598" w:type="dxa"/>
            <w:tcBorders>
              <w:top w:val="single" w:color="auto" w:sz="10" w:space="0"/>
              <w:left w:val="single" w:color="auto" w:sz="10" w:space="0"/>
              <w:bottom w:val="single" w:color="auto" w:sz="10" w:space="0"/>
              <w:right w:val="single" w:color="auto" w:sz="10" w:space="0"/>
              <w:insideV w:val="single" w:sz="10" w:space="0"/>
            </w:tcBorders>
            <w:vAlign w:val="center"/>
          </w:tcPr>
          <w:p w14:paraId="315D0DA2">
            <w:pPr>
              <w:jc w:val="center"/>
            </w:pPr>
            <w:r>
              <w:rPr>
                <w:rFonts w:ascii="宋体" w:hAnsi="宋体" w:eastAsia="宋体"/>
                <w:sz w:val="16"/>
              </w:rPr>
              <w:t>计划标准</w:t>
            </w:r>
          </w:p>
        </w:tc>
        <w:tc>
          <w:tcPr>
            <w:tcW w:w="562" w:type="dxa"/>
            <w:tcBorders>
              <w:top w:val="single" w:color="auto" w:sz="10" w:space="0"/>
              <w:left w:val="single" w:color="auto" w:sz="10" w:space="0"/>
              <w:bottom w:val="single" w:color="auto" w:sz="10" w:space="0"/>
              <w:right w:val="single" w:color="auto" w:sz="10" w:space="0"/>
              <w:insideV w:val="single" w:sz="10" w:space="0"/>
            </w:tcBorders>
            <w:vAlign w:val="center"/>
          </w:tcPr>
          <w:p w14:paraId="529BA599">
            <w:pPr>
              <w:jc w:val="center"/>
            </w:pPr>
            <w:r>
              <w:rPr>
                <w:rFonts w:ascii="宋体" w:hAnsi="宋体" w:eastAsia="宋体"/>
                <w:sz w:val="16"/>
              </w:rPr>
              <w:t>=20个</w:t>
            </w:r>
          </w:p>
        </w:tc>
        <w:tc>
          <w:tcPr>
            <w:tcW w:w="573" w:type="dxa"/>
            <w:tcBorders>
              <w:top w:val="single" w:color="auto" w:sz="10" w:space="0"/>
              <w:left w:val="single" w:color="auto" w:sz="10" w:space="0"/>
              <w:bottom w:val="single" w:color="auto" w:sz="10" w:space="0"/>
              <w:right w:val="single" w:color="auto" w:sz="10" w:space="0"/>
              <w:insideV w:val="single" w:sz="10" w:space="0"/>
            </w:tcBorders>
            <w:vAlign w:val="center"/>
          </w:tcPr>
          <w:p w14:paraId="13CED93F">
            <w:pPr>
              <w:jc w:val="center"/>
            </w:pPr>
            <w:r>
              <w:rPr>
                <w:rFonts w:ascii="宋体" w:hAnsi="宋体" w:eastAsia="宋体"/>
                <w:sz w:val="16"/>
              </w:rPr>
              <w:t>按照完成比例赋分</w:t>
            </w:r>
          </w:p>
        </w:tc>
        <w:tc>
          <w:tcPr>
            <w:tcW w:w="68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B5AEF6">
            <w:pPr>
              <w:jc w:val="center"/>
            </w:pPr>
            <w:r>
              <w:rPr>
                <w:rFonts w:ascii="宋体" w:hAnsi="宋体" w:eastAsia="宋体"/>
                <w:sz w:val="16"/>
              </w:rPr>
              <w:t>工作资料</w:t>
            </w:r>
          </w:p>
        </w:tc>
        <w:tc>
          <w:tcPr>
            <w:tcW w:w="1545" w:type="dxa"/>
            <w:tcBorders>
              <w:top w:val="single" w:color="auto" w:sz="10" w:space="0"/>
              <w:left w:val="single" w:color="auto" w:sz="10" w:space="0"/>
              <w:bottom w:val="single" w:color="auto" w:sz="10" w:space="0"/>
              <w:right w:val="single" w:color="auto" w:sz="10" w:space="0"/>
              <w:insideV w:val="single" w:sz="10" w:space="0"/>
            </w:tcBorders>
            <w:vAlign w:val="center"/>
          </w:tcPr>
          <w:p w14:paraId="1E6EC4D9">
            <w:pPr>
              <w:jc w:val="center"/>
            </w:pPr>
          </w:p>
        </w:tc>
      </w:tr>
      <w:tr w14:paraId="451A5963">
        <w:tblPrEx>
          <w:tblCellMar>
            <w:top w:w="0" w:type="dxa"/>
            <w:left w:w="108" w:type="dxa"/>
            <w:bottom w:w="0" w:type="dxa"/>
            <w:right w:w="108" w:type="dxa"/>
          </w:tblCellMar>
        </w:tblPrEx>
        <w:trPr>
          <w:gridAfter w:val="1"/>
          <w:wAfter w:w="30" w:type="dxa"/>
        </w:trPr>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7A24DB69"/>
        </w:tc>
        <w:tc>
          <w:tcPr>
            <w:tcW w:w="400" w:type="dxa"/>
            <w:vMerge w:val="continue"/>
            <w:tcBorders>
              <w:top w:val="single" w:color="auto" w:sz="10" w:space="0"/>
              <w:left w:val="single" w:color="auto" w:sz="10" w:space="0"/>
              <w:bottom w:val="single" w:color="auto" w:sz="10" w:space="0"/>
              <w:right w:val="single" w:color="auto" w:sz="10" w:space="0"/>
              <w:insideV w:val="single" w:sz="10" w:space="0"/>
            </w:tcBorders>
          </w:tcPr>
          <w:p w14:paraId="41FF0DA9"/>
        </w:tc>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59237704"/>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40982979">
            <w:pPr>
              <w:jc w:val="center"/>
            </w:pPr>
            <w:r>
              <w:rPr>
                <w:rFonts w:ascii="宋体" w:hAnsi="宋体" w:eastAsia="宋体"/>
                <w:sz w:val="16"/>
              </w:rPr>
              <w:t>工会经费及食堂补助</w:t>
            </w:r>
          </w:p>
        </w:tc>
        <w:tc>
          <w:tcPr>
            <w:tcW w:w="387" w:type="dxa"/>
            <w:tcBorders>
              <w:top w:val="single" w:color="auto" w:sz="10" w:space="0"/>
              <w:left w:val="single" w:color="auto" w:sz="10" w:space="0"/>
              <w:bottom w:val="single" w:color="auto" w:sz="10" w:space="0"/>
              <w:right w:val="single" w:color="auto" w:sz="10" w:space="0"/>
              <w:insideV w:val="single" w:sz="10" w:space="0"/>
            </w:tcBorders>
            <w:vAlign w:val="center"/>
          </w:tcPr>
          <w:p w14:paraId="743C8C26">
            <w:pPr>
              <w:jc w:val="center"/>
            </w:pPr>
            <w:r>
              <w:rPr>
                <w:rFonts w:ascii="宋体" w:hAnsi="宋体" w:eastAsia="宋体"/>
                <w:sz w:val="16"/>
              </w:rPr>
              <w:t>5</w:t>
            </w:r>
          </w:p>
        </w:tc>
        <w:tc>
          <w:tcPr>
            <w:tcW w:w="560" w:type="dxa"/>
            <w:tcBorders>
              <w:top w:val="single" w:color="auto" w:sz="10" w:space="0"/>
              <w:left w:val="single" w:color="auto" w:sz="10" w:space="0"/>
              <w:bottom w:val="single" w:color="auto" w:sz="10" w:space="0"/>
              <w:right w:val="single" w:color="auto" w:sz="10" w:space="0"/>
              <w:insideV w:val="single" w:sz="10" w:space="0"/>
            </w:tcBorders>
            <w:vAlign w:val="center"/>
          </w:tcPr>
          <w:p w14:paraId="2A1AB0BE">
            <w:pPr>
              <w:jc w:val="center"/>
            </w:pPr>
            <w:r>
              <w:rPr>
                <w:rFonts w:ascii="宋体" w:hAnsi="宋体" w:eastAsia="宋体"/>
                <w:sz w:val="16"/>
              </w:rPr>
              <w:t>&gt;=12次</w:t>
            </w:r>
          </w:p>
        </w:tc>
        <w:tc>
          <w:tcPr>
            <w:tcW w:w="7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4C4250">
            <w:pPr>
              <w:jc w:val="center"/>
            </w:pPr>
            <w:r>
              <w:rPr>
                <w:rFonts w:ascii="宋体" w:hAnsi="宋体" w:eastAsia="宋体"/>
                <w:sz w:val="16"/>
              </w:rPr>
              <w:t>=12次</w:t>
            </w:r>
          </w:p>
        </w:tc>
        <w:tc>
          <w:tcPr>
            <w:tcW w:w="674" w:type="dxa"/>
            <w:tcBorders>
              <w:top w:val="single" w:color="auto" w:sz="10" w:space="0"/>
              <w:left w:val="single" w:color="auto" w:sz="10" w:space="0"/>
              <w:bottom w:val="single" w:color="auto" w:sz="10" w:space="0"/>
              <w:right w:val="single" w:color="auto" w:sz="10" w:space="0"/>
              <w:insideV w:val="single" w:sz="10" w:space="0"/>
            </w:tcBorders>
            <w:vAlign w:val="center"/>
          </w:tcPr>
          <w:p w14:paraId="51D65756">
            <w:pPr>
              <w:jc w:val="center"/>
            </w:pPr>
            <w:r>
              <w:rPr>
                <w:rFonts w:ascii="宋体" w:hAnsi="宋体" w:eastAsia="宋体"/>
                <w:sz w:val="16"/>
              </w:rPr>
              <w:t>100%</w:t>
            </w:r>
          </w:p>
        </w:tc>
        <w:tc>
          <w:tcPr>
            <w:tcW w:w="474" w:type="dxa"/>
            <w:tcBorders>
              <w:top w:val="single" w:color="auto" w:sz="10" w:space="0"/>
              <w:left w:val="single" w:color="auto" w:sz="10" w:space="0"/>
              <w:bottom w:val="single" w:color="auto" w:sz="10" w:space="0"/>
              <w:right w:val="single" w:color="auto" w:sz="10" w:space="0"/>
              <w:insideV w:val="single" w:sz="10" w:space="0"/>
            </w:tcBorders>
            <w:vAlign w:val="center"/>
          </w:tcPr>
          <w:p w14:paraId="29668357">
            <w:pPr>
              <w:jc w:val="center"/>
            </w:pPr>
            <w:r>
              <w:rPr>
                <w:rFonts w:ascii="宋体" w:hAnsi="宋体" w:eastAsia="宋体"/>
                <w:sz w:val="16"/>
              </w:rPr>
              <w:t>5</w:t>
            </w:r>
          </w:p>
        </w:tc>
        <w:tc>
          <w:tcPr>
            <w:tcW w:w="598" w:type="dxa"/>
            <w:tcBorders>
              <w:top w:val="single" w:color="auto" w:sz="10" w:space="0"/>
              <w:left w:val="single" w:color="auto" w:sz="10" w:space="0"/>
              <w:bottom w:val="single" w:color="auto" w:sz="10" w:space="0"/>
              <w:right w:val="single" w:color="auto" w:sz="10" w:space="0"/>
              <w:insideV w:val="single" w:sz="10" w:space="0"/>
            </w:tcBorders>
            <w:vAlign w:val="center"/>
          </w:tcPr>
          <w:p w14:paraId="7326854D">
            <w:pPr>
              <w:jc w:val="center"/>
            </w:pPr>
            <w:r>
              <w:rPr>
                <w:rFonts w:ascii="宋体" w:hAnsi="宋体" w:eastAsia="宋体"/>
                <w:sz w:val="16"/>
              </w:rPr>
              <w:t>计划标准</w:t>
            </w:r>
          </w:p>
        </w:tc>
        <w:tc>
          <w:tcPr>
            <w:tcW w:w="562" w:type="dxa"/>
            <w:tcBorders>
              <w:top w:val="single" w:color="auto" w:sz="10" w:space="0"/>
              <w:left w:val="single" w:color="auto" w:sz="10" w:space="0"/>
              <w:bottom w:val="single" w:color="auto" w:sz="10" w:space="0"/>
              <w:right w:val="single" w:color="auto" w:sz="10" w:space="0"/>
              <w:insideV w:val="single" w:sz="10" w:space="0"/>
            </w:tcBorders>
            <w:vAlign w:val="center"/>
          </w:tcPr>
          <w:p w14:paraId="6CFAA84F">
            <w:pPr>
              <w:jc w:val="center"/>
            </w:pPr>
            <w:r>
              <w:rPr>
                <w:rFonts w:ascii="宋体" w:hAnsi="宋体" w:eastAsia="宋体"/>
                <w:sz w:val="16"/>
              </w:rPr>
              <w:t>/</w:t>
            </w:r>
          </w:p>
        </w:tc>
        <w:tc>
          <w:tcPr>
            <w:tcW w:w="573" w:type="dxa"/>
            <w:tcBorders>
              <w:top w:val="single" w:color="auto" w:sz="10" w:space="0"/>
              <w:left w:val="single" w:color="auto" w:sz="10" w:space="0"/>
              <w:bottom w:val="single" w:color="auto" w:sz="10" w:space="0"/>
              <w:right w:val="single" w:color="auto" w:sz="10" w:space="0"/>
              <w:insideV w:val="single" w:sz="10" w:space="0"/>
            </w:tcBorders>
            <w:vAlign w:val="center"/>
          </w:tcPr>
          <w:p w14:paraId="7D99C843">
            <w:pPr>
              <w:jc w:val="center"/>
            </w:pPr>
            <w:r>
              <w:rPr>
                <w:rFonts w:ascii="宋体" w:hAnsi="宋体" w:eastAsia="宋体"/>
                <w:sz w:val="16"/>
              </w:rPr>
              <w:t>按照完成比例赋分</w:t>
            </w:r>
          </w:p>
        </w:tc>
        <w:tc>
          <w:tcPr>
            <w:tcW w:w="68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BFCFC1">
            <w:pPr>
              <w:jc w:val="center"/>
            </w:pPr>
            <w:r>
              <w:rPr>
                <w:rFonts w:ascii="宋体" w:hAnsi="宋体" w:eastAsia="宋体"/>
                <w:sz w:val="16"/>
              </w:rPr>
              <w:t>工作资料</w:t>
            </w:r>
          </w:p>
        </w:tc>
        <w:tc>
          <w:tcPr>
            <w:tcW w:w="1545" w:type="dxa"/>
            <w:tcBorders>
              <w:top w:val="single" w:color="auto" w:sz="10" w:space="0"/>
              <w:left w:val="single" w:color="auto" w:sz="10" w:space="0"/>
              <w:bottom w:val="single" w:color="auto" w:sz="10" w:space="0"/>
              <w:right w:val="single" w:color="auto" w:sz="10" w:space="0"/>
              <w:insideV w:val="single" w:sz="10" w:space="0"/>
            </w:tcBorders>
            <w:vAlign w:val="center"/>
          </w:tcPr>
          <w:p w14:paraId="4768D3DD">
            <w:pPr>
              <w:jc w:val="center"/>
            </w:pPr>
          </w:p>
        </w:tc>
      </w:tr>
      <w:tr w14:paraId="011F693B">
        <w:tblPrEx>
          <w:tblCellMar>
            <w:top w:w="0" w:type="dxa"/>
            <w:left w:w="108" w:type="dxa"/>
            <w:bottom w:w="0" w:type="dxa"/>
            <w:right w:w="108" w:type="dxa"/>
          </w:tblCellMar>
        </w:tblPrEx>
        <w:trPr>
          <w:gridAfter w:val="1"/>
          <w:wAfter w:w="30" w:type="dxa"/>
        </w:trPr>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28F2684C"/>
        </w:tc>
        <w:tc>
          <w:tcPr>
            <w:tcW w:w="400" w:type="dxa"/>
            <w:vMerge w:val="continue"/>
            <w:tcBorders>
              <w:top w:val="single" w:color="auto" w:sz="10" w:space="0"/>
              <w:left w:val="single" w:color="auto" w:sz="10" w:space="0"/>
              <w:bottom w:val="single" w:color="auto" w:sz="10" w:space="0"/>
              <w:right w:val="single" w:color="auto" w:sz="10" w:space="0"/>
              <w:insideV w:val="single" w:sz="10" w:space="0"/>
            </w:tcBorders>
          </w:tcPr>
          <w:p w14:paraId="277B981D"/>
        </w:tc>
        <w:tc>
          <w:tcPr>
            <w:tcW w:w="62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8697A8">
            <w:pPr>
              <w:jc w:val="center"/>
            </w:pPr>
            <w:r>
              <w:rPr>
                <w:rFonts w:ascii="宋体" w:hAnsi="宋体" w:eastAsia="宋体"/>
                <w:sz w:val="16"/>
              </w:rPr>
              <w:t>质量指标</w:t>
            </w:r>
          </w:p>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213FF9B2">
            <w:pPr>
              <w:jc w:val="center"/>
            </w:pPr>
            <w:r>
              <w:rPr>
                <w:rFonts w:ascii="宋体" w:hAnsi="宋体" w:eastAsia="宋体"/>
                <w:sz w:val="16"/>
              </w:rPr>
              <w:t>采购物资验收合格率</w:t>
            </w:r>
          </w:p>
        </w:tc>
        <w:tc>
          <w:tcPr>
            <w:tcW w:w="387" w:type="dxa"/>
            <w:tcBorders>
              <w:top w:val="single" w:color="auto" w:sz="10" w:space="0"/>
              <w:left w:val="single" w:color="auto" w:sz="10" w:space="0"/>
              <w:bottom w:val="single" w:color="auto" w:sz="10" w:space="0"/>
              <w:right w:val="single" w:color="auto" w:sz="10" w:space="0"/>
              <w:insideV w:val="single" w:sz="10" w:space="0"/>
            </w:tcBorders>
            <w:vAlign w:val="center"/>
          </w:tcPr>
          <w:p w14:paraId="7E921128">
            <w:pPr>
              <w:jc w:val="center"/>
            </w:pPr>
            <w:r>
              <w:rPr>
                <w:rFonts w:ascii="宋体" w:hAnsi="宋体" w:eastAsia="宋体"/>
                <w:sz w:val="16"/>
              </w:rPr>
              <w:t>5</w:t>
            </w:r>
          </w:p>
        </w:tc>
        <w:tc>
          <w:tcPr>
            <w:tcW w:w="560" w:type="dxa"/>
            <w:tcBorders>
              <w:top w:val="single" w:color="auto" w:sz="10" w:space="0"/>
              <w:left w:val="single" w:color="auto" w:sz="10" w:space="0"/>
              <w:bottom w:val="single" w:color="auto" w:sz="10" w:space="0"/>
              <w:right w:val="single" w:color="auto" w:sz="10" w:space="0"/>
              <w:insideV w:val="single" w:sz="10" w:space="0"/>
            </w:tcBorders>
            <w:vAlign w:val="center"/>
          </w:tcPr>
          <w:p w14:paraId="7993B537">
            <w:pPr>
              <w:jc w:val="center"/>
            </w:pPr>
            <w:r>
              <w:rPr>
                <w:rFonts w:ascii="宋体" w:hAnsi="宋体" w:eastAsia="宋体"/>
                <w:sz w:val="16"/>
              </w:rPr>
              <w:t>&gt;=95%</w:t>
            </w:r>
          </w:p>
        </w:tc>
        <w:tc>
          <w:tcPr>
            <w:tcW w:w="7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8BA858">
            <w:pPr>
              <w:jc w:val="center"/>
            </w:pPr>
            <w:r>
              <w:rPr>
                <w:rFonts w:ascii="宋体" w:hAnsi="宋体" w:eastAsia="宋体"/>
                <w:sz w:val="16"/>
              </w:rPr>
              <w:t>=100%</w:t>
            </w:r>
          </w:p>
        </w:tc>
        <w:tc>
          <w:tcPr>
            <w:tcW w:w="674" w:type="dxa"/>
            <w:tcBorders>
              <w:top w:val="single" w:color="auto" w:sz="10" w:space="0"/>
              <w:left w:val="single" w:color="auto" w:sz="10" w:space="0"/>
              <w:bottom w:val="single" w:color="auto" w:sz="10" w:space="0"/>
              <w:right w:val="single" w:color="auto" w:sz="10" w:space="0"/>
              <w:insideV w:val="single" w:sz="10" w:space="0"/>
            </w:tcBorders>
            <w:vAlign w:val="center"/>
          </w:tcPr>
          <w:p w14:paraId="78FD26C7">
            <w:pPr>
              <w:jc w:val="center"/>
            </w:pPr>
            <w:r>
              <w:rPr>
                <w:rFonts w:ascii="宋体" w:hAnsi="宋体" w:eastAsia="宋体"/>
                <w:sz w:val="16"/>
              </w:rPr>
              <w:t>105.26%</w:t>
            </w:r>
          </w:p>
        </w:tc>
        <w:tc>
          <w:tcPr>
            <w:tcW w:w="474" w:type="dxa"/>
            <w:tcBorders>
              <w:top w:val="single" w:color="auto" w:sz="10" w:space="0"/>
              <w:left w:val="single" w:color="auto" w:sz="10" w:space="0"/>
              <w:bottom w:val="single" w:color="auto" w:sz="10" w:space="0"/>
              <w:right w:val="single" w:color="auto" w:sz="10" w:space="0"/>
              <w:insideV w:val="single" w:sz="10" w:space="0"/>
            </w:tcBorders>
            <w:vAlign w:val="center"/>
          </w:tcPr>
          <w:p w14:paraId="58D8BDE3">
            <w:pPr>
              <w:jc w:val="center"/>
            </w:pPr>
            <w:r>
              <w:rPr>
                <w:rFonts w:ascii="宋体" w:hAnsi="宋体" w:eastAsia="宋体"/>
                <w:sz w:val="16"/>
              </w:rPr>
              <w:t>4.74</w:t>
            </w:r>
          </w:p>
        </w:tc>
        <w:tc>
          <w:tcPr>
            <w:tcW w:w="598" w:type="dxa"/>
            <w:tcBorders>
              <w:top w:val="single" w:color="auto" w:sz="10" w:space="0"/>
              <w:left w:val="single" w:color="auto" w:sz="10" w:space="0"/>
              <w:bottom w:val="single" w:color="auto" w:sz="10" w:space="0"/>
              <w:right w:val="single" w:color="auto" w:sz="10" w:space="0"/>
              <w:insideV w:val="single" w:sz="10" w:space="0"/>
            </w:tcBorders>
            <w:vAlign w:val="center"/>
          </w:tcPr>
          <w:p w14:paraId="5E70D9F7">
            <w:pPr>
              <w:jc w:val="center"/>
            </w:pPr>
            <w:r>
              <w:rPr>
                <w:rFonts w:ascii="宋体" w:hAnsi="宋体" w:eastAsia="宋体"/>
                <w:sz w:val="16"/>
              </w:rPr>
              <w:t>计划标准</w:t>
            </w:r>
          </w:p>
        </w:tc>
        <w:tc>
          <w:tcPr>
            <w:tcW w:w="562" w:type="dxa"/>
            <w:tcBorders>
              <w:top w:val="single" w:color="auto" w:sz="10" w:space="0"/>
              <w:left w:val="single" w:color="auto" w:sz="10" w:space="0"/>
              <w:bottom w:val="single" w:color="auto" w:sz="10" w:space="0"/>
              <w:right w:val="single" w:color="auto" w:sz="10" w:space="0"/>
              <w:insideV w:val="single" w:sz="10" w:space="0"/>
            </w:tcBorders>
            <w:vAlign w:val="center"/>
          </w:tcPr>
          <w:p w14:paraId="271A9FBE">
            <w:pPr>
              <w:jc w:val="center"/>
            </w:pPr>
            <w:r>
              <w:rPr>
                <w:rFonts w:ascii="宋体" w:hAnsi="宋体" w:eastAsia="宋体"/>
                <w:sz w:val="16"/>
              </w:rPr>
              <w:t>=100%</w:t>
            </w:r>
          </w:p>
        </w:tc>
        <w:tc>
          <w:tcPr>
            <w:tcW w:w="573" w:type="dxa"/>
            <w:tcBorders>
              <w:top w:val="single" w:color="auto" w:sz="10" w:space="0"/>
              <w:left w:val="single" w:color="auto" w:sz="10" w:space="0"/>
              <w:bottom w:val="single" w:color="auto" w:sz="10" w:space="0"/>
              <w:right w:val="single" w:color="auto" w:sz="10" w:space="0"/>
              <w:insideV w:val="single" w:sz="10" w:space="0"/>
            </w:tcBorders>
            <w:vAlign w:val="center"/>
          </w:tcPr>
          <w:p w14:paraId="0D4BD1D5">
            <w:pPr>
              <w:jc w:val="center"/>
            </w:pPr>
            <w:r>
              <w:rPr>
                <w:rFonts w:ascii="宋体" w:hAnsi="宋体" w:eastAsia="宋体"/>
                <w:sz w:val="16"/>
              </w:rPr>
              <w:t>按照完成比例赋分</w:t>
            </w:r>
          </w:p>
        </w:tc>
        <w:tc>
          <w:tcPr>
            <w:tcW w:w="68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28A7B8">
            <w:pPr>
              <w:jc w:val="center"/>
            </w:pPr>
            <w:r>
              <w:rPr>
                <w:rFonts w:ascii="宋体" w:hAnsi="宋体" w:eastAsia="宋体"/>
                <w:sz w:val="16"/>
              </w:rPr>
              <w:t>工作资料</w:t>
            </w:r>
          </w:p>
        </w:tc>
        <w:tc>
          <w:tcPr>
            <w:tcW w:w="1545" w:type="dxa"/>
            <w:tcBorders>
              <w:top w:val="single" w:color="auto" w:sz="10" w:space="0"/>
              <w:left w:val="single" w:color="auto" w:sz="10" w:space="0"/>
              <w:bottom w:val="single" w:color="auto" w:sz="10" w:space="0"/>
              <w:right w:val="single" w:color="auto" w:sz="10" w:space="0"/>
              <w:insideV w:val="single" w:sz="10" w:space="0"/>
            </w:tcBorders>
            <w:vAlign w:val="center"/>
          </w:tcPr>
          <w:p w14:paraId="46122C75">
            <w:pPr>
              <w:jc w:val="center"/>
            </w:pPr>
            <w:r>
              <w:rPr>
                <w:rFonts w:ascii="宋体" w:hAnsi="宋体" w:eastAsia="宋体"/>
                <w:sz w:val="16"/>
              </w:rPr>
              <w:t>采购货物验收均合格，完成率为100%/95%*100%=105.26%，偏差率-5.26%。</w:t>
            </w:r>
          </w:p>
        </w:tc>
      </w:tr>
      <w:tr w14:paraId="5A359DE1">
        <w:tblPrEx>
          <w:tblCellMar>
            <w:top w:w="0" w:type="dxa"/>
            <w:left w:w="108" w:type="dxa"/>
            <w:bottom w:w="0" w:type="dxa"/>
            <w:right w:w="108" w:type="dxa"/>
          </w:tblCellMar>
        </w:tblPrEx>
        <w:trPr>
          <w:gridAfter w:val="1"/>
          <w:wAfter w:w="30" w:type="dxa"/>
        </w:trPr>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7A9E5985"/>
        </w:tc>
        <w:tc>
          <w:tcPr>
            <w:tcW w:w="400" w:type="dxa"/>
            <w:vMerge w:val="continue"/>
            <w:tcBorders>
              <w:top w:val="single" w:color="auto" w:sz="10" w:space="0"/>
              <w:left w:val="single" w:color="auto" w:sz="10" w:space="0"/>
              <w:bottom w:val="single" w:color="auto" w:sz="10" w:space="0"/>
              <w:right w:val="single" w:color="auto" w:sz="10" w:space="0"/>
              <w:insideV w:val="single" w:sz="10" w:space="0"/>
            </w:tcBorders>
          </w:tcPr>
          <w:p w14:paraId="0DFC2308"/>
        </w:tc>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3B54914E"/>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06AAD183">
            <w:pPr>
              <w:jc w:val="center"/>
            </w:pPr>
            <w:r>
              <w:rPr>
                <w:rFonts w:ascii="宋体" w:hAnsi="宋体" w:eastAsia="宋体"/>
                <w:sz w:val="16"/>
              </w:rPr>
              <w:t>个人住房公积金贷款逾期率</w:t>
            </w:r>
          </w:p>
        </w:tc>
        <w:tc>
          <w:tcPr>
            <w:tcW w:w="387" w:type="dxa"/>
            <w:tcBorders>
              <w:top w:val="single" w:color="auto" w:sz="10" w:space="0"/>
              <w:left w:val="single" w:color="auto" w:sz="10" w:space="0"/>
              <w:bottom w:val="single" w:color="auto" w:sz="10" w:space="0"/>
              <w:right w:val="single" w:color="auto" w:sz="10" w:space="0"/>
              <w:insideV w:val="single" w:sz="10" w:space="0"/>
            </w:tcBorders>
            <w:vAlign w:val="center"/>
          </w:tcPr>
          <w:p w14:paraId="17D60A2C">
            <w:pPr>
              <w:jc w:val="center"/>
            </w:pPr>
            <w:r>
              <w:rPr>
                <w:rFonts w:ascii="宋体" w:hAnsi="宋体" w:eastAsia="宋体"/>
                <w:sz w:val="16"/>
              </w:rPr>
              <w:t>5</w:t>
            </w:r>
          </w:p>
        </w:tc>
        <w:tc>
          <w:tcPr>
            <w:tcW w:w="560" w:type="dxa"/>
            <w:tcBorders>
              <w:top w:val="single" w:color="auto" w:sz="10" w:space="0"/>
              <w:left w:val="single" w:color="auto" w:sz="10" w:space="0"/>
              <w:bottom w:val="single" w:color="auto" w:sz="10" w:space="0"/>
              <w:right w:val="single" w:color="auto" w:sz="10" w:space="0"/>
              <w:insideV w:val="single" w:sz="10" w:space="0"/>
            </w:tcBorders>
            <w:vAlign w:val="center"/>
          </w:tcPr>
          <w:p w14:paraId="129B9713">
            <w:pPr>
              <w:jc w:val="center"/>
            </w:pPr>
            <w:r>
              <w:rPr>
                <w:rFonts w:ascii="宋体" w:hAnsi="宋体" w:eastAsia="宋体"/>
                <w:sz w:val="16"/>
              </w:rPr>
              <w:t>&lt;=1.5‰</w:t>
            </w:r>
          </w:p>
        </w:tc>
        <w:tc>
          <w:tcPr>
            <w:tcW w:w="7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D5929C">
            <w:pPr>
              <w:jc w:val="center"/>
            </w:pPr>
            <w:r>
              <w:rPr>
                <w:rFonts w:ascii="宋体" w:hAnsi="宋体" w:eastAsia="宋体"/>
                <w:sz w:val="16"/>
              </w:rPr>
              <w:t>=0.31‰</w:t>
            </w:r>
          </w:p>
        </w:tc>
        <w:tc>
          <w:tcPr>
            <w:tcW w:w="674" w:type="dxa"/>
            <w:tcBorders>
              <w:top w:val="single" w:color="auto" w:sz="10" w:space="0"/>
              <w:left w:val="single" w:color="auto" w:sz="10" w:space="0"/>
              <w:bottom w:val="single" w:color="auto" w:sz="10" w:space="0"/>
              <w:right w:val="single" w:color="auto" w:sz="10" w:space="0"/>
              <w:insideV w:val="single" w:sz="10" w:space="0"/>
            </w:tcBorders>
            <w:vAlign w:val="center"/>
          </w:tcPr>
          <w:p w14:paraId="3EEF3A07">
            <w:pPr>
              <w:jc w:val="center"/>
            </w:pPr>
            <w:r>
              <w:rPr>
                <w:rFonts w:ascii="宋体" w:hAnsi="宋体" w:eastAsia="宋体"/>
                <w:sz w:val="16"/>
              </w:rPr>
              <w:t>100%</w:t>
            </w:r>
          </w:p>
        </w:tc>
        <w:tc>
          <w:tcPr>
            <w:tcW w:w="474" w:type="dxa"/>
            <w:tcBorders>
              <w:top w:val="single" w:color="auto" w:sz="10" w:space="0"/>
              <w:left w:val="single" w:color="auto" w:sz="10" w:space="0"/>
              <w:bottom w:val="single" w:color="auto" w:sz="10" w:space="0"/>
              <w:right w:val="single" w:color="auto" w:sz="10" w:space="0"/>
              <w:insideV w:val="single" w:sz="10" w:space="0"/>
            </w:tcBorders>
            <w:vAlign w:val="center"/>
          </w:tcPr>
          <w:p w14:paraId="7F3523B2">
            <w:pPr>
              <w:jc w:val="center"/>
            </w:pPr>
            <w:r>
              <w:rPr>
                <w:rFonts w:ascii="宋体" w:hAnsi="宋体" w:eastAsia="宋体"/>
                <w:sz w:val="16"/>
              </w:rPr>
              <w:t>5</w:t>
            </w:r>
          </w:p>
        </w:tc>
        <w:tc>
          <w:tcPr>
            <w:tcW w:w="598" w:type="dxa"/>
            <w:tcBorders>
              <w:top w:val="single" w:color="auto" w:sz="10" w:space="0"/>
              <w:left w:val="single" w:color="auto" w:sz="10" w:space="0"/>
              <w:bottom w:val="single" w:color="auto" w:sz="10" w:space="0"/>
              <w:right w:val="single" w:color="auto" w:sz="10" w:space="0"/>
              <w:insideV w:val="single" w:sz="10" w:space="0"/>
            </w:tcBorders>
            <w:vAlign w:val="center"/>
          </w:tcPr>
          <w:p w14:paraId="3E40B7BD">
            <w:pPr>
              <w:jc w:val="center"/>
            </w:pPr>
            <w:r>
              <w:rPr>
                <w:rFonts w:ascii="宋体" w:hAnsi="宋体" w:eastAsia="宋体"/>
                <w:sz w:val="16"/>
              </w:rPr>
              <w:t>计划标准</w:t>
            </w:r>
          </w:p>
        </w:tc>
        <w:tc>
          <w:tcPr>
            <w:tcW w:w="562" w:type="dxa"/>
            <w:tcBorders>
              <w:top w:val="single" w:color="auto" w:sz="10" w:space="0"/>
              <w:left w:val="single" w:color="auto" w:sz="10" w:space="0"/>
              <w:bottom w:val="single" w:color="auto" w:sz="10" w:space="0"/>
              <w:right w:val="single" w:color="auto" w:sz="10" w:space="0"/>
              <w:insideV w:val="single" w:sz="10" w:space="0"/>
            </w:tcBorders>
            <w:vAlign w:val="center"/>
          </w:tcPr>
          <w:p w14:paraId="4698A420">
            <w:pPr>
              <w:jc w:val="center"/>
            </w:pPr>
            <w:r>
              <w:rPr>
                <w:rFonts w:ascii="宋体" w:hAnsi="宋体" w:eastAsia="宋体"/>
                <w:sz w:val="16"/>
              </w:rPr>
              <w:t>/</w:t>
            </w:r>
          </w:p>
        </w:tc>
        <w:tc>
          <w:tcPr>
            <w:tcW w:w="573" w:type="dxa"/>
            <w:tcBorders>
              <w:top w:val="single" w:color="auto" w:sz="10" w:space="0"/>
              <w:left w:val="single" w:color="auto" w:sz="10" w:space="0"/>
              <w:bottom w:val="single" w:color="auto" w:sz="10" w:space="0"/>
              <w:right w:val="single" w:color="auto" w:sz="10" w:space="0"/>
              <w:insideV w:val="single" w:sz="10" w:space="0"/>
            </w:tcBorders>
            <w:vAlign w:val="center"/>
          </w:tcPr>
          <w:p w14:paraId="51C0AD9D">
            <w:pPr>
              <w:jc w:val="center"/>
            </w:pPr>
            <w:r>
              <w:rPr>
                <w:rFonts w:ascii="宋体" w:hAnsi="宋体" w:eastAsia="宋体"/>
                <w:sz w:val="16"/>
              </w:rPr>
              <w:t>按照完成比例赋分</w:t>
            </w:r>
          </w:p>
        </w:tc>
        <w:tc>
          <w:tcPr>
            <w:tcW w:w="68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DFBEBD">
            <w:pPr>
              <w:jc w:val="center"/>
            </w:pPr>
            <w:r>
              <w:rPr>
                <w:rFonts w:ascii="宋体" w:hAnsi="宋体" w:eastAsia="宋体"/>
                <w:sz w:val="16"/>
              </w:rPr>
              <w:t>工作资料</w:t>
            </w:r>
          </w:p>
        </w:tc>
        <w:tc>
          <w:tcPr>
            <w:tcW w:w="1545" w:type="dxa"/>
            <w:tcBorders>
              <w:top w:val="single" w:color="auto" w:sz="10" w:space="0"/>
              <w:left w:val="single" w:color="auto" w:sz="10" w:space="0"/>
              <w:bottom w:val="single" w:color="auto" w:sz="10" w:space="0"/>
              <w:right w:val="single" w:color="auto" w:sz="10" w:space="0"/>
              <w:insideV w:val="single" w:sz="10" w:space="0"/>
            </w:tcBorders>
            <w:vAlign w:val="center"/>
          </w:tcPr>
          <w:p w14:paraId="17B0FC2F">
            <w:pPr>
              <w:jc w:val="center"/>
            </w:pPr>
          </w:p>
        </w:tc>
      </w:tr>
      <w:tr w14:paraId="6E46DC78">
        <w:tblPrEx>
          <w:tblCellMar>
            <w:top w:w="0" w:type="dxa"/>
            <w:left w:w="108" w:type="dxa"/>
            <w:bottom w:w="0" w:type="dxa"/>
            <w:right w:w="108" w:type="dxa"/>
          </w:tblCellMar>
        </w:tblPrEx>
        <w:trPr>
          <w:gridAfter w:val="1"/>
          <w:wAfter w:w="30" w:type="dxa"/>
        </w:trPr>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4C0F356E"/>
        </w:tc>
        <w:tc>
          <w:tcPr>
            <w:tcW w:w="400" w:type="dxa"/>
            <w:vMerge w:val="continue"/>
            <w:tcBorders>
              <w:top w:val="single" w:color="auto" w:sz="10" w:space="0"/>
              <w:left w:val="single" w:color="auto" w:sz="10" w:space="0"/>
              <w:bottom w:val="single" w:color="auto" w:sz="10" w:space="0"/>
              <w:right w:val="single" w:color="auto" w:sz="10" w:space="0"/>
              <w:insideV w:val="single" w:sz="10" w:space="0"/>
            </w:tcBorders>
          </w:tcPr>
          <w:p w14:paraId="2CDA1F75"/>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11FE2BE5">
            <w:pPr>
              <w:jc w:val="center"/>
            </w:pPr>
            <w:r>
              <w:rPr>
                <w:rFonts w:ascii="宋体" w:hAnsi="宋体" w:eastAsia="宋体"/>
                <w:sz w:val="16"/>
              </w:rPr>
              <w:t>时效指标</w:t>
            </w:r>
          </w:p>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7CC463AD">
            <w:pPr>
              <w:jc w:val="center"/>
            </w:pPr>
            <w:r>
              <w:rPr>
                <w:rFonts w:ascii="宋体" w:hAnsi="宋体" w:eastAsia="宋体"/>
                <w:sz w:val="16"/>
              </w:rPr>
              <w:t>按时完成增值收益</w:t>
            </w:r>
          </w:p>
        </w:tc>
        <w:tc>
          <w:tcPr>
            <w:tcW w:w="387" w:type="dxa"/>
            <w:tcBorders>
              <w:top w:val="single" w:color="auto" w:sz="10" w:space="0"/>
              <w:left w:val="single" w:color="auto" w:sz="10" w:space="0"/>
              <w:bottom w:val="single" w:color="auto" w:sz="10" w:space="0"/>
              <w:right w:val="single" w:color="auto" w:sz="10" w:space="0"/>
              <w:insideV w:val="single" w:sz="10" w:space="0"/>
            </w:tcBorders>
            <w:vAlign w:val="center"/>
          </w:tcPr>
          <w:p w14:paraId="131C578A">
            <w:pPr>
              <w:jc w:val="center"/>
            </w:pPr>
            <w:r>
              <w:rPr>
                <w:rFonts w:ascii="宋体" w:hAnsi="宋体" w:eastAsia="宋体"/>
                <w:sz w:val="16"/>
              </w:rPr>
              <w:t>10</w:t>
            </w:r>
          </w:p>
        </w:tc>
        <w:tc>
          <w:tcPr>
            <w:tcW w:w="560" w:type="dxa"/>
            <w:tcBorders>
              <w:top w:val="single" w:color="auto" w:sz="10" w:space="0"/>
              <w:left w:val="single" w:color="auto" w:sz="10" w:space="0"/>
              <w:bottom w:val="single" w:color="auto" w:sz="10" w:space="0"/>
              <w:right w:val="single" w:color="auto" w:sz="10" w:space="0"/>
              <w:insideV w:val="single" w:sz="10" w:space="0"/>
            </w:tcBorders>
            <w:vAlign w:val="center"/>
          </w:tcPr>
          <w:p w14:paraId="7B8D66BF">
            <w:pPr>
              <w:jc w:val="center"/>
            </w:pPr>
            <w:r>
              <w:rPr>
                <w:rFonts w:ascii="宋体" w:hAnsi="宋体" w:eastAsia="宋体"/>
                <w:sz w:val="16"/>
              </w:rPr>
              <w:t>2024年12月20日</w:t>
            </w:r>
          </w:p>
        </w:tc>
        <w:tc>
          <w:tcPr>
            <w:tcW w:w="7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A54BCC">
            <w:pPr>
              <w:jc w:val="center"/>
            </w:pPr>
            <w:r>
              <w:rPr>
                <w:rFonts w:ascii="宋体" w:hAnsi="宋体" w:eastAsia="宋体"/>
                <w:sz w:val="16"/>
              </w:rPr>
              <w:t>=2024年12月20日</w:t>
            </w:r>
          </w:p>
        </w:tc>
        <w:tc>
          <w:tcPr>
            <w:tcW w:w="674" w:type="dxa"/>
            <w:tcBorders>
              <w:top w:val="single" w:color="auto" w:sz="10" w:space="0"/>
              <w:left w:val="single" w:color="auto" w:sz="10" w:space="0"/>
              <w:bottom w:val="single" w:color="auto" w:sz="10" w:space="0"/>
              <w:right w:val="single" w:color="auto" w:sz="10" w:space="0"/>
              <w:insideV w:val="single" w:sz="10" w:space="0"/>
            </w:tcBorders>
            <w:vAlign w:val="center"/>
          </w:tcPr>
          <w:p w14:paraId="333ECA41">
            <w:pPr>
              <w:jc w:val="center"/>
            </w:pPr>
            <w:r>
              <w:rPr>
                <w:rFonts w:ascii="宋体" w:hAnsi="宋体" w:eastAsia="宋体"/>
                <w:sz w:val="16"/>
              </w:rPr>
              <w:t>100%</w:t>
            </w:r>
          </w:p>
        </w:tc>
        <w:tc>
          <w:tcPr>
            <w:tcW w:w="474" w:type="dxa"/>
            <w:tcBorders>
              <w:top w:val="single" w:color="auto" w:sz="10" w:space="0"/>
              <w:left w:val="single" w:color="auto" w:sz="10" w:space="0"/>
              <w:bottom w:val="single" w:color="auto" w:sz="10" w:space="0"/>
              <w:right w:val="single" w:color="auto" w:sz="10" w:space="0"/>
              <w:insideV w:val="single" w:sz="10" w:space="0"/>
            </w:tcBorders>
            <w:vAlign w:val="center"/>
          </w:tcPr>
          <w:p w14:paraId="44BDFA46">
            <w:pPr>
              <w:jc w:val="center"/>
            </w:pPr>
            <w:r>
              <w:rPr>
                <w:rFonts w:ascii="宋体" w:hAnsi="宋体" w:eastAsia="宋体"/>
                <w:sz w:val="16"/>
              </w:rPr>
              <w:t>10</w:t>
            </w:r>
          </w:p>
        </w:tc>
        <w:tc>
          <w:tcPr>
            <w:tcW w:w="598" w:type="dxa"/>
            <w:tcBorders>
              <w:top w:val="single" w:color="auto" w:sz="10" w:space="0"/>
              <w:left w:val="single" w:color="auto" w:sz="10" w:space="0"/>
              <w:bottom w:val="single" w:color="auto" w:sz="10" w:space="0"/>
              <w:right w:val="single" w:color="auto" w:sz="10" w:space="0"/>
              <w:insideV w:val="single" w:sz="10" w:space="0"/>
            </w:tcBorders>
            <w:vAlign w:val="center"/>
          </w:tcPr>
          <w:p w14:paraId="54603773">
            <w:pPr>
              <w:jc w:val="center"/>
            </w:pPr>
            <w:r>
              <w:rPr>
                <w:rFonts w:ascii="宋体" w:hAnsi="宋体" w:eastAsia="宋体"/>
                <w:sz w:val="16"/>
              </w:rPr>
              <w:t>计划标准</w:t>
            </w:r>
          </w:p>
        </w:tc>
        <w:tc>
          <w:tcPr>
            <w:tcW w:w="562" w:type="dxa"/>
            <w:tcBorders>
              <w:top w:val="single" w:color="auto" w:sz="10" w:space="0"/>
              <w:left w:val="single" w:color="auto" w:sz="10" w:space="0"/>
              <w:bottom w:val="single" w:color="auto" w:sz="10" w:space="0"/>
              <w:right w:val="single" w:color="auto" w:sz="10" w:space="0"/>
              <w:insideV w:val="single" w:sz="10" w:space="0"/>
            </w:tcBorders>
            <w:vAlign w:val="center"/>
          </w:tcPr>
          <w:p w14:paraId="68F0FB12">
            <w:pPr>
              <w:jc w:val="center"/>
            </w:pPr>
            <w:r>
              <w:rPr>
                <w:rFonts w:ascii="宋体" w:hAnsi="宋体" w:eastAsia="宋体"/>
                <w:sz w:val="16"/>
              </w:rPr>
              <w:t>/</w:t>
            </w:r>
          </w:p>
        </w:tc>
        <w:tc>
          <w:tcPr>
            <w:tcW w:w="573" w:type="dxa"/>
            <w:tcBorders>
              <w:top w:val="single" w:color="auto" w:sz="10" w:space="0"/>
              <w:left w:val="single" w:color="auto" w:sz="10" w:space="0"/>
              <w:bottom w:val="single" w:color="auto" w:sz="10" w:space="0"/>
              <w:right w:val="single" w:color="auto" w:sz="10" w:space="0"/>
              <w:insideV w:val="single" w:sz="10" w:space="0"/>
            </w:tcBorders>
            <w:vAlign w:val="center"/>
          </w:tcPr>
          <w:p w14:paraId="5765ADEF">
            <w:pPr>
              <w:jc w:val="center"/>
            </w:pPr>
            <w:r>
              <w:rPr>
                <w:rFonts w:ascii="宋体" w:hAnsi="宋体" w:eastAsia="宋体"/>
                <w:sz w:val="16"/>
              </w:rPr>
              <w:t>直接赋分</w:t>
            </w:r>
          </w:p>
        </w:tc>
        <w:tc>
          <w:tcPr>
            <w:tcW w:w="68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C30B9B">
            <w:pPr>
              <w:jc w:val="center"/>
            </w:pPr>
            <w:r>
              <w:rPr>
                <w:rFonts w:ascii="宋体" w:hAnsi="宋体" w:eastAsia="宋体"/>
                <w:sz w:val="16"/>
              </w:rPr>
              <w:t>工作资料</w:t>
            </w:r>
          </w:p>
        </w:tc>
        <w:tc>
          <w:tcPr>
            <w:tcW w:w="1545" w:type="dxa"/>
            <w:tcBorders>
              <w:top w:val="single" w:color="auto" w:sz="10" w:space="0"/>
              <w:left w:val="single" w:color="auto" w:sz="10" w:space="0"/>
              <w:bottom w:val="single" w:color="auto" w:sz="10" w:space="0"/>
              <w:right w:val="single" w:color="auto" w:sz="10" w:space="0"/>
              <w:insideV w:val="single" w:sz="10" w:space="0"/>
            </w:tcBorders>
            <w:vAlign w:val="center"/>
          </w:tcPr>
          <w:p w14:paraId="4EE99289">
            <w:pPr>
              <w:jc w:val="center"/>
            </w:pPr>
          </w:p>
        </w:tc>
      </w:tr>
      <w:tr w14:paraId="0BC7629B">
        <w:tblPrEx>
          <w:tblCellMar>
            <w:top w:w="0" w:type="dxa"/>
            <w:left w:w="108" w:type="dxa"/>
            <w:bottom w:w="0" w:type="dxa"/>
            <w:right w:w="108" w:type="dxa"/>
          </w:tblCellMar>
        </w:tblPrEx>
        <w:trPr>
          <w:gridAfter w:val="1"/>
          <w:wAfter w:w="30" w:type="dxa"/>
        </w:trPr>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55AE15BD"/>
        </w:tc>
        <w:tc>
          <w:tcPr>
            <w:tcW w:w="400"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3A996A">
            <w:pPr>
              <w:jc w:val="center"/>
            </w:pPr>
            <w:r>
              <w:rPr>
                <w:rFonts w:ascii="宋体" w:hAnsi="宋体" w:eastAsia="宋体"/>
                <w:sz w:val="16"/>
              </w:rPr>
              <w:t>成本指标</w:t>
            </w:r>
          </w:p>
        </w:tc>
        <w:tc>
          <w:tcPr>
            <w:tcW w:w="62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4A12DA">
            <w:pPr>
              <w:jc w:val="center"/>
            </w:pPr>
            <w:r>
              <w:rPr>
                <w:rFonts w:ascii="宋体" w:hAnsi="宋体" w:eastAsia="宋体"/>
                <w:sz w:val="16"/>
              </w:rPr>
              <w:t>经济成本指标</w:t>
            </w:r>
          </w:p>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02B11BE5">
            <w:pPr>
              <w:jc w:val="center"/>
            </w:pPr>
            <w:r>
              <w:rPr>
                <w:rFonts w:ascii="宋体" w:hAnsi="宋体" w:eastAsia="宋体"/>
                <w:sz w:val="16"/>
              </w:rPr>
              <w:t>运转经费数</w:t>
            </w:r>
          </w:p>
        </w:tc>
        <w:tc>
          <w:tcPr>
            <w:tcW w:w="387" w:type="dxa"/>
            <w:tcBorders>
              <w:top w:val="single" w:color="auto" w:sz="10" w:space="0"/>
              <w:left w:val="single" w:color="auto" w:sz="10" w:space="0"/>
              <w:bottom w:val="single" w:color="auto" w:sz="10" w:space="0"/>
              <w:right w:val="single" w:color="auto" w:sz="10" w:space="0"/>
              <w:insideV w:val="single" w:sz="10" w:space="0"/>
            </w:tcBorders>
            <w:vAlign w:val="center"/>
          </w:tcPr>
          <w:p w14:paraId="5D4F288A">
            <w:pPr>
              <w:jc w:val="center"/>
            </w:pPr>
            <w:r>
              <w:rPr>
                <w:rFonts w:ascii="宋体" w:hAnsi="宋体" w:eastAsia="宋体"/>
                <w:sz w:val="16"/>
              </w:rPr>
              <w:t>8</w:t>
            </w:r>
          </w:p>
        </w:tc>
        <w:tc>
          <w:tcPr>
            <w:tcW w:w="560" w:type="dxa"/>
            <w:tcBorders>
              <w:top w:val="single" w:color="auto" w:sz="10" w:space="0"/>
              <w:left w:val="single" w:color="auto" w:sz="10" w:space="0"/>
              <w:bottom w:val="single" w:color="auto" w:sz="10" w:space="0"/>
              <w:right w:val="single" w:color="auto" w:sz="10" w:space="0"/>
              <w:insideV w:val="single" w:sz="10" w:space="0"/>
            </w:tcBorders>
            <w:vAlign w:val="center"/>
          </w:tcPr>
          <w:p w14:paraId="4992A8C3">
            <w:pPr>
              <w:jc w:val="center"/>
            </w:pPr>
            <w:r>
              <w:rPr>
                <w:rFonts w:ascii="宋体" w:hAnsi="宋体" w:eastAsia="宋体"/>
                <w:sz w:val="16"/>
              </w:rPr>
              <w:t>&lt;=218.81万元</w:t>
            </w:r>
          </w:p>
        </w:tc>
        <w:tc>
          <w:tcPr>
            <w:tcW w:w="7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8D2D22">
            <w:pPr>
              <w:jc w:val="center"/>
            </w:pPr>
            <w:r>
              <w:rPr>
                <w:rFonts w:ascii="宋体" w:hAnsi="宋体" w:eastAsia="宋体"/>
                <w:sz w:val="16"/>
              </w:rPr>
              <w:t>=177.13万元</w:t>
            </w:r>
          </w:p>
        </w:tc>
        <w:tc>
          <w:tcPr>
            <w:tcW w:w="674" w:type="dxa"/>
            <w:tcBorders>
              <w:top w:val="single" w:color="auto" w:sz="10" w:space="0"/>
              <w:left w:val="single" w:color="auto" w:sz="10" w:space="0"/>
              <w:bottom w:val="single" w:color="auto" w:sz="10" w:space="0"/>
              <w:right w:val="single" w:color="auto" w:sz="10" w:space="0"/>
              <w:insideV w:val="single" w:sz="10" w:space="0"/>
            </w:tcBorders>
            <w:vAlign w:val="center"/>
          </w:tcPr>
          <w:p w14:paraId="34C63A7B">
            <w:pPr>
              <w:jc w:val="center"/>
            </w:pPr>
            <w:r>
              <w:rPr>
                <w:rFonts w:ascii="宋体" w:hAnsi="宋体" w:eastAsia="宋体"/>
                <w:sz w:val="16"/>
              </w:rPr>
              <w:t>81%</w:t>
            </w:r>
          </w:p>
        </w:tc>
        <w:tc>
          <w:tcPr>
            <w:tcW w:w="474" w:type="dxa"/>
            <w:tcBorders>
              <w:top w:val="single" w:color="auto" w:sz="10" w:space="0"/>
              <w:left w:val="single" w:color="auto" w:sz="10" w:space="0"/>
              <w:bottom w:val="single" w:color="auto" w:sz="10" w:space="0"/>
              <w:right w:val="single" w:color="auto" w:sz="10" w:space="0"/>
              <w:insideV w:val="single" w:sz="10" w:space="0"/>
            </w:tcBorders>
            <w:vAlign w:val="center"/>
          </w:tcPr>
          <w:p w14:paraId="591CCD64">
            <w:pPr>
              <w:jc w:val="center"/>
            </w:pPr>
            <w:r>
              <w:rPr>
                <w:rFonts w:ascii="宋体" w:hAnsi="宋体" w:eastAsia="宋体"/>
                <w:sz w:val="16"/>
              </w:rPr>
              <w:t>4.2</w:t>
            </w:r>
          </w:p>
        </w:tc>
        <w:tc>
          <w:tcPr>
            <w:tcW w:w="598" w:type="dxa"/>
            <w:tcBorders>
              <w:top w:val="single" w:color="auto" w:sz="10" w:space="0"/>
              <w:left w:val="single" w:color="auto" w:sz="10" w:space="0"/>
              <w:bottom w:val="single" w:color="auto" w:sz="10" w:space="0"/>
              <w:right w:val="single" w:color="auto" w:sz="10" w:space="0"/>
              <w:insideV w:val="single" w:sz="10" w:space="0"/>
            </w:tcBorders>
            <w:vAlign w:val="center"/>
          </w:tcPr>
          <w:p w14:paraId="38D09A74">
            <w:pPr>
              <w:jc w:val="center"/>
            </w:pPr>
            <w:r>
              <w:rPr>
                <w:rFonts w:ascii="宋体" w:hAnsi="宋体" w:eastAsia="宋体"/>
                <w:sz w:val="16"/>
              </w:rPr>
              <w:t>计划标准</w:t>
            </w:r>
          </w:p>
        </w:tc>
        <w:tc>
          <w:tcPr>
            <w:tcW w:w="562" w:type="dxa"/>
            <w:tcBorders>
              <w:top w:val="single" w:color="auto" w:sz="10" w:space="0"/>
              <w:left w:val="single" w:color="auto" w:sz="10" w:space="0"/>
              <w:bottom w:val="single" w:color="auto" w:sz="10" w:space="0"/>
              <w:right w:val="single" w:color="auto" w:sz="10" w:space="0"/>
              <w:insideV w:val="single" w:sz="10" w:space="0"/>
            </w:tcBorders>
            <w:vAlign w:val="center"/>
          </w:tcPr>
          <w:p w14:paraId="2A12248B">
            <w:pPr>
              <w:jc w:val="center"/>
            </w:pPr>
            <w:r>
              <w:rPr>
                <w:rFonts w:ascii="宋体" w:hAnsi="宋体" w:eastAsia="宋体"/>
                <w:sz w:val="16"/>
              </w:rPr>
              <w:t>=66.58</w:t>
            </w:r>
          </w:p>
        </w:tc>
        <w:tc>
          <w:tcPr>
            <w:tcW w:w="573" w:type="dxa"/>
            <w:tcBorders>
              <w:top w:val="single" w:color="auto" w:sz="10" w:space="0"/>
              <w:left w:val="single" w:color="auto" w:sz="10" w:space="0"/>
              <w:bottom w:val="single" w:color="auto" w:sz="10" w:space="0"/>
              <w:right w:val="single" w:color="auto" w:sz="10" w:space="0"/>
              <w:insideV w:val="single" w:sz="10" w:space="0"/>
            </w:tcBorders>
            <w:vAlign w:val="center"/>
          </w:tcPr>
          <w:p w14:paraId="437A6E93">
            <w:pPr>
              <w:jc w:val="center"/>
            </w:pPr>
            <w:r>
              <w:rPr>
                <w:rFonts w:ascii="宋体" w:hAnsi="宋体" w:eastAsia="宋体"/>
                <w:sz w:val="16"/>
              </w:rPr>
              <w:t>按照完成比例赋分</w:t>
            </w:r>
          </w:p>
        </w:tc>
        <w:tc>
          <w:tcPr>
            <w:tcW w:w="68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0DB6FF">
            <w:pPr>
              <w:jc w:val="center"/>
            </w:pPr>
            <w:r>
              <w:rPr>
                <w:rFonts w:ascii="宋体" w:hAnsi="宋体" w:eastAsia="宋体"/>
                <w:sz w:val="16"/>
              </w:rPr>
              <w:t>原始凭证</w:t>
            </w:r>
          </w:p>
        </w:tc>
        <w:tc>
          <w:tcPr>
            <w:tcW w:w="1545" w:type="dxa"/>
            <w:tcBorders>
              <w:top w:val="single" w:color="auto" w:sz="10" w:space="0"/>
              <w:left w:val="single" w:color="auto" w:sz="10" w:space="0"/>
              <w:bottom w:val="single" w:color="auto" w:sz="10" w:space="0"/>
              <w:right w:val="single" w:color="auto" w:sz="10" w:space="0"/>
              <w:insideV w:val="single" w:sz="10" w:space="0"/>
            </w:tcBorders>
            <w:vAlign w:val="center"/>
          </w:tcPr>
          <w:p w14:paraId="14B3D482">
            <w:pPr>
              <w:jc w:val="center"/>
            </w:pPr>
            <w:r>
              <w:rPr>
                <w:rFonts w:ascii="宋体" w:hAnsi="宋体" w:eastAsia="宋体"/>
                <w:sz w:val="16"/>
              </w:rPr>
              <w:t>信创替代费用及新成立准东管理部办公设备购置费用41.69万元，</w:t>
            </w:r>
            <w:r>
              <w:rPr>
                <w:rFonts w:hint="eastAsia" w:ascii="宋体" w:hAnsi="宋体"/>
                <w:sz w:val="16"/>
                <w:lang w:eastAsia="zh-CN"/>
              </w:rPr>
              <w:t>因</w:t>
            </w:r>
            <w:r>
              <w:rPr>
                <w:rFonts w:ascii="宋体" w:hAnsi="宋体" w:eastAsia="宋体"/>
                <w:sz w:val="16"/>
              </w:rPr>
              <w:t>手续未完成需要在次年3月底支付。</w:t>
            </w:r>
          </w:p>
        </w:tc>
      </w:tr>
      <w:tr w14:paraId="7E6DE91C">
        <w:tblPrEx>
          <w:tblCellMar>
            <w:top w:w="0" w:type="dxa"/>
            <w:left w:w="108" w:type="dxa"/>
            <w:bottom w:w="0" w:type="dxa"/>
            <w:right w:w="108" w:type="dxa"/>
          </w:tblCellMar>
        </w:tblPrEx>
        <w:trPr>
          <w:gridAfter w:val="1"/>
          <w:wAfter w:w="30" w:type="dxa"/>
        </w:trPr>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235DBDEE"/>
        </w:tc>
        <w:tc>
          <w:tcPr>
            <w:tcW w:w="400" w:type="dxa"/>
            <w:vMerge w:val="continue"/>
            <w:tcBorders>
              <w:top w:val="single" w:color="auto" w:sz="10" w:space="0"/>
              <w:left w:val="single" w:color="auto" w:sz="10" w:space="0"/>
              <w:bottom w:val="single" w:color="auto" w:sz="10" w:space="0"/>
              <w:right w:val="single" w:color="auto" w:sz="10" w:space="0"/>
              <w:insideV w:val="single" w:sz="10" w:space="0"/>
            </w:tcBorders>
          </w:tcPr>
          <w:p w14:paraId="417A031D"/>
        </w:tc>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551DFF9A"/>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4A48FEC1">
            <w:pPr>
              <w:jc w:val="center"/>
            </w:pPr>
            <w:r>
              <w:rPr>
                <w:rFonts w:ascii="宋体" w:hAnsi="宋体" w:eastAsia="宋体"/>
                <w:sz w:val="16"/>
              </w:rPr>
              <w:t>印刷及宣传费</w:t>
            </w:r>
          </w:p>
        </w:tc>
        <w:tc>
          <w:tcPr>
            <w:tcW w:w="387" w:type="dxa"/>
            <w:tcBorders>
              <w:top w:val="single" w:color="auto" w:sz="10" w:space="0"/>
              <w:left w:val="single" w:color="auto" w:sz="10" w:space="0"/>
              <w:bottom w:val="single" w:color="auto" w:sz="10" w:space="0"/>
              <w:right w:val="single" w:color="auto" w:sz="10" w:space="0"/>
              <w:insideV w:val="single" w:sz="10" w:space="0"/>
            </w:tcBorders>
            <w:vAlign w:val="center"/>
          </w:tcPr>
          <w:p w14:paraId="7C9F2C48">
            <w:pPr>
              <w:jc w:val="center"/>
            </w:pPr>
            <w:r>
              <w:rPr>
                <w:rFonts w:ascii="宋体" w:hAnsi="宋体" w:eastAsia="宋体"/>
                <w:sz w:val="16"/>
              </w:rPr>
              <w:t>1</w:t>
            </w:r>
          </w:p>
        </w:tc>
        <w:tc>
          <w:tcPr>
            <w:tcW w:w="560" w:type="dxa"/>
            <w:tcBorders>
              <w:top w:val="single" w:color="auto" w:sz="10" w:space="0"/>
              <w:left w:val="single" w:color="auto" w:sz="10" w:space="0"/>
              <w:bottom w:val="single" w:color="auto" w:sz="10" w:space="0"/>
              <w:right w:val="single" w:color="auto" w:sz="10" w:space="0"/>
              <w:insideV w:val="single" w:sz="10" w:space="0"/>
            </w:tcBorders>
            <w:vAlign w:val="center"/>
          </w:tcPr>
          <w:p w14:paraId="24C2A7DB">
            <w:pPr>
              <w:jc w:val="center"/>
            </w:pPr>
            <w:r>
              <w:rPr>
                <w:rFonts w:ascii="宋体" w:hAnsi="宋体" w:eastAsia="宋体"/>
                <w:sz w:val="16"/>
              </w:rPr>
              <w:t>&lt;=20.94万元</w:t>
            </w:r>
          </w:p>
        </w:tc>
        <w:tc>
          <w:tcPr>
            <w:tcW w:w="7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0479B5">
            <w:pPr>
              <w:jc w:val="center"/>
            </w:pPr>
            <w:r>
              <w:rPr>
                <w:rFonts w:ascii="宋体" w:hAnsi="宋体" w:eastAsia="宋体"/>
                <w:sz w:val="16"/>
              </w:rPr>
              <w:t>=20.94万元</w:t>
            </w:r>
          </w:p>
        </w:tc>
        <w:tc>
          <w:tcPr>
            <w:tcW w:w="674" w:type="dxa"/>
            <w:tcBorders>
              <w:top w:val="single" w:color="auto" w:sz="10" w:space="0"/>
              <w:left w:val="single" w:color="auto" w:sz="10" w:space="0"/>
              <w:bottom w:val="single" w:color="auto" w:sz="10" w:space="0"/>
              <w:right w:val="single" w:color="auto" w:sz="10" w:space="0"/>
              <w:insideV w:val="single" w:sz="10" w:space="0"/>
            </w:tcBorders>
            <w:vAlign w:val="center"/>
          </w:tcPr>
          <w:p w14:paraId="52041911">
            <w:pPr>
              <w:jc w:val="center"/>
            </w:pPr>
            <w:r>
              <w:rPr>
                <w:rFonts w:ascii="宋体" w:hAnsi="宋体" w:eastAsia="宋体"/>
                <w:sz w:val="16"/>
              </w:rPr>
              <w:t>100%</w:t>
            </w:r>
          </w:p>
        </w:tc>
        <w:tc>
          <w:tcPr>
            <w:tcW w:w="474" w:type="dxa"/>
            <w:tcBorders>
              <w:top w:val="single" w:color="auto" w:sz="10" w:space="0"/>
              <w:left w:val="single" w:color="auto" w:sz="10" w:space="0"/>
              <w:bottom w:val="single" w:color="auto" w:sz="10" w:space="0"/>
              <w:right w:val="single" w:color="auto" w:sz="10" w:space="0"/>
              <w:insideV w:val="single" w:sz="10" w:space="0"/>
            </w:tcBorders>
            <w:vAlign w:val="center"/>
          </w:tcPr>
          <w:p w14:paraId="1AE36684">
            <w:pPr>
              <w:jc w:val="center"/>
            </w:pPr>
            <w:r>
              <w:rPr>
                <w:rFonts w:ascii="宋体" w:hAnsi="宋体" w:eastAsia="宋体"/>
                <w:sz w:val="16"/>
              </w:rPr>
              <w:t>1</w:t>
            </w:r>
          </w:p>
        </w:tc>
        <w:tc>
          <w:tcPr>
            <w:tcW w:w="598" w:type="dxa"/>
            <w:tcBorders>
              <w:top w:val="single" w:color="auto" w:sz="10" w:space="0"/>
              <w:left w:val="single" w:color="auto" w:sz="10" w:space="0"/>
              <w:bottom w:val="single" w:color="auto" w:sz="10" w:space="0"/>
              <w:right w:val="single" w:color="auto" w:sz="10" w:space="0"/>
              <w:insideV w:val="single" w:sz="10" w:space="0"/>
            </w:tcBorders>
            <w:vAlign w:val="center"/>
          </w:tcPr>
          <w:p w14:paraId="54C866C8">
            <w:pPr>
              <w:jc w:val="center"/>
            </w:pPr>
            <w:r>
              <w:rPr>
                <w:rFonts w:ascii="宋体" w:hAnsi="宋体" w:eastAsia="宋体"/>
                <w:sz w:val="16"/>
              </w:rPr>
              <w:t>计划标准</w:t>
            </w:r>
          </w:p>
        </w:tc>
        <w:tc>
          <w:tcPr>
            <w:tcW w:w="562" w:type="dxa"/>
            <w:tcBorders>
              <w:top w:val="single" w:color="auto" w:sz="10" w:space="0"/>
              <w:left w:val="single" w:color="auto" w:sz="10" w:space="0"/>
              <w:bottom w:val="single" w:color="auto" w:sz="10" w:space="0"/>
              <w:right w:val="single" w:color="auto" w:sz="10" w:space="0"/>
              <w:insideV w:val="single" w:sz="10" w:space="0"/>
            </w:tcBorders>
            <w:vAlign w:val="center"/>
          </w:tcPr>
          <w:p w14:paraId="585CA372">
            <w:pPr>
              <w:jc w:val="center"/>
            </w:pPr>
            <w:r>
              <w:rPr>
                <w:rFonts w:ascii="宋体" w:hAnsi="宋体" w:eastAsia="宋体"/>
                <w:sz w:val="16"/>
              </w:rPr>
              <w:t>=3.16</w:t>
            </w:r>
          </w:p>
        </w:tc>
        <w:tc>
          <w:tcPr>
            <w:tcW w:w="573" w:type="dxa"/>
            <w:tcBorders>
              <w:top w:val="single" w:color="auto" w:sz="10" w:space="0"/>
              <w:left w:val="single" w:color="auto" w:sz="10" w:space="0"/>
              <w:bottom w:val="single" w:color="auto" w:sz="10" w:space="0"/>
              <w:right w:val="single" w:color="auto" w:sz="10" w:space="0"/>
              <w:insideV w:val="single" w:sz="10" w:space="0"/>
            </w:tcBorders>
            <w:vAlign w:val="center"/>
          </w:tcPr>
          <w:p w14:paraId="7703766B">
            <w:pPr>
              <w:jc w:val="center"/>
            </w:pPr>
            <w:r>
              <w:rPr>
                <w:rFonts w:ascii="宋体" w:hAnsi="宋体" w:eastAsia="宋体"/>
                <w:sz w:val="16"/>
              </w:rPr>
              <w:t>按照完成比例赋分</w:t>
            </w:r>
          </w:p>
        </w:tc>
        <w:tc>
          <w:tcPr>
            <w:tcW w:w="68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5A2015">
            <w:pPr>
              <w:jc w:val="center"/>
            </w:pPr>
            <w:r>
              <w:rPr>
                <w:rFonts w:ascii="宋体" w:hAnsi="宋体" w:eastAsia="宋体"/>
                <w:sz w:val="16"/>
              </w:rPr>
              <w:t>原始凭证</w:t>
            </w:r>
          </w:p>
        </w:tc>
        <w:tc>
          <w:tcPr>
            <w:tcW w:w="1545" w:type="dxa"/>
            <w:tcBorders>
              <w:top w:val="single" w:color="auto" w:sz="10" w:space="0"/>
              <w:left w:val="single" w:color="auto" w:sz="10" w:space="0"/>
              <w:bottom w:val="single" w:color="auto" w:sz="10" w:space="0"/>
              <w:right w:val="single" w:color="auto" w:sz="10" w:space="0"/>
              <w:insideV w:val="single" w:sz="10" w:space="0"/>
            </w:tcBorders>
            <w:vAlign w:val="center"/>
          </w:tcPr>
          <w:p w14:paraId="77E03704">
            <w:pPr>
              <w:jc w:val="center"/>
            </w:pPr>
          </w:p>
        </w:tc>
      </w:tr>
      <w:tr w14:paraId="356584A1">
        <w:tblPrEx>
          <w:tblCellMar>
            <w:top w:w="0" w:type="dxa"/>
            <w:left w:w="108" w:type="dxa"/>
            <w:bottom w:w="0" w:type="dxa"/>
            <w:right w:w="108" w:type="dxa"/>
          </w:tblCellMar>
        </w:tblPrEx>
        <w:trPr>
          <w:gridAfter w:val="1"/>
          <w:wAfter w:w="30" w:type="dxa"/>
        </w:trPr>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786095B3"/>
        </w:tc>
        <w:tc>
          <w:tcPr>
            <w:tcW w:w="400" w:type="dxa"/>
            <w:vMerge w:val="continue"/>
            <w:tcBorders>
              <w:top w:val="single" w:color="auto" w:sz="10" w:space="0"/>
              <w:left w:val="single" w:color="auto" w:sz="10" w:space="0"/>
              <w:bottom w:val="single" w:color="auto" w:sz="10" w:space="0"/>
              <w:right w:val="single" w:color="auto" w:sz="10" w:space="0"/>
              <w:insideV w:val="single" w:sz="10" w:space="0"/>
            </w:tcBorders>
          </w:tcPr>
          <w:p w14:paraId="71E23043"/>
        </w:tc>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26025831"/>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100041AD">
            <w:pPr>
              <w:jc w:val="center"/>
            </w:pPr>
            <w:r>
              <w:rPr>
                <w:rFonts w:ascii="宋体" w:hAnsi="宋体" w:eastAsia="宋体"/>
                <w:sz w:val="16"/>
              </w:rPr>
              <w:t>律师顾问费案件代理费</w:t>
            </w:r>
          </w:p>
        </w:tc>
        <w:tc>
          <w:tcPr>
            <w:tcW w:w="387" w:type="dxa"/>
            <w:tcBorders>
              <w:top w:val="single" w:color="auto" w:sz="10" w:space="0"/>
              <w:left w:val="single" w:color="auto" w:sz="10" w:space="0"/>
              <w:bottom w:val="single" w:color="auto" w:sz="10" w:space="0"/>
              <w:right w:val="single" w:color="auto" w:sz="10" w:space="0"/>
              <w:insideV w:val="single" w:sz="10" w:space="0"/>
            </w:tcBorders>
            <w:vAlign w:val="center"/>
          </w:tcPr>
          <w:p w14:paraId="3E1B6A8E">
            <w:pPr>
              <w:jc w:val="center"/>
            </w:pPr>
            <w:r>
              <w:rPr>
                <w:rFonts w:ascii="宋体" w:hAnsi="宋体" w:eastAsia="宋体"/>
                <w:sz w:val="16"/>
              </w:rPr>
              <w:t>3</w:t>
            </w:r>
          </w:p>
        </w:tc>
        <w:tc>
          <w:tcPr>
            <w:tcW w:w="560" w:type="dxa"/>
            <w:tcBorders>
              <w:top w:val="single" w:color="auto" w:sz="10" w:space="0"/>
              <w:left w:val="single" w:color="auto" w:sz="10" w:space="0"/>
              <w:bottom w:val="single" w:color="auto" w:sz="10" w:space="0"/>
              <w:right w:val="single" w:color="auto" w:sz="10" w:space="0"/>
              <w:insideV w:val="single" w:sz="10" w:space="0"/>
            </w:tcBorders>
            <w:vAlign w:val="center"/>
          </w:tcPr>
          <w:p w14:paraId="4A49B18D">
            <w:pPr>
              <w:jc w:val="center"/>
            </w:pPr>
            <w:r>
              <w:rPr>
                <w:rFonts w:ascii="宋体" w:hAnsi="宋体" w:eastAsia="宋体"/>
                <w:sz w:val="16"/>
              </w:rPr>
              <w:t>&lt;=92.42万元</w:t>
            </w:r>
          </w:p>
        </w:tc>
        <w:tc>
          <w:tcPr>
            <w:tcW w:w="7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7882F8">
            <w:pPr>
              <w:jc w:val="center"/>
            </w:pPr>
            <w:r>
              <w:rPr>
                <w:rFonts w:ascii="宋体" w:hAnsi="宋体" w:eastAsia="宋体"/>
                <w:sz w:val="16"/>
              </w:rPr>
              <w:t>=92.42万元</w:t>
            </w:r>
          </w:p>
        </w:tc>
        <w:tc>
          <w:tcPr>
            <w:tcW w:w="674" w:type="dxa"/>
            <w:tcBorders>
              <w:top w:val="single" w:color="auto" w:sz="10" w:space="0"/>
              <w:left w:val="single" w:color="auto" w:sz="10" w:space="0"/>
              <w:bottom w:val="single" w:color="auto" w:sz="10" w:space="0"/>
              <w:right w:val="single" w:color="auto" w:sz="10" w:space="0"/>
              <w:insideV w:val="single" w:sz="10" w:space="0"/>
            </w:tcBorders>
            <w:vAlign w:val="center"/>
          </w:tcPr>
          <w:p w14:paraId="71145159">
            <w:pPr>
              <w:jc w:val="center"/>
            </w:pPr>
            <w:r>
              <w:rPr>
                <w:rFonts w:ascii="宋体" w:hAnsi="宋体" w:eastAsia="宋体"/>
                <w:sz w:val="16"/>
              </w:rPr>
              <w:t>100%</w:t>
            </w:r>
          </w:p>
        </w:tc>
        <w:tc>
          <w:tcPr>
            <w:tcW w:w="474" w:type="dxa"/>
            <w:tcBorders>
              <w:top w:val="single" w:color="auto" w:sz="10" w:space="0"/>
              <w:left w:val="single" w:color="auto" w:sz="10" w:space="0"/>
              <w:bottom w:val="single" w:color="auto" w:sz="10" w:space="0"/>
              <w:right w:val="single" w:color="auto" w:sz="10" w:space="0"/>
              <w:insideV w:val="single" w:sz="10" w:space="0"/>
            </w:tcBorders>
            <w:vAlign w:val="center"/>
          </w:tcPr>
          <w:p w14:paraId="790884B1">
            <w:pPr>
              <w:jc w:val="center"/>
            </w:pPr>
            <w:r>
              <w:rPr>
                <w:rFonts w:ascii="宋体" w:hAnsi="宋体" w:eastAsia="宋体"/>
                <w:sz w:val="16"/>
              </w:rPr>
              <w:t>3</w:t>
            </w:r>
          </w:p>
        </w:tc>
        <w:tc>
          <w:tcPr>
            <w:tcW w:w="598" w:type="dxa"/>
            <w:tcBorders>
              <w:top w:val="single" w:color="auto" w:sz="10" w:space="0"/>
              <w:left w:val="single" w:color="auto" w:sz="10" w:space="0"/>
              <w:bottom w:val="single" w:color="auto" w:sz="10" w:space="0"/>
              <w:right w:val="single" w:color="auto" w:sz="10" w:space="0"/>
              <w:insideV w:val="single" w:sz="10" w:space="0"/>
            </w:tcBorders>
            <w:vAlign w:val="center"/>
          </w:tcPr>
          <w:p w14:paraId="0FD465B9">
            <w:pPr>
              <w:jc w:val="center"/>
            </w:pPr>
            <w:r>
              <w:rPr>
                <w:rFonts w:ascii="宋体" w:hAnsi="宋体" w:eastAsia="宋体"/>
                <w:sz w:val="16"/>
              </w:rPr>
              <w:t>计划标准</w:t>
            </w:r>
          </w:p>
        </w:tc>
        <w:tc>
          <w:tcPr>
            <w:tcW w:w="562" w:type="dxa"/>
            <w:tcBorders>
              <w:top w:val="single" w:color="auto" w:sz="10" w:space="0"/>
              <w:left w:val="single" w:color="auto" w:sz="10" w:space="0"/>
              <w:bottom w:val="single" w:color="auto" w:sz="10" w:space="0"/>
              <w:right w:val="single" w:color="auto" w:sz="10" w:space="0"/>
              <w:insideV w:val="single" w:sz="10" w:space="0"/>
            </w:tcBorders>
            <w:vAlign w:val="center"/>
          </w:tcPr>
          <w:p w14:paraId="4BAAB0AF">
            <w:pPr>
              <w:jc w:val="center"/>
            </w:pPr>
            <w:r>
              <w:rPr>
                <w:rFonts w:ascii="宋体" w:hAnsi="宋体" w:eastAsia="宋体"/>
                <w:sz w:val="16"/>
              </w:rPr>
              <w:t>15.61</w:t>
            </w:r>
          </w:p>
        </w:tc>
        <w:tc>
          <w:tcPr>
            <w:tcW w:w="573" w:type="dxa"/>
            <w:tcBorders>
              <w:top w:val="single" w:color="auto" w:sz="10" w:space="0"/>
              <w:left w:val="single" w:color="auto" w:sz="10" w:space="0"/>
              <w:bottom w:val="single" w:color="auto" w:sz="10" w:space="0"/>
              <w:right w:val="single" w:color="auto" w:sz="10" w:space="0"/>
              <w:insideV w:val="single" w:sz="10" w:space="0"/>
            </w:tcBorders>
            <w:vAlign w:val="center"/>
          </w:tcPr>
          <w:p w14:paraId="15077CAC">
            <w:pPr>
              <w:jc w:val="center"/>
            </w:pPr>
            <w:r>
              <w:rPr>
                <w:rFonts w:ascii="宋体" w:hAnsi="宋体" w:eastAsia="宋体"/>
                <w:sz w:val="16"/>
              </w:rPr>
              <w:t>按照完成比例赋分</w:t>
            </w:r>
          </w:p>
        </w:tc>
        <w:tc>
          <w:tcPr>
            <w:tcW w:w="68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150DB7">
            <w:pPr>
              <w:jc w:val="center"/>
            </w:pPr>
            <w:r>
              <w:rPr>
                <w:rFonts w:ascii="宋体" w:hAnsi="宋体" w:eastAsia="宋体"/>
                <w:sz w:val="16"/>
              </w:rPr>
              <w:t>原始凭证</w:t>
            </w:r>
          </w:p>
        </w:tc>
        <w:tc>
          <w:tcPr>
            <w:tcW w:w="1545" w:type="dxa"/>
            <w:tcBorders>
              <w:top w:val="single" w:color="auto" w:sz="10" w:space="0"/>
              <w:left w:val="single" w:color="auto" w:sz="10" w:space="0"/>
              <w:bottom w:val="single" w:color="auto" w:sz="10" w:space="0"/>
              <w:right w:val="single" w:color="auto" w:sz="10" w:space="0"/>
              <w:insideV w:val="single" w:sz="10" w:space="0"/>
            </w:tcBorders>
            <w:vAlign w:val="center"/>
          </w:tcPr>
          <w:p w14:paraId="46163346">
            <w:pPr>
              <w:jc w:val="center"/>
            </w:pPr>
          </w:p>
        </w:tc>
      </w:tr>
      <w:tr w14:paraId="6FF5A3BC">
        <w:tblPrEx>
          <w:tblCellMar>
            <w:top w:w="0" w:type="dxa"/>
            <w:left w:w="108" w:type="dxa"/>
            <w:bottom w:w="0" w:type="dxa"/>
            <w:right w:w="108" w:type="dxa"/>
          </w:tblCellMar>
        </w:tblPrEx>
        <w:trPr>
          <w:gridAfter w:val="1"/>
          <w:wAfter w:w="30" w:type="dxa"/>
        </w:trPr>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3405EAD7"/>
        </w:tc>
        <w:tc>
          <w:tcPr>
            <w:tcW w:w="400" w:type="dxa"/>
            <w:vMerge w:val="continue"/>
            <w:tcBorders>
              <w:top w:val="single" w:color="auto" w:sz="10" w:space="0"/>
              <w:left w:val="single" w:color="auto" w:sz="10" w:space="0"/>
              <w:bottom w:val="single" w:color="auto" w:sz="10" w:space="0"/>
              <w:right w:val="single" w:color="auto" w:sz="10" w:space="0"/>
              <w:insideV w:val="single" w:sz="10" w:space="0"/>
            </w:tcBorders>
          </w:tcPr>
          <w:p w14:paraId="5661E8F5"/>
        </w:tc>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77273B55"/>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10EF048B">
            <w:pPr>
              <w:jc w:val="center"/>
            </w:pPr>
            <w:r>
              <w:rPr>
                <w:rFonts w:ascii="宋体" w:hAnsi="宋体" w:eastAsia="宋体"/>
                <w:sz w:val="16"/>
              </w:rPr>
              <w:t>工会经费及食堂补助费</w:t>
            </w:r>
          </w:p>
        </w:tc>
        <w:tc>
          <w:tcPr>
            <w:tcW w:w="387" w:type="dxa"/>
            <w:tcBorders>
              <w:top w:val="single" w:color="auto" w:sz="10" w:space="0"/>
              <w:left w:val="single" w:color="auto" w:sz="10" w:space="0"/>
              <w:bottom w:val="single" w:color="auto" w:sz="10" w:space="0"/>
              <w:right w:val="single" w:color="auto" w:sz="10" w:space="0"/>
              <w:insideV w:val="single" w:sz="10" w:space="0"/>
            </w:tcBorders>
            <w:vAlign w:val="center"/>
          </w:tcPr>
          <w:p w14:paraId="7F0B1A13">
            <w:pPr>
              <w:jc w:val="center"/>
            </w:pPr>
            <w:r>
              <w:rPr>
                <w:rFonts w:ascii="宋体" w:hAnsi="宋体" w:eastAsia="宋体"/>
                <w:sz w:val="16"/>
              </w:rPr>
              <w:t>2</w:t>
            </w:r>
          </w:p>
        </w:tc>
        <w:tc>
          <w:tcPr>
            <w:tcW w:w="560" w:type="dxa"/>
            <w:tcBorders>
              <w:top w:val="single" w:color="auto" w:sz="10" w:space="0"/>
              <w:left w:val="single" w:color="auto" w:sz="10" w:space="0"/>
              <w:bottom w:val="single" w:color="auto" w:sz="10" w:space="0"/>
              <w:right w:val="single" w:color="auto" w:sz="10" w:space="0"/>
              <w:insideV w:val="single" w:sz="10" w:space="0"/>
            </w:tcBorders>
            <w:vAlign w:val="center"/>
          </w:tcPr>
          <w:p w14:paraId="0C674FC5">
            <w:pPr>
              <w:jc w:val="center"/>
            </w:pPr>
            <w:r>
              <w:rPr>
                <w:rFonts w:ascii="宋体" w:hAnsi="宋体" w:eastAsia="宋体"/>
                <w:sz w:val="16"/>
              </w:rPr>
              <w:t>&lt;=81.58万元</w:t>
            </w:r>
          </w:p>
        </w:tc>
        <w:tc>
          <w:tcPr>
            <w:tcW w:w="7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FD1A29">
            <w:pPr>
              <w:jc w:val="center"/>
            </w:pPr>
            <w:r>
              <w:rPr>
                <w:rFonts w:ascii="宋体" w:hAnsi="宋体" w:eastAsia="宋体"/>
                <w:sz w:val="16"/>
              </w:rPr>
              <w:t>=81.58万元</w:t>
            </w:r>
          </w:p>
        </w:tc>
        <w:tc>
          <w:tcPr>
            <w:tcW w:w="674" w:type="dxa"/>
            <w:tcBorders>
              <w:top w:val="single" w:color="auto" w:sz="10" w:space="0"/>
              <w:left w:val="single" w:color="auto" w:sz="10" w:space="0"/>
              <w:bottom w:val="single" w:color="auto" w:sz="10" w:space="0"/>
              <w:right w:val="single" w:color="auto" w:sz="10" w:space="0"/>
              <w:insideV w:val="single" w:sz="10" w:space="0"/>
            </w:tcBorders>
            <w:vAlign w:val="center"/>
          </w:tcPr>
          <w:p w14:paraId="16DAC418">
            <w:pPr>
              <w:jc w:val="center"/>
            </w:pPr>
            <w:r>
              <w:rPr>
                <w:rFonts w:ascii="宋体" w:hAnsi="宋体" w:eastAsia="宋体"/>
                <w:sz w:val="16"/>
              </w:rPr>
              <w:t>100%</w:t>
            </w:r>
          </w:p>
        </w:tc>
        <w:tc>
          <w:tcPr>
            <w:tcW w:w="474" w:type="dxa"/>
            <w:tcBorders>
              <w:top w:val="single" w:color="auto" w:sz="10" w:space="0"/>
              <w:left w:val="single" w:color="auto" w:sz="10" w:space="0"/>
              <w:bottom w:val="single" w:color="auto" w:sz="10" w:space="0"/>
              <w:right w:val="single" w:color="auto" w:sz="10" w:space="0"/>
              <w:insideV w:val="single" w:sz="10" w:space="0"/>
            </w:tcBorders>
            <w:vAlign w:val="center"/>
          </w:tcPr>
          <w:p w14:paraId="6AA36367">
            <w:pPr>
              <w:jc w:val="center"/>
            </w:pPr>
            <w:r>
              <w:rPr>
                <w:rFonts w:ascii="宋体" w:hAnsi="宋体" w:eastAsia="宋体"/>
                <w:sz w:val="16"/>
              </w:rPr>
              <w:t>2</w:t>
            </w:r>
          </w:p>
        </w:tc>
        <w:tc>
          <w:tcPr>
            <w:tcW w:w="598" w:type="dxa"/>
            <w:tcBorders>
              <w:top w:val="single" w:color="auto" w:sz="10" w:space="0"/>
              <w:left w:val="single" w:color="auto" w:sz="10" w:space="0"/>
              <w:bottom w:val="single" w:color="auto" w:sz="10" w:space="0"/>
              <w:right w:val="single" w:color="auto" w:sz="10" w:space="0"/>
              <w:insideV w:val="single" w:sz="10" w:space="0"/>
            </w:tcBorders>
            <w:vAlign w:val="center"/>
          </w:tcPr>
          <w:p w14:paraId="3E0028FA">
            <w:pPr>
              <w:jc w:val="center"/>
            </w:pPr>
            <w:r>
              <w:rPr>
                <w:rFonts w:ascii="宋体" w:hAnsi="宋体" w:eastAsia="宋体"/>
                <w:sz w:val="16"/>
              </w:rPr>
              <w:t>计划标准</w:t>
            </w:r>
          </w:p>
        </w:tc>
        <w:tc>
          <w:tcPr>
            <w:tcW w:w="562" w:type="dxa"/>
            <w:tcBorders>
              <w:top w:val="single" w:color="auto" w:sz="10" w:space="0"/>
              <w:left w:val="single" w:color="auto" w:sz="10" w:space="0"/>
              <w:bottom w:val="single" w:color="auto" w:sz="10" w:space="0"/>
              <w:right w:val="single" w:color="auto" w:sz="10" w:space="0"/>
              <w:insideV w:val="single" w:sz="10" w:space="0"/>
            </w:tcBorders>
            <w:vAlign w:val="center"/>
          </w:tcPr>
          <w:p w14:paraId="7BAAA9F3">
            <w:pPr>
              <w:jc w:val="center"/>
            </w:pPr>
            <w:r>
              <w:rPr>
                <w:rFonts w:ascii="宋体" w:hAnsi="宋体" w:eastAsia="宋体"/>
                <w:sz w:val="16"/>
              </w:rPr>
              <w:t>/</w:t>
            </w:r>
          </w:p>
        </w:tc>
        <w:tc>
          <w:tcPr>
            <w:tcW w:w="573" w:type="dxa"/>
            <w:tcBorders>
              <w:top w:val="single" w:color="auto" w:sz="10" w:space="0"/>
              <w:left w:val="single" w:color="auto" w:sz="10" w:space="0"/>
              <w:bottom w:val="single" w:color="auto" w:sz="10" w:space="0"/>
              <w:right w:val="single" w:color="auto" w:sz="10" w:space="0"/>
              <w:insideV w:val="single" w:sz="10" w:space="0"/>
            </w:tcBorders>
            <w:vAlign w:val="center"/>
          </w:tcPr>
          <w:p w14:paraId="6FE420A6">
            <w:pPr>
              <w:jc w:val="center"/>
            </w:pPr>
            <w:r>
              <w:rPr>
                <w:rFonts w:ascii="宋体" w:hAnsi="宋体" w:eastAsia="宋体"/>
                <w:sz w:val="16"/>
              </w:rPr>
              <w:t>按照完成比例赋分</w:t>
            </w:r>
          </w:p>
        </w:tc>
        <w:tc>
          <w:tcPr>
            <w:tcW w:w="68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A57A7B">
            <w:pPr>
              <w:jc w:val="center"/>
            </w:pPr>
            <w:r>
              <w:rPr>
                <w:rFonts w:ascii="宋体" w:hAnsi="宋体" w:eastAsia="宋体"/>
                <w:sz w:val="16"/>
              </w:rPr>
              <w:t>原始凭证</w:t>
            </w:r>
          </w:p>
        </w:tc>
        <w:tc>
          <w:tcPr>
            <w:tcW w:w="1545" w:type="dxa"/>
            <w:tcBorders>
              <w:top w:val="single" w:color="auto" w:sz="10" w:space="0"/>
              <w:left w:val="single" w:color="auto" w:sz="10" w:space="0"/>
              <w:bottom w:val="single" w:color="auto" w:sz="10" w:space="0"/>
              <w:right w:val="single" w:color="auto" w:sz="10" w:space="0"/>
              <w:insideV w:val="single" w:sz="10" w:space="0"/>
            </w:tcBorders>
            <w:vAlign w:val="center"/>
          </w:tcPr>
          <w:p w14:paraId="52031291">
            <w:pPr>
              <w:jc w:val="center"/>
            </w:pPr>
          </w:p>
        </w:tc>
      </w:tr>
      <w:tr w14:paraId="0A815464">
        <w:tblPrEx>
          <w:tblCellMar>
            <w:top w:w="0" w:type="dxa"/>
            <w:left w:w="108" w:type="dxa"/>
            <w:bottom w:w="0" w:type="dxa"/>
            <w:right w:w="108" w:type="dxa"/>
          </w:tblCellMar>
        </w:tblPrEx>
        <w:trPr>
          <w:gridAfter w:val="1"/>
          <w:wAfter w:w="30" w:type="dxa"/>
        </w:trPr>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0BE1FF13"/>
        </w:tc>
        <w:tc>
          <w:tcPr>
            <w:tcW w:w="400" w:type="dxa"/>
            <w:vMerge w:val="continue"/>
            <w:tcBorders>
              <w:top w:val="single" w:color="auto" w:sz="10" w:space="0"/>
              <w:left w:val="single" w:color="auto" w:sz="10" w:space="0"/>
              <w:bottom w:val="single" w:color="auto" w:sz="10" w:space="0"/>
              <w:right w:val="single" w:color="auto" w:sz="10" w:space="0"/>
              <w:insideV w:val="single" w:sz="10" w:space="0"/>
            </w:tcBorders>
          </w:tcPr>
          <w:p w14:paraId="49B93BB7"/>
        </w:tc>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4F1486E0"/>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1E16C686">
            <w:pPr>
              <w:jc w:val="center"/>
            </w:pPr>
            <w:r>
              <w:rPr>
                <w:rFonts w:ascii="宋体" w:hAnsi="宋体" w:eastAsia="宋体"/>
                <w:sz w:val="16"/>
              </w:rPr>
              <w:t>购买服务费用</w:t>
            </w:r>
          </w:p>
        </w:tc>
        <w:tc>
          <w:tcPr>
            <w:tcW w:w="387" w:type="dxa"/>
            <w:tcBorders>
              <w:top w:val="single" w:color="auto" w:sz="10" w:space="0"/>
              <w:left w:val="single" w:color="auto" w:sz="10" w:space="0"/>
              <w:bottom w:val="single" w:color="auto" w:sz="10" w:space="0"/>
              <w:right w:val="single" w:color="auto" w:sz="10" w:space="0"/>
              <w:insideV w:val="single" w:sz="10" w:space="0"/>
            </w:tcBorders>
            <w:vAlign w:val="center"/>
          </w:tcPr>
          <w:p w14:paraId="04611481">
            <w:pPr>
              <w:jc w:val="center"/>
            </w:pPr>
            <w:r>
              <w:rPr>
                <w:rFonts w:ascii="宋体" w:hAnsi="宋体" w:eastAsia="宋体"/>
                <w:sz w:val="16"/>
              </w:rPr>
              <w:t>6</w:t>
            </w:r>
          </w:p>
        </w:tc>
        <w:tc>
          <w:tcPr>
            <w:tcW w:w="560" w:type="dxa"/>
            <w:tcBorders>
              <w:top w:val="single" w:color="auto" w:sz="10" w:space="0"/>
              <w:left w:val="single" w:color="auto" w:sz="10" w:space="0"/>
              <w:bottom w:val="single" w:color="auto" w:sz="10" w:space="0"/>
              <w:right w:val="single" w:color="auto" w:sz="10" w:space="0"/>
              <w:insideV w:val="single" w:sz="10" w:space="0"/>
            </w:tcBorders>
            <w:vAlign w:val="center"/>
          </w:tcPr>
          <w:p w14:paraId="5256B6F1">
            <w:pPr>
              <w:jc w:val="center"/>
            </w:pPr>
            <w:r>
              <w:rPr>
                <w:rFonts w:ascii="宋体" w:hAnsi="宋体" w:eastAsia="宋体"/>
                <w:sz w:val="16"/>
              </w:rPr>
              <w:t>&lt;=121.03万元</w:t>
            </w:r>
          </w:p>
        </w:tc>
        <w:tc>
          <w:tcPr>
            <w:tcW w:w="7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D07CE3">
            <w:pPr>
              <w:jc w:val="center"/>
            </w:pPr>
            <w:r>
              <w:rPr>
                <w:rFonts w:ascii="宋体" w:hAnsi="宋体" w:eastAsia="宋体"/>
                <w:sz w:val="16"/>
              </w:rPr>
              <w:t>=114.85万元</w:t>
            </w:r>
          </w:p>
        </w:tc>
        <w:tc>
          <w:tcPr>
            <w:tcW w:w="674" w:type="dxa"/>
            <w:tcBorders>
              <w:top w:val="single" w:color="auto" w:sz="10" w:space="0"/>
              <w:left w:val="single" w:color="auto" w:sz="10" w:space="0"/>
              <w:bottom w:val="single" w:color="auto" w:sz="10" w:space="0"/>
              <w:right w:val="single" w:color="auto" w:sz="10" w:space="0"/>
              <w:insideV w:val="single" w:sz="10" w:space="0"/>
            </w:tcBorders>
            <w:vAlign w:val="center"/>
          </w:tcPr>
          <w:p w14:paraId="0B3DBCFB">
            <w:pPr>
              <w:jc w:val="center"/>
            </w:pPr>
            <w:r>
              <w:rPr>
                <w:rFonts w:ascii="宋体" w:hAnsi="宋体" w:eastAsia="宋体"/>
                <w:sz w:val="16"/>
              </w:rPr>
              <w:t>95%</w:t>
            </w:r>
          </w:p>
        </w:tc>
        <w:tc>
          <w:tcPr>
            <w:tcW w:w="474" w:type="dxa"/>
            <w:tcBorders>
              <w:top w:val="single" w:color="auto" w:sz="10" w:space="0"/>
              <w:left w:val="single" w:color="auto" w:sz="10" w:space="0"/>
              <w:bottom w:val="single" w:color="auto" w:sz="10" w:space="0"/>
              <w:right w:val="single" w:color="auto" w:sz="10" w:space="0"/>
              <w:insideV w:val="single" w:sz="10" w:space="0"/>
            </w:tcBorders>
            <w:vAlign w:val="center"/>
          </w:tcPr>
          <w:p w14:paraId="033632F8">
            <w:pPr>
              <w:jc w:val="center"/>
            </w:pPr>
            <w:r>
              <w:rPr>
                <w:rFonts w:ascii="宋体" w:hAnsi="宋体" w:eastAsia="宋体"/>
                <w:sz w:val="16"/>
              </w:rPr>
              <w:t>5.25</w:t>
            </w:r>
          </w:p>
        </w:tc>
        <w:tc>
          <w:tcPr>
            <w:tcW w:w="598" w:type="dxa"/>
            <w:tcBorders>
              <w:top w:val="single" w:color="auto" w:sz="10" w:space="0"/>
              <w:left w:val="single" w:color="auto" w:sz="10" w:space="0"/>
              <w:bottom w:val="single" w:color="auto" w:sz="10" w:space="0"/>
              <w:right w:val="single" w:color="auto" w:sz="10" w:space="0"/>
              <w:insideV w:val="single" w:sz="10" w:space="0"/>
            </w:tcBorders>
            <w:vAlign w:val="center"/>
          </w:tcPr>
          <w:p w14:paraId="3039E65F">
            <w:pPr>
              <w:jc w:val="center"/>
            </w:pPr>
            <w:r>
              <w:rPr>
                <w:rFonts w:ascii="宋体" w:hAnsi="宋体" w:eastAsia="宋体"/>
                <w:sz w:val="16"/>
              </w:rPr>
              <w:t>计划标准</w:t>
            </w:r>
          </w:p>
        </w:tc>
        <w:tc>
          <w:tcPr>
            <w:tcW w:w="562" w:type="dxa"/>
            <w:tcBorders>
              <w:top w:val="single" w:color="auto" w:sz="10" w:space="0"/>
              <w:left w:val="single" w:color="auto" w:sz="10" w:space="0"/>
              <w:bottom w:val="single" w:color="auto" w:sz="10" w:space="0"/>
              <w:right w:val="single" w:color="auto" w:sz="10" w:space="0"/>
              <w:insideV w:val="single" w:sz="10" w:space="0"/>
            </w:tcBorders>
            <w:vAlign w:val="center"/>
          </w:tcPr>
          <w:p w14:paraId="1E5EC117">
            <w:pPr>
              <w:jc w:val="center"/>
            </w:pPr>
            <w:r>
              <w:rPr>
                <w:rFonts w:ascii="宋体" w:hAnsi="宋体" w:eastAsia="宋体"/>
                <w:sz w:val="16"/>
              </w:rPr>
              <w:t>/</w:t>
            </w:r>
          </w:p>
        </w:tc>
        <w:tc>
          <w:tcPr>
            <w:tcW w:w="573" w:type="dxa"/>
            <w:tcBorders>
              <w:top w:val="single" w:color="auto" w:sz="10" w:space="0"/>
              <w:left w:val="single" w:color="auto" w:sz="10" w:space="0"/>
              <w:bottom w:val="single" w:color="auto" w:sz="10" w:space="0"/>
              <w:right w:val="single" w:color="auto" w:sz="10" w:space="0"/>
              <w:insideV w:val="single" w:sz="10" w:space="0"/>
            </w:tcBorders>
            <w:vAlign w:val="center"/>
          </w:tcPr>
          <w:p w14:paraId="275A8764">
            <w:pPr>
              <w:jc w:val="center"/>
            </w:pPr>
            <w:r>
              <w:rPr>
                <w:rFonts w:ascii="宋体" w:hAnsi="宋体" w:eastAsia="宋体"/>
                <w:sz w:val="16"/>
              </w:rPr>
              <w:t>按照完成比例赋分</w:t>
            </w:r>
          </w:p>
        </w:tc>
        <w:tc>
          <w:tcPr>
            <w:tcW w:w="68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349100">
            <w:pPr>
              <w:jc w:val="center"/>
            </w:pPr>
            <w:r>
              <w:rPr>
                <w:rFonts w:ascii="宋体" w:hAnsi="宋体" w:eastAsia="宋体"/>
                <w:sz w:val="16"/>
              </w:rPr>
              <w:t>原始凭证</w:t>
            </w:r>
          </w:p>
        </w:tc>
        <w:tc>
          <w:tcPr>
            <w:tcW w:w="1545" w:type="dxa"/>
            <w:tcBorders>
              <w:top w:val="single" w:color="auto" w:sz="10" w:space="0"/>
              <w:left w:val="single" w:color="auto" w:sz="10" w:space="0"/>
              <w:bottom w:val="single" w:color="auto" w:sz="10" w:space="0"/>
              <w:right w:val="single" w:color="auto" w:sz="10" w:space="0"/>
              <w:insideV w:val="single" w:sz="10" w:space="0"/>
            </w:tcBorders>
            <w:vAlign w:val="center"/>
          </w:tcPr>
          <w:p w14:paraId="44AF4373">
            <w:pPr>
              <w:jc w:val="center"/>
            </w:pPr>
            <w:r>
              <w:rPr>
                <w:rFonts w:ascii="宋体" w:hAnsi="宋体" w:eastAsia="宋体"/>
                <w:sz w:val="16"/>
              </w:rPr>
              <w:t>因住房公积金数字化档案加工工作按合同支付，需要后期验收完工再支付尾款6.18万元。</w:t>
            </w:r>
          </w:p>
        </w:tc>
      </w:tr>
      <w:tr w14:paraId="3B6ED956">
        <w:tblPrEx>
          <w:tblCellMar>
            <w:top w:w="0" w:type="dxa"/>
            <w:left w:w="108" w:type="dxa"/>
            <w:bottom w:w="0" w:type="dxa"/>
            <w:right w:w="108" w:type="dxa"/>
          </w:tblCellMar>
        </w:tblPrEx>
        <w:trPr>
          <w:gridAfter w:val="1"/>
          <w:wAfter w:w="30" w:type="dxa"/>
        </w:trPr>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61C04FF3"/>
        </w:tc>
        <w:tc>
          <w:tcPr>
            <w:tcW w:w="400"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8A67EE">
            <w:pPr>
              <w:jc w:val="center"/>
            </w:pPr>
            <w:r>
              <w:rPr>
                <w:rFonts w:ascii="宋体" w:hAnsi="宋体" w:eastAsia="宋体"/>
                <w:sz w:val="16"/>
              </w:rPr>
              <w:t>效益指标</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37E87096">
            <w:pPr>
              <w:jc w:val="center"/>
            </w:pPr>
            <w:r>
              <w:rPr>
                <w:rFonts w:ascii="宋体" w:hAnsi="宋体" w:eastAsia="宋体"/>
                <w:sz w:val="16"/>
              </w:rPr>
              <w:t>经济效益指标</w:t>
            </w:r>
          </w:p>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40659DA2">
            <w:pPr>
              <w:jc w:val="center"/>
            </w:pPr>
            <w:r>
              <w:rPr>
                <w:rFonts w:ascii="宋体" w:hAnsi="宋体" w:eastAsia="宋体"/>
                <w:sz w:val="16"/>
              </w:rPr>
              <w:t>实现增值收益</w:t>
            </w:r>
          </w:p>
        </w:tc>
        <w:tc>
          <w:tcPr>
            <w:tcW w:w="387" w:type="dxa"/>
            <w:tcBorders>
              <w:top w:val="single" w:color="auto" w:sz="10" w:space="0"/>
              <w:left w:val="single" w:color="auto" w:sz="10" w:space="0"/>
              <w:bottom w:val="single" w:color="auto" w:sz="10" w:space="0"/>
              <w:right w:val="single" w:color="auto" w:sz="10" w:space="0"/>
              <w:insideV w:val="single" w:sz="10" w:space="0"/>
            </w:tcBorders>
            <w:vAlign w:val="center"/>
          </w:tcPr>
          <w:p w14:paraId="2CF6E8A7">
            <w:pPr>
              <w:jc w:val="center"/>
            </w:pPr>
            <w:r>
              <w:rPr>
                <w:rFonts w:ascii="宋体" w:hAnsi="宋体" w:eastAsia="宋体"/>
                <w:sz w:val="16"/>
              </w:rPr>
              <w:t>10</w:t>
            </w:r>
          </w:p>
        </w:tc>
        <w:tc>
          <w:tcPr>
            <w:tcW w:w="560" w:type="dxa"/>
            <w:tcBorders>
              <w:top w:val="single" w:color="auto" w:sz="10" w:space="0"/>
              <w:left w:val="single" w:color="auto" w:sz="10" w:space="0"/>
              <w:bottom w:val="single" w:color="auto" w:sz="10" w:space="0"/>
              <w:right w:val="single" w:color="auto" w:sz="10" w:space="0"/>
              <w:insideV w:val="single" w:sz="10" w:space="0"/>
            </w:tcBorders>
            <w:vAlign w:val="center"/>
          </w:tcPr>
          <w:p w14:paraId="1E1DF1E8">
            <w:pPr>
              <w:jc w:val="center"/>
            </w:pPr>
            <w:r>
              <w:rPr>
                <w:rFonts w:ascii="宋体" w:hAnsi="宋体" w:eastAsia="宋体"/>
                <w:sz w:val="16"/>
              </w:rPr>
              <w:t>&gt;=15000万元</w:t>
            </w:r>
          </w:p>
        </w:tc>
        <w:tc>
          <w:tcPr>
            <w:tcW w:w="7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A3137D">
            <w:pPr>
              <w:jc w:val="center"/>
            </w:pPr>
            <w:r>
              <w:rPr>
                <w:rFonts w:ascii="宋体" w:hAnsi="宋体" w:eastAsia="宋体"/>
                <w:sz w:val="16"/>
              </w:rPr>
              <w:t>=20612.05万元</w:t>
            </w:r>
          </w:p>
        </w:tc>
        <w:tc>
          <w:tcPr>
            <w:tcW w:w="674" w:type="dxa"/>
            <w:tcBorders>
              <w:top w:val="single" w:color="auto" w:sz="10" w:space="0"/>
              <w:left w:val="single" w:color="auto" w:sz="10" w:space="0"/>
              <w:bottom w:val="single" w:color="auto" w:sz="10" w:space="0"/>
              <w:right w:val="single" w:color="auto" w:sz="10" w:space="0"/>
              <w:insideV w:val="single" w:sz="10" w:space="0"/>
            </w:tcBorders>
            <w:vAlign w:val="center"/>
          </w:tcPr>
          <w:p w14:paraId="766C1091">
            <w:pPr>
              <w:jc w:val="center"/>
            </w:pPr>
            <w:r>
              <w:rPr>
                <w:rFonts w:ascii="宋体" w:hAnsi="宋体" w:eastAsia="宋体"/>
                <w:sz w:val="16"/>
              </w:rPr>
              <w:t>100%</w:t>
            </w:r>
          </w:p>
        </w:tc>
        <w:tc>
          <w:tcPr>
            <w:tcW w:w="474" w:type="dxa"/>
            <w:tcBorders>
              <w:top w:val="single" w:color="auto" w:sz="10" w:space="0"/>
              <w:left w:val="single" w:color="auto" w:sz="10" w:space="0"/>
              <w:bottom w:val="single" w:color="auto" w:sz="10" w:space="0"/>
              <w:right w:val="single" w:color="auto" w:sz="10" w:space="0"/>
              <w:insideV w:val="single" w:sz="10" w:space="0"/>
            </w:tcBorders>
            <w:vAlign w:val="center"/>
          </w:tcPr>
          <w:p w14:paraId="63CD59FD">
            <w:pPr>
              <w:jc w:val="center"/>
            </w:pPr>
            <w:r>
              <w:rPr>
                <w:rFonts w:ascii="宋体" w:hAnsi="宋体" w:eastAsia="宋体"/>
                <w:sz w:val="16"/>
              </w:rPr>
              <w:t>10</w:t>
            </w:r>
          </w:p>
        </w:tc>
        <w:tc>
          <w:tcPr>
            <w:tcW w:w="598" w:type="dxa"/>
            <w:tcBorders>
              <w:top w:val="single" w:color="auto" w:sz="10" w:space="0"/>
              <w:left w:val="single" w:color="auto" w:sz="10" w:space="0"/>
              <w:bottom w:val="single" w:color="auto" w:sz="10" w:space="0"/>
              <w:right w:val="single" w:color="auto" w:sz="10" w:space="0"/>
              <w:insideV w:val="single" w:sz="10" w:space="0"/>
            </w:tcBorders>
            <w:vAlign w:val="center"/>
          </w:tcPr>
          <w:p w14:paraId="05F72335">
            <w:pPr>
              <w:jc w:val="center"/>
            </w:pPr>
            <w:r>
              <w:rPr>
                <w:rFonts w:ascii="宋体" w:hAnsi="宋体" w:eastAsia="宋体"/>
                <w:sz w:val="16"/>
              </w:rPr>
              <w:t>计划标准</w:t>
            </w:r>
          </w:p>
        </w:tc>
        <w:tc>
          <w:tcPr>
            <w:tcW w:w="562" w:type="dxa"/>
            <w:tcBorders>
              <w:top w:val="single" w:color="auto" w:sz="10" w:space="0"/>
              <w:left w:val="single" w:color="auto" w:sz="10" w:space="0"/>
              <w:bottom w:val="single" w:color="auto" w:sz="10" w:space="0"/>
              <w:right w:val="single" w:color="auto" w:sz="10" w:space="0"/>
              <w:insideV w:val="single" w:sz="10" w:space="0"/>
            </w:tcBorders>
            <w:vAlign w:val="center"/>
          </w:tcPr>
          <w:p w14:paraId="194B1621">
            <w:pPr>
              <w:jc w:val="center"/>
            </w:pPr>
            <w:r>
              <w:rPr>
                <w:rFonts w:ascii="宋体" w:hAnsi="宋体" w:eastAsia="宋体"/>
                <w:sz w:val="16"/>
              </w:rPr>
              <w:t>/</w:t>
            </w:r>
          </w:p>
        </w:tc>
        <w:tc>
          <w:tcPr>
            <w:tcW w:w="573" w:type="dxa"/>
            <w:tcBorders>
              <w:top w:val="single" w:color="auto" w:sz="10" w:space="0"/>
              <w:left w:val="single" w:color="auto" w:sz="10" w:space="0"/>
              <w:bottom w:val="single" w:color="auto" w:sz="10" w:space="0"/>
              <w:right w:val="single" w:color="auto" w:sz="10" w:space="0"/>
              <w:insideV w:val="single" w:sz="10" w:space="0"/>
            </w:tcBorders>
            <w:vAlign w:val="center"/>
          </w:tcPr>
          <w:p w14:paraId="00FBC4FD">
            <w:pPr>
              <w:jc w:val="center"/>
            </w:pPr>
            <w:r>
              <w:rPr>
                <w:rFonts w:ascii="宋体" w:hAnsi="宋体" w:eastAsia="宋体"/>
                <w:sz w:val="16"/>
              </w:rPr>
              <w:t>按照完成比例赋分</w:t>
            </w:r>
          </w:p>
        </w:tc>
        <w:tc>
          <w:tcPr>
            <w:tcW w:w="68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01AC86">
            <w:pPr>
              <w:jc w:val="center"/>
            </w:pPr>
            <w:r>
              <w:rPr>
                <w:rFonts w:ascii="宋体" w:hAnsi="宋体" w:eastAsia="宋体"/>
                <w:sz w:val="16"/>
              </w:rPr>
              <w:t>工作资料</w:t>
            </w:r>
          </w:p>
        </w:tc>
        <w:tc>
          <w:tcPr>
            <w:tcW w:w="1545" w:type="dxa"/>
            <w:tcBorders>
              <w:top w:val="single" w:color="auto" w:sz="10" w:space="0"/>
              <w:left w:val="single" w:color="auto" w:sz="10" w:space="0"/>
              <w:bottom w:val="single" w:color="auto" w:sz="10" w:space="0"/>
              <w:right w:val="single" w:color="auto" w:sz="10" w:space="0"/>
              <w:insideV w:val="single" w:sz="10" w:space="0"/>
            </w:tcBorders>
            <w:vAlign w:val="center"/>
          </w:tcPr>
          <w:p w14:paraId="3BCCDB48">
            <w:pPr>
              <w:jc w:val="center"/>
            </w:pPr>
          </w:p>
        </w:tc>
      </w:tr>
      <w:tr w14:paraId="475773E1">
        <w:tblPrEx>
          <w:tblCellMar>
            <w:top w:w="0" w:type="dxa"/>
            <w:left w:w="108" w:type="dxa"/>
            <w:bottom w:w="0" w:type="dxa"/>
            <w:right w:w="108" w:type="dxa"/>
          </w:tblCellMar>
        </w:tblPrEx>
        <w:trPr>
          <w:gridAfter w:val="1"/>
          <w:wAfter w:w="30" w:type="dxa"/>
        </w:trPr>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5A727129"/>
        </w:tc>
        <w:tc>
          <w:tcPr>
            <w:tcW w:w="400" w:type="dxa"/>
            <w:vMerge w:val="continue"/>
            <w:tcBorders>
              <w:top w:val="single" w:color="auto" w:sz="10" w:space="0"/>
              <w:left w:val="single" w:color="auto" w:sz="10" w:space="0"/>
              <w:bottom w:val="single" w:color="auto" w:sz="10" w:space="0"/>
              <w:right w:val="single" w:color="auto" w:sz="10" w:space="0"/>
              <w:insideV w:val="single" w:sz="10" w:space="0"/>
            </w:tcBorders>
          </w:tcPr>
          <w:p w14:paraId="4C10E912"/>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0E8E7359">
            <w:pPr>
              <w:jc w:val="center"/>
            </w:pPr>
            <w:r>
              <w:rPr>
                <w:rFonts w:ascii="宋体" w:hAnsi="宋体" w:eastAsia="宋体"/>
                <w:sz w:val="16"/>
              </w:rPr>
              <w:t>社会效益指标</w:t>
            </w:r>
          </w:p>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37A6DFD9">
            <w:pPr>
              <w:jc w:val="center"/>
            </w:pPr>
            <w:r>
              <w:rPr>
                <w:rFonts w:ascii="宋体" w:hAnsi="宋体" w:eastAsia="宋体"/>
                <w:sz w:val="16"/>
              </w:rPr>
              <w:t>服务缴存职工能力</w:t>
            </w:r>
          </w:p>
        </w:tc>
        <w:tc>
          <w:tcPr>
            <w:tcW w:w="387" w:type="dxa"/>
            <w:tcBorders>
              <w:top w:val="single" w:color="auto" w:sz="10" w:space="0"/>
              <w:left w:val="single" w:color="auto" w:sz="10" w:space="0"/>
              <w:bottom w:val="single" w:color="auto" w:sz="10" w:space="0"/>
              <w:right w:val="single" w:color="auto" w:sz="10" w:space="0"/>
              <w:insideV w:val="single" w:sz="10" w:space="0"/>
            </w:tcBorders>
            <w:vAlign w:val="center"/>
          </w:tcPr>
          <w:p w14:paraId="0CF8A4B8">
            <w:pPr>
              <w:jc w:val="center"/>
            </w:pPr>
            <w:r>
              <w:rPr>
                <w:rFonts w:ascii="宋体" w:hAnsi="宋体" w:eastAsia="宋体"/>
                <w:sz w:val="16"/>
              </w:rPr>
              <w:t>10</w:t>
            </w:r>
          </w:p>
        </w:tc>
        <w:tc>
          <w:tcPr>
            <w:tcW w:w="560" w:type="dxa"/>
            <w:tcBorders>
              <w:top w:val="single" w:color="auto" w:sz="10" w:space="0"/>
              <w:left w:val="single" w:color="auto" w:sz="10" w:space="0"/>
              <w:bottom w:val="single" w:color="auto" w:sz="10" w:space="0"/>
              <w:right w:val="single" w:color="auto" w:sz="10" w:space="0"/>
              <w:insideV w:val="single" w:sz="10" w:space="0"/>
            </w:tcBorders>
            <w:vAlign w:val="center"/>
          </w:tcPr>
          <w:p w14:paraId="13636065">
            <w:pPr>
              <w:jc w:val="center"/>
            </w:pPr>
            <w:r>
              <w:rPr>
                <w:rFonts w:ascii="宋体" w:hAnsi="宋体" w:eastAsia="宋体"/>
                <w:sz w:val="16"/>
              </w:rPr>
              <w:t>提升</w:t>
            </w:r>
          </w:p>
        </w:tc>
        <w:tc>
          <w:tcPr>
            <w:tcW w:w="7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CC9FE8">
            <w:pPr>
              <w:jc w:val="center"/>
            </w:pPr>
            <w:r>
              <w:rPr>
                <w:rFonts w:ascii="宋体" w:hAnsi="宋体" w:eastAsia="宋体"/>
                <w:sz w:val="16"/>
              </w:rPr>
              <w:t>达到预期指标</w:t>
            </w:r>
          </w:p>
        </w:tc>
        <w:tc>
          <w:tcPr>
            <w:tcW w:w="674" w:type="dxa"/>
            <w:tcBorders>
              <w:top w:val="single" w:color="auto" w:sz="10" w:space="0"/>
              <w:left w:val="single" w:color="auto" w:sz="10" w:space="0"/>
              <w:bottom w:val="single" w:color="auto" w:sz="10" w:space="0"/>
              <w:right w:val="single" w:color="auto" w:sz="10" w:space="0"/>
              <w:insideV w:val="single" w:sz="10" w:space="0"/>
            </w:tcBorders>
            <w:vAlign w:val="center"/>
          </w:tcPr>
          <w:p w14:paraId="2BF47568">
            <w:pPr>
              <w:jc w:val="center"/>
            </w:pPr>
            <w:r>
              <w:rPr>
                <w:rFonts w:ascii="宋体" w:hAnsi="宋体" w:eastAsia="宋体"/>
                <w:sz w:val="16"/>
              </w:rPr>
              <w:t>100%</w:t>
            </w:r>
          </w:p>
        </w:tc>
        <w:tc>
          <w:tcPr>
            <w:tcW w:w="474" w:type="dxa"/>
            <w:tcBorders>
              <w:top w:val="single" w:color="auto" w:sz="10" w:space="0"/>
              <w:left w:val="single" w:color="auto" w:sz="10" w:space="0"/>
              <w:bottom w:val="single" w:color="auto" w:sz="10" w:space="0"/>
              <w:right w:val="single" w:color="auto" w:sz="10" w:space="0"/>
              <w:insideV w:val="single" w:sz="10" w:space="0"/>
            </w:tcBorders>
            <w:vAlign w:val="center"/>
          </w:tcPr>
          <w:p w14:paraId="1A9A0574">
            <w:pPr>
              <w:jc w:val="center"/>
            </w:pPr>
            <w:r>
              <w:rPr>
                <w:rFonts w:ascii="宋体" w:hAnsi="宋体" w:eastAsia="宋体"/>
                <w:sz w:val="16"/>
              </w:rPr>
              <w:t>10</w:t>
            </w:r>
          </w:p>
        </w:tc>
        <w:tc>
          <w:tcPr>
            <w:tcW w:w="598" w:type="dxa"/>
            <w:tcBorders>
              <w:top w:val="single" w:color="auto" w:sz="10" w:space="0"/>
              <w:left w:val="single" w:color="auto" w:sz="10" w:space="0"/>
              <w:bottom w:val="single" w:color="auto" w:sz="10" w:space="0"/>
              <w:right w:val="single" w:color="auto" w:sz="10" w:space="0"/>
              <w:insideV w:val="single" w:sz="10" w:space="0"/>
            </w:tcBorders>
            <w:vAlign w:val="center"/>
          </w:tcPr>
          <w:p w14:paraId="0E824672">
            <w:pPr>
              <w:jc w:val="center"/>
            </w:pPr>
            <w:r>
              <w:rPr>
                <w:rFonts w:ascii="宋体" w:hAnsi="宋体" w:eastAsia="宋体"/>
                <w:sz w:val="16"/>
              </w:rPr>
              <w:t>计划标准</w:t>
            </w:r>
          </w:p>
        </w:tc>
        <w:tc>
          <w:tcPr>
            <w:tcW w:w="562" w:type="dxa"/>
            <w:tcBorders>
              <w:top w:val="single" w:color="auto" w:sz="10" w:space="0"/>
              <w:left w:val="single" w:color="auto" w:sz="10" w:space="0"/>
              <w:bottom w:val="single" w:color="auto" w:sz="10" w:space="0"/>
              <w:right w:val="single" w:color="auto" w:sz="10" w:space="0"/>
              <w:insideV w:val="single" w:sz="10" w:space="0"/>
            </w:tcBorders>
            <w:vAlign w:val="center"/>
          </w:tcPr>
          <w:p w14:paraId="1C13E11F">
            <w:pPr>
              <w:jc w:val="center"/>
            </w:pPr>
            <w:r>
              <w:rPr>
                <w:rFonts w:ascii="宋体" w:hAnsi="宋体" w:eastAsia="宋体"/>
                <w:sz w:val="16"/>
              </w:rPr>
              <w:t>/</w:t>
            </w:r>
          </w:p>
        </w:tc>
        <w:tc>
          <w:tcPr>
            <w:tcW w:w="573" w:type="dxa"/>
            <w:tcBorders>
              <w:top w:val="single" w:color="auto" w:sz="10" w:space="0"/>
              <w:left w:val="single" w:color="auto" w:sz="10" w:space="0"/>
              <w:bottom w:val="single" w:color="auto" w:sz="10" w:space="0"/>
              <w:right w:val="single" w:color="auto" w:sz="10" w:space="0"/>
              <w:insideV w:val="single" w:sz="10" w:space="0"/>
            </w:tcBorders>
            <w:vAlign w:val="center"/>
          </w:tcPr>
          <w:p w14:paraId="305C9DD8">
            <w:pPr>
              <w:jc w:val="center"/>
            </w:pPr>
            <w:r>
              <w:rPr>
                <w:rFonts w:ascii="宋体" w:hAnsi="宋体" w:eastAsia="宋体"/>
                <w:sz w:val="16"/>
              </w:rPr>
              <w:t>按评判等级赋分</w:t>
            </w:r>
          </w:p>
        </w:tc>
        <w:tc>
          <w:tcPr>
            <w:tcW w:w="68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7F5645">
            <w:pPr>
              <w:jc w:val="center"/>
            </w:pPr>
            <w:r>
              <w:rPr>
                <w:rFonts w:ascii="宋体" w:hAnsi="宋体" w:eastAsia="宋体"/>
                <w:sz w:val="16"/>
              </w:rPr>
              <w:t>工作资料</w:t>
            </w:r>
          </w:p>
        </w:tc>
        <w:tc>
          <w:tcPr>
            <w:tcW w:w="1545" w:type="dxa"/>
            <w:tcBorders>
              <w:top w:val="single" w:color="auto" w:sz="10" w:space="0"/>
              <w:left w:val="single" w:color="auto" w:sz="10" w:space="0"/>
              <w:bottom w:val="single" w:color="auto" w:sz="10" w:space="0"/>
              <w:right w:val="single" w:color="auto" w:sz="10" w:space="0"/>
              <w:insideV w:val="single" w:sz="10" w:space="0"/>
            </w:tcBorders>
            <w:vAlign w:val="center"/>
          </w:tcPr>
          <w:p w14:paraId="4750750D">
            <w:pPr>
              <w:jc w:val="center"/>
            </w:pPr>
          </w:p>
        </w:tc>
      </w:tr>
      <w:tr w14:paraId="4ADD8818">
        <w:tblPrEx>
          <w:tblCellMar>
            <w:top w:w="0" w:type="dxa"/>
            <w:left w:w="108" w:type="dxa"/>
            <w:bottom w:w="0" w:type="dxa"/>
            <w:right w:w="108" w:type="dxa"/>
          </w:tblCellMar>
        </w:tblPrEx>
        <w:trPr>
          <w:gridAfter w:val="1"/>
          <w:wAfter w:w="30" w:type="dxa"/>
        </w:trPr>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6B644948"/>
        </w:tc>
        <w:tc>
          <w:tcPr>
            <w:tcW w:w="400" w:type="dxa"/>
            <w:tcBorders>
              <w:top w:val="single" w:color="auto" w:sz="10" w:space="0"/>
              <w:left w:val="single" w:color="auto" w:sz="10" w:space="0"/>
              <w:bottom w:val="single" w:color="auto" w:sz="10" w:space="0"/>
              <w:right w:val="single" w:color="auto" w:sz="10" w:space="0"/>
              <w:insideV w:val="single" w:sz="10" w:space="0"/>
            </w:tcBorders>
            <w:vAlign w:val="center"/>
          </w:tcPr>
          <w:p w14:paraId="263E98F1">
            <w:pPr>
              <w:jc w:val="center"/>
            </w:pPr>
            <w:r>
              <w:rPr>
                <w:rFonts w:ascii="宋体" w:hAnsi="宋体" w:eastAsia="宋体"/>
                <w:sz w:val="16"/>
              </w:rPr>
              <w:t>满意度指标</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71451455">
            <w:pPr>
              <w:jc w:val="center"/>
            </w:pPr>
            <w:r>
              <w:rPr>
                <w:rFonts w:ascii="宋体" w:hAnsi="宋体" w:eastAsia="宋体"/>
                <w:sz w:val="16"/>
              </w:rPr>
              <w:t>满意度指标</w:t>
            </w:r>
          </w:p>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488E6A06">
            <w:pPr>
              <w:jc w:val="center"/>
            </w:pPr>
            <w:r>
              <w:rPr>
                <w:rFonts w:ascii="宋体" w:hAnsi="宋体" w:eastAsia="宋体"/>
                <w:sz w:val="16"/>
              </w:rPr>
              <w:t>缴存职工满意度</w:t>
            </w:r>
          </w:p>
        </w:tc>
        <w:tc>
          <w:tcPr>
            <w:tcW w:w="387" w:type="dxa"/>
            <w:tcBorders>
              <w:top w:val="single" w:color="auto" w:sz="10" w:space="0"/>
              <w:left w:val="single" w:color="auto" w:sz="10" w:space="0"/>
              <w:bottom w:val="single" w:color="auto" w:sz="10" w:space="0"/>
              <w:right w:val="single" w:color="auto" w:sz="10" w:space="0"/>
              <w:insideV w:val="single" w:sz="10" w:space="0"/>
            </w:tcBorders>
            <w:vAlign w:val="center"/>
          </w:tcPr>
          <w:p w14:paraId="21FBEA8C">
            <w:pPr>
              <w:jc w:val="center"/>
            </w:pPr>
            <w:r>
              <w:rPr>
                <w:rFonts w:ascii="宋体" w:hAnsi="宋体" w:eastAsia="宋体"/>
                <w:sz w:val="16"/>
              </w:rPr>
              <w:t>10</w:t>
            </w:r>
          </w:p>
        </w:tc>
        <w:tc>
          <w:tcPr>
            <w:tcW w:w="560" w:type="dxa"/>
            <w:tcBorders>
              <w:top w:val="single" w:color="auto" w:sz="10" w:space="0"/>
              <w:left w:val="single" w:color="auto" w:sz="10" w:space="0"/>
              <w:bottom w:val="single" w:color="auto" w:sz="10" w:space="0"/>
              <w:right w:val="single" w:color="auto" w:sz="10" w:space="0"/>
              <w:insideV w:val="single" w:sz="10" w:space="0"/>
            </w:tcBorders>
            <w:vAlign w:val="center"/>
          </w:tcPr>
          <w:p w14:paraId="48AC7316">
            <w:pPr>
              <w:jc w:val="center"/>
            </w:pPr>
            <w:r>
              <w:rPr>
                <w:rFonts w:ascii="宋体" w:hAnsi="宋体" w:eastAsia="宋体"/>
                <w:sz w:val="16"/>
              </w:rPr>
              <w:t>&gt;=90%</w:t>
            </w:r>
          </w:p>
        </w:tc>
        <w:tc>
          <w:tcPr>
            <w:tcW w:w="7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168455">
            <w:pPr>
              <w:jc w:val="center"/>
            </w:pPr>
            <w:r>
              <w:rPr>
                <w:rFonts w:ascii="宋体" w:hAnsi="宋体" w:eastAsia="宋体"/>
                <w:sz w:val="16"/>
              </w:rPr>
              <w:t>=99.87%</w:t>
            </w:r>
          </w:p>
        </w:tc>
        <w:tc>
          <w:tcPr>
            <w:tcW w:w="674" w:type="dxa"/>
            <w:tcBorders>
              <w:top w:val="single" w:color="auto" w:sz="10" w:space="0"/>
              <w:left w:val="single" w:color="auto" w:sz="10" w:space="0"/>
              <w:bottom w:val="single" w:color="auto" w:sz="10" w:space="0"/>
              <w:right w:val="single" w:color="auto" w:sz="10" w:space="0"/>
              <w:insideV w:val="single" w:sz="10" w:space="0"/>
            </w:tcBorders>
            <w:vAlign w:val="center"/>
          </w:tcPr>
          <w:p w14:paraId="634CAF7B">
            <w:pPr>
              <w:jc w:val="center"/>
            </w:pPr>
            <w:r>
              <w:rPr>
                <w:rFonts w:ascii="宋体" w:hAnsi="宋体" w:eastAsia="宋体"/>
                <w:sz w:val="16"/>
              </w:rPr>
              <w:t>110.97%</w:t>
            </w:r>
          </w:p>
        </w:tc>
        <w:tc>
          <w:tcPr>
            <w:tcW w:w="474" w:type="dxa"/>
            <w:tcBorders>
              <w:top w:val="single" w:color="auto" w:sz="10" w:space="0"/>
              <w:left w:val="single" w:color="auto" w:sz="10" w:space="0"/>
              <w:bottom w:val="single" w:color="auto" w:sz="10" w:space="0"/>
              <w:right w:val="single" w:color="auto" w:sz="10" w:space="0"/>
              <w:insideV w:val="single" w:sz="10" w:space="0"/>
            </w:tcBorders>
            <w:vAlign w:val="center"/>
          </w:tcPr>
          <w:p w14:paraId="565E909B">
            <w:pPr>
              <w:jc w:val="center"/>
            </w:pPr>
            <w:r>
              <w:rPr>
                <w:rFonts w:ascii="宋体" w:hAnsi="宋体" w:eastAsia="宋体"/>
                <w:sz w:val="16"/>
              </w:rPr>
              <w:t>10</w:t>
            </w:r>
          </w:p>
        </w:tc>
        <w:tc>
          <w:tcPr>
            <w:tcW w:w="598" w:type="dxa"/>
            <w:tcBorders>
              <w:top w:val="single" w:color="auto" w:sz="10" w:space="0"/>
              <w:left w:val="single" w:color="auto" w:sz="10" w:space="0"/>
              <w:bottom w:val="single" w:color="auto" w:sz="10" w:space="0"/>
              <w:right w:val="single" w:color="auto" w:sz="10" w:space="0"/>
              <w:insideV w:val="single" w:sz="10" w:space="0"/>
            </w:tcBorders>
            <w:vAlign w:val="center"/>
          </w:tcPr>
          <w:p w14:paraId="5B44AF98">
            <w:pPr>
              <w:jc w:val="center"/>
            </w:pPr>
            <w:r>
              <w:rPr>
                <w:rFonts w:ascii="宋体" w:hAnsi="宋体" w:eastAsia="宋体"/>
                <w:sz w:val="16"/>
              </w:rPr>
              <w:t>计划标准</w:t>
            </w:r>
          </w:p>
        </w:tc>
        <w:tc>
          <w:tcPr>
            <w:tcW w:w="562" w:type="dxa"/>
            <w:tcBorders>
              <w:top w:val="single" w:color="auto" w:sz="10" w:space="0"/>
              <w:left w:val="single" w:color="auto" w:sz="10" w:space="0"/>
              <w:bottom w:val="single" w:color="auto" w:sz="10" w:space="0"/>
              <w:right w:val="single" w:color="auto" w:sz="10" w:space="0"/>
              <w:insideV w:val="single" w:sz="10" w:space="0"/>
            </w:tcBorders>
            <w:vAlign w:val="center"/>
          </w:tcPr>
          <w:p w14:paraId="2B9BFB19">
            <w:pPr>
              <w:jc w:val="center"/>
            </w:pPr>
            <w:r>
              <w:rPr>
                <w:rFonts w:ascii="宋体" w:hAnsi="宋体" w:eastAsia="宋体"/>
                <w:sz w:val="16"/>
              </w:rPr>
              <w:t>/</w:t>
            </w:r>
          </w:p>
        </w:tc>
        <w:tc>
          <w:tcPr>
            <w:tcW w:w="573" w:type="dxa"/>
            <w:tcBorders>
              <w:top w:val="single" w:color="auto" w:sz="10" w:space="0"/>
              <w:left w:val="single" w:color="auto" w:sz="10" w:space="0"/>
              <w:bottom w:val="single" w:color="auto" w:sz="10" w:space="0"/>
              <w:right w:val="single" w:color="auto" w:sz="10" w:space="0"/>
              <w:insideV w:val="single" w:sz="10" w:space="0"/>
            </w:tcBorders>
            <w:vAlign w:val="center"/>
          </w:tcPr>
          <w:p w14:paraId="29D141F0">
            <w:pPr>
              <w:jc w:val="center"/>
            </w:pPr>
            <w:r>
              <w:rPr>
                <w:rFonts w:ascii="宋体" w:hAnsi="宋体" w:eastAsia="宋体"/>
                <w:sz w:val="16"/>
              </w:rPr>
              <w:t>满意度赋分</w:t>
            </w:r>
          </w:p>
        </w:tc>
        <w:tc>
          <w:tcPr>
            <w:tcW w:w="68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88E036">
            <w:pPr>
              <w:jc w:val="center"/>
            </w:pPr>
            <w:r>
              <w:rPr>
                <w:rFonts w:ascii="宋体" w:hAnsi="宋体" w:eastAsia="宋体"/>
                <w:sz w:val="16"/>
              </w:rPr>
              <w:t>工作资料</w:t>
            </w:r>
          </w:p>
        </w:tc>
        <w:tc>
          <w:tcPr>
            <w:tcW w:w="1545" w:type="dxa"/>
            <w:tcBorders>
              <w:top w:val="single" w:color="auto" w:sz="10" w:space="0"/>
              <w:left w:val="single" w:color="auto" w:sz="10" w:space="0"/>
              <w:bottom w:val="single" w:color="auto" w:sz="10" w:space="0"/>
              <w:right w:val="single" w:color="auto" w:sz="10" w:space="0"/>
              <w:insideV w:val="single" w:sz="10" w:space="0"/>
            </w:tcBorders>
            <w:vAlign w:val="center"/>
          </w:tcPr>
          <w:p w14:paraId="515D4D67">
            <w:pPr>
              <w:jc w:val="center"/>
            </w:pPr>
            <w:r>
              <w:rPr>
                <w:rFonts w:ascii="宋体" w:hAnsi="宋体" w:eastAsia="宋体"/>
                <w:sz w:val="16"/>
              </w:rPr>
              <w:t>年度指标设置不够精准，造成偏差。</w:t>
            </w:r>
          </w:p>
        </w:tc>
      </w:tr>
      <w:tr w14:paraId="41D2B413">
        <w:tblPrEx>
          <w:tblCellMar>
            <w:top w:w="0" w:type="dxa"/>
            <w:left w:w="108" w:type="dxa"/>
            <w:bottom w:w="0" w:type="dxa"/>
            <w:right w:w="108" w:type="dxa"/>
          </w:tblCellMar>
        </w:tblPrEx>
        <w:tc>
          <w:tcPr>
            <w:tcW w:w="1647"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8E9658D">
            <w:pPr>
              <w:jc w:val="center"/>
            </w:pPr>
            <w:r>
              <w:rPr>
                <w:rFonts w:ascii="宋体" w:hAnsi="宋体" w:eastAsia="宋体"/>
                <w:sz w:val="16"/>
              </w:rPr>
              <w:t>总分</w:t>
            </w:r>
          </w:p>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50E7BC63">
            <w:pPr>
              <w:jc w:val="center"/>
            </w:pPr>
            <w:r>
              <w:rPr>
                <w:rFonts w:ascii="宋体" w:hAnsi="宋体" w:eastAsia="宋体"/>
                <w:sz w:val="16"/>
              </w:rPr>
              <w:t>100</w:t>
            </w:r>
          </w:p>
        </w:tc>
        <w:tc>
          <w:tcPr>
            <w:tcW w:w="947" w:type="dxa"/>
            <w:gridSpan w:val="2"/>
            <w:tcBorders>
              <w:top w:val="single" w:color="auto" w:sz="10" w:space="0"/>
              <w:left w:val="single" w:color="auto" w:sz="10" w:space="0"/>
              <w:bottom w:val="single" w:color="auto" w:sz="10" w:space="0"/>
              <w:right w:val="single" w:color="auto" w:sz="10" w:space="0"/>
              <w:insideV w:val="single" w:sz="10" w:space="0"/>
            </w:tcBorders>
          </w:tcPr>
          <w:p w14:paraId="6428D7B8"/>
        </w:tc>
        <w:tc>
          <w:tcPr>
            <w:tcW w:w="732" w:type="dxa"/>
            <w:gridSpan w:val="2"/>
            <w:tcBorders>
              <w:top w:val="single" w:color="auto" w:sz="10" w:space="0"/>
              <w:left w:val="single" w:color="auto" w:sz="10" w:space="0"/>
              <w:bottom w:val="single" w:color="auto" w:sz="10" w:space="0"/>
              <w:right w:val="single" w:color="auto" w:sz="10" w:space="0"/>
              <w:insideV w:val="single" w:sz="10" w:space="0"/>
            </w:tcBorders>
          </w:tcPr>
          <w:p w14:paraId="221F91F6"/>
        </w:tc>
        <w:tc>
          <w:tcPr>
            <w:tcW w:w="674" w:type="dxa"/>
            <w:tcBorders>
              <w:top w:val="single" w:color="auto" w:sz="10" w:space="0"/>
              <w:left w:val="single" w:color="auto" w:sz="10" w:space="0"/>
              <w:bottom w:val="single" w:color="auto" w:sz="10" w:space="0"/>
              <w:right w:val="single" w:color="auto" w:sz="10" w:space="0"/>
              <w:insideV w:val="single" w:sz="10" w:space="0"/>
            </w:tcBorders>
          </w:tcPr>
          <w:p w14:paraId="19345DB2"/>
        </w:tc>
        <w:tc>
          <w:tcPr>
            <w:tcW w:w="474" w:type="dxa"/>
            <w:tcBorders>
              <w:top w:val="single" w:color="auto" w:sz="10" w:space="0"/>
              <w:left w:val="single" w:color="auto" w:sz="10" w:space="0"/>
              <w:bottom w:val="single" w:color="auto" w:sz="10" w:space="0"/>
              <w:right w:val="single" w:color="auto" w:sz="10" w:space="0"/>
              <w:insideV w:val="single" w:sz="10" w:space="0"/>
            </w:tcBorders>
            <w:vAlign w:val="center"/>
          </w:tcPr>
          <w:p w14:paraId="67690F01">
            <w:pPr>
              <w:jc w:val="center"/>
            </w:pPr>
            <w:r>
              <w:rPr>
                <w:rFonts w:ascii="宋体" w:hAnsi="宋体" w:eastAsia="宋体"/>
                <w:sz w:val="16"/>
              </w:rPr>
              <w:t>92.95分</w:t>
            </w:r>
          </w:p>
        </w:tc>
        <w:tc>
          <w:tcPr>
            <w:tcW w:w="598" w:type="dxa"/>
            <w:tcBorders>
              <w:top w:val="single" w:color="auto" w:sz="10" w:space="0"/>
              <w:left w:val="single" w:color="auto" w:sz="10" w:space="0"/>
              <w:bottom w:val="single" w:color="auto" w:sz="10" w:space="0"/>
              <w:right w:val="single" w:color="auto" w:sz="10" w:space="0"/>
              <w:insideV w:val="single" w:sz="10" w:space="0"/>
            </w:tcBorders>
          </w:tcPr>
          <w:p w14:paraId="2FA1C838"/>
        </w:tc>
        <w:tc>
          <w:tcPr>
            <w:tcW w:w="562" w:type="dxa"/>
            <w:tcBorders>
              <w:top w:val="single" w:color="auto" w:sz="10" w:space="0"/>
              <w:left w:val="single" w:color="auto" w:sz="10" w:space="0"/>
              <w:bottom w:val="single" w:color="auto" w:sz="10" w:space="0"/>
              <w:right w:val="single" w:color="auto" w:sz="10" w:space="0"/>
              <w:insideV w:val="single" w:sz="10" w:space="0"/>
            </w:tcBorders>
          </w:tcPr>
          <w:p w14:paraId="47AE6560"/>
        </w:tc>
        <w:tc>
          <w:tcPr>
            <w:tcW w:w="573" w:type="dxa"/>
            <w:tcBorders>
              <w:top w:val="single" w:color="auto" w:sz="10" w:space="0"/>
              <w:left w:val="single" w:color="auto" w:sz="10" w:space="0"/>
              <w:bottom w:val="single" w:color="auto" w:sz="10" w:space="0"/>
              <w:right w:val="single" w:color="auto" w:sz="10" w:space="0"/>
              <w:insideV w:val="single" w:sz="10" w:space="0"/>
            </w:tcBorders>
          </w:tcPr>
          <w:p w14:paraId="43FB3266"/>
        </w:tc>
        <w:tc>
          <w:tcPr>
            <w:tcW w:w="680" w:type="dxa"/>
            <w:gridSpan w:val="2"/>
            <w:tcBorders>
              <w:top w:val="single" w:color="auto" w:sz="10" w:space="0"/>
              <w:left w:val="single" w:color="auto" w:sz="10" w:space="0"/>
              <w:bottom w:val="single" w:color="auto" w:sz="10" w:space="0"/>
              <w:right w:val="single" w:color="auto" w:sz="10" w:space="0"/>
              <w:insideV w:val="single" w:sz="10" w:space="0"/>
            </w:tcBorders>
          </w:tcPr>
          <w:p w14:paraId="7E61EAE1"/>
        </w:tc>
        <w:tc>
          <w:tcPr>
            <w:tcW w:w="1575" w:type="dxa"/>
            <w:gridSpan w:val="2"/>
            <w:tcBorders>
              <w:top w:val="single" w:color="auto" w:sz="10" w:space="0"/>
              <w:left w:val="single" w:color="auto" w:sz="10" w:space="0"/>
              <w:bottom w:val="single" w:color="auto" w:sz="10" w:space="0"/>
              <w:right w:val="single" w:color="auto" w:sz="10" w:space="0"/>
              <w:insideV w:val="single" w:sz="10" w:space="0"/>
            </w:tcBorders>
          </w:tcPr>
          <w:p w14:paraId="21B3123F"/>
        </w:tc>
      </w:tr>
    </w:tbl>
    <w:p w14:paraId="0E7D1578">
      <w:r>
        <w:br w:type="page"/>
      </w:r>
    </w:p>
    <w:tbl>
      <w:tblPr>
        <w:tblStyle w:val="9"/>
        <w:tblW w:w="0" w:type="auto"/>
        <w:tblInd w:w="0" w:type="dxa"/>
        <w:tblLayout w:type="autofit"/>
        <w:tblCellMar>
          <w:top w:w="0" w:type="dxa"/>
          <w:left w:w="108" w:type="dxa"/>
          <w:bottom w:w="0" w:type="dxa"/>
          <w:right w:w="108" w:type="dxa"/>
        </w:tblCellMar>
      </w:tblPr>
      <w:tblGrid>
        <w:gridCol w:w="613"/>
        <w:gridCol w:w="581"/>
        <w:gridCol w:w="581"/>
        <w:gridCol w:w="581"/>
        <w:gridCol w:w="597"/>
        <w:gridCol w:w="856"/>
        <w:gridCol w:w="776"/>
        <w:gridCol w:w="776"/>
        <w:gridCol w:w="629"/>
        <w:gridCol w:w="581"/>
        <w:gridCol w:w="696"/>
        <w:gridCol w:w="581"/>
        <w:gridCol w:w="582"/>
        <w:gridCol w:w="630"/>
      </w:tblGrid>
      <w:tr w14:paraId="76DBB62F">
        <w:tc>
          <w:tcPr>
            <w:tcW w:w="8848" w:type="dxa"/>
            <w:gridSpan w:val="14"/>
            <w:vAlign w:val="center"/>
          </w:tcPr>
          <w:p w14:paraId="28DF168A">
            <w:pPr>
              <w:jc w:val="center"/>
            </w:pPr>
            <w:r>
              <w:rPr>
                <w:rFonts w:ascii="宋体" w:hAnsi="宋体" w:eastAsia="宋体"/>
                <w:sz w:val="24"/>
              </w:rPr>
              <w:t>项目支出绩效自评表</w:t>
            </w:r>
          </w:p>
        </w:tc>
      </w:tr>
      <w:tr w14:paraId="154FA4F9">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050F9D8">
            <w:pPr>
              <w:jc w:val="center"/>
            </w:pPr>
            <w:r>
              <w:rPr>
                <w:rFonts w:ascii="宋体" w:hAnsi="宋体" w:eastAsia="宋体"/>
                <w:sz w:val="24"/>
              </w:rPr>
              <w:t>(2024年度)</w:t>
            </w:r>
          </w:p>
        </w:tc>
      </w:tr>
      <w:tr w14:paraId="611A3C5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A3A32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E30FD7D">
            <w:pPr>
              <w:jc w:val="center"/>
            </w:pPr>
            <w:r>
              <w:rPr>
                <w:rFonts w:ascii="宋体" w:hAnsi="宋体" w:eastAsia="宋体"/>
                <w:sz w:val="16"/>
              </w:rPr>
              <w:t>信息化建设</w:t>
            </w:r>
          </w:p>
        </w:tc>
      </w:tr>
      <w:tr w14:paraId="0F446A4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A0EF89">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6077564">
            <w:pPr>
              <w:jc w:val="center"/>
            </w:pPr>
            <w:r>
              <w:rPr>
                <w:rFonts w:ascii="宋体" w:hAnsi="宋体" w:eastAsia="宋体"/>
                <w:sz w:val="16"/>
              </w:rPr>
              <w:t>昌吉回族自治州住房公积金管理中心本级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42B43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9A49668">
            <w:pPr>
              <w:jc w:val="center"/>
            </w:pPr>
            <w:r>
              <w:rPr>
                <w:rFonts w:ascii="宋体" w:hAnsi="宋体" w:eastAsia="宋体"/>
                <w:sz w:val="16"/>
              </w:rPr>
              <w:t>昌吉回族自治州住房公积金管理中心本级</w:t>
            </w:r>
          </w:p>
        </w:tc>
      </w:tr>
      <w:tr w14:paraId="7360157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392E36">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5093D4">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C4441B">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C7A5C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AEBFDA">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785177">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33C14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29A8C2">
            <w:pPr>
              <w:jc w:val="center"/>
            </w:pPr>
            <w:r>
              <w:rPr>
                <w:rFonts w:ascii="宋体" w:hAnsi="宋体" w:eastAsia="宋体"/>
                <w:sz w:val="16"/>
              </w:rPr>
              <w:t>得分</w:t>
            </w:r>
          </w:p>
        </w:tc>
      </w:tr>
      <w:tr w14:paraId="7B71269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F29A7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D7B03F">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3E49AE">
            <w:pPr>
              <w:jc w:val="center"/>
            </w:pPr>
            <w:r>
              <w:rPr>
                <w:rFonts w:ascii="宋体" w:hAnsi="宋体" w:eastAsia="宋体"/>
                <w:sz w:val="16"/>
              </w:rPr>
              <w:t>342.00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2417C2">
            <w:pPr>
              <w:jc w:val="center"/>
            </w:pPr>
            <w:r>
              <w:rPr>
                <w:rFonts w:ascii="宋体" w:hAnsi="宋体" w:eastAsia="宋体"/>
                <w:sz w:val="16"/>
              </w:rPr>
              <w:t>342.00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AE5A7E">
            <w:pPr>
              <w:jc w:val="center"/>
            </w:pPr>
            <w:r>
              <w:rPr>
                <w:rFonts w:ascii="宋体" w:hAnsi="宋体" w:eastAsia="宋体"/>
                <w:sz w:val="16"/>
              </w:rPr>
              <w:t>321.24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5443D7">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917D8D">
            <w:pPr>
              <w:jc w:val="center"/>
            </w:pPr>
            <w:r>
              <w:rPr>
                <w:rFonts w:ascii="宋体" w:hAnsi="宋体" w:eastAsia="宋体"/>
                <w:sz w:val="16"/>
              </w:rPr>
              <w:t>93.93%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55975">
            <w:pPr>
              <w:jc w:val="center"/>
            </w:pPr>
            <w:r>
              <w:rPr>
                <w:rFonts w:ascii="宋体" w:hAnsi="宋体" w:eastAsia="宋体"/>
                <w:sz w:val="16"/>
              </w:rPr>
              <w:t>10.00</w:t>
            </w:r>
          </w:p>
        </w:tc>
      </w:tr>
      <w:tr w14:paraId="28DF205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18723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8689CF">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B45D8D">
            <w:pPr>
              <w:jc w:val="center"/>
            </w:pPr>
            <w:r>
              <w:rPr>
                <w:rFonts w:ascii="宋体" w:hAnsi="宋体" w:eastAsia="宋体"/>
                <w:sz w:val="16"/>
              </w:rPr>
              <w:t>342.00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8C8098">
            <w:pPr>
              <w:jc w:val="center"/>
            </w:pPr>
            <w:r>
              <w:rPr>
                <w:rFonts w:ascii="宋体" w:hAnsi="宋体" w:eastAsia="宋体"/>
                <w:sz w:val="16"/>
              </w:rPr>
              <w:t>342.00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5000C0">
            <w:pPr>
              <w:jc w:val="center"/>
            </w:pPr>
            <w:r>
              <w:rPr>
                <w:rFonts w:ascii="宋体" w:hAnsi="宋体" w:eastAsia="宋体"/>
                <w:sz w:val="16"/>
              </w:rPr>
              <w:t>321.24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63AC0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D6D13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737A0">
            <w:pPr>
              <w:jc w:val="center"/>
            </w:pPr>
            <w:r>
              <w:rPr>
                <w:rFonts w:ascii="宋体" w:hAnsi="宋体" w:eastAsia="宋体"/>
                <w:sz w:val="16"/>
              </w:rPr>
              <w:t>—</w:t>
            </w:r>
          </w:p>
        </w:tc>
      </w:tr>
      <w:tr w14:paraId="1AC1046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73493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68121F">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D7511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1A36F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B8D3D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E0F96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8ACBB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7A6D7F">
            <w:pPr>
              <w:jc w:val="center"/>
            </w:pPr>
            <w:r>
              <w:rPr>
                <w:rFonts w:ascii="宋体" w:hAnsi="宋体" w:eastAsia="宋体"/>
                <w:sz w:val="16"/>
              </w:rPr>
              <w:t>—</w:t>
            </w:r>
          </w:p>
        </w:tc>
      </w:tr>
      <w:tr w14:paraId="428C290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C7366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52D2465">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1A374A1">
            <w:pPr>
              <w:jc w:val="center"/>
            </w:pPr>
            <w:r>
              <w:rPr>
                <w:rFonts w:ascii="宋体" w:hAnsi="宋体" w:eastAsia="宋体"/>
                <w:sz w:val="16"/>
              </w:rPr>
              <w:t>实际完成情况</w:t>
            </w:r>
          </w:p>
        </w:tc>
      </w:tr>
      <w:tr w14:paraId="34FA52F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331F10"/>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88049CA">
            <w:pPr>
              <w:jc w:val="both"/>
            </w:pPr>
            <w:r>
              <w:rPr>
                <w:rFonts w:ascii="宋体" w:hAnsi="宋体" w:eastAsia="宋体"/>
                <w:sz w:val="16"/>
              </w:rPr>
              <w:t>根据年初制定的工作计划,有序开展信息化建设项目，通过对公积金业务系统、华为云平台及综合服务平台的运行维护及中心至各县24条线路的运行优化，保障中心业务、办公系统正常运行，稳步推进中心信息化建设工作，有效防范风险，努力实现“信息多跑路，群众少跑腿”工作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7986196">
            <w:pPr>
              <w:jc w:val="both"/>
            </w:pPr>
            <w:r>
              <w:rPr>
                <w:rFonts w:ascii="宋体" w:hAnsi="宋体" w:eastAsia="宋体"/>
                <w:sz w:val="16"/>
              </w:rPr>
              <w:t>截至2024年12月31日，该项目实际完成了公积金业务系统、华为云平台及综合服务平台3个信息系统的运行维护及中心至各县28条线路的运行优化，系统故障率为0%。验收合格率100%，系统故障响应时间为1天，通过该项目的实施，保障中心业务、办公系统正常运行，推进了中心信息化建设工作，服务缴存职工能力提升。</w:t>
            </w:r>
          </w:p>
        </w:tc>
      </w:tr>
      <w:tr w14:paraId="0EF5384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D0B33E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7AAA7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ACAF8">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FC2CE0">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5C75D">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B30B58">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0EE2CC">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965A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5F2EEC">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E87FE">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76D3C">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312BC">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56987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41459A">
            <w:pPr>
              <w:jc w:val="center"/>
            </w:pPr>
            <w:r>
              <w:rPr>
                <w:rFonts w:ascii="宋体" w:hAnsi="宋体" w:eastAsia="宋体"/>
                <w:sz w:val="16"/>
              </w:rPr>
              <w:t>偏差原因分析及改进措施</w:t>
            </w:r>
          </w:p>
        </w:tc>
      </w:tr>
      <w:tr w14:paraId="35F7709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FF136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6C2DD8">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83F927">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E47BE">
            <w:pPr>
              <w:jc w:val="center"/>
            </w:pPr>
            <w:r>
              <w:rPr>
                <w:rFonts w:ascii="宋体" w:hAnsi="宋体" w:eastAsia="宋体"/>
                <w:sz w:val="16"/>
              </w:rPr>
              <w:t>信息系统维护数量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036CD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41801F">
            <w:pPr>
              <w:jc w:val="center"/>
            </w:pPr>
            <w:r>
              <w:rPr>
                <w:rFonts w:ascii="宋体" w:hAnsi="宋体" w:eastAsia="宋体"/>
                <w:sz w:val="16"/>
              </w:rPr>
              <w:t>&gt;=3个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B4C506">
            <w:pPr>
              <w:jc w:val="center"/>
            </w:pPr>
            <w:r>
              <w:rPr>
                <w:rFonts w:ascii="宋体" w:hAnsi="宋体" w:eastAsia="宋体"/>
                <w:sz w:val="16"/>
              </w:rPr>
              <w:t>=3个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A168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3AF79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C9197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B2E2B7">
            <w:pPr>
              <w:jc w:val="center"/>
            </w:pPr>
            <w:r>
              <w:rPr>
                <w:rFonts w:ascii="宋体" w:hAnsi="宋体" w:eastAsia="宋体"/>
                <w:sz w:val="16"/>
              </w:rPr>
              <w:t>=3个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D69F6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E6E5C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41CD8B">
            <w:pPr>
              <w:jc w:val="center"/>
            </w:pPr>
          </w:p>
        </w:tc>
      </w:tr>
      <w:tr w14:paraId="55782F2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95D85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D571E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6CDE1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DAC54A">
            <w:pPr>
              <w:jc w:val="center"/>
            </w:pPr>
            <w:r>
              <w:rPr>
                <w:rFonts w:ascii="宋体" w:hAnsi="宋体" w:eastAsia="宋体"/>
                <w:sz w:val="16"/>
              </w:rPr>
              <w:t>信息化线路数量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0C3B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19918">
            <w:pPr>
              <w:jc w:val="center"/>
            </w:pPr>
            <w:r>
              <w:rPr>
                <w:rFonts w:ascii="宋体" w:hAnsi="宋体" w:eastAsia="宋体"/>
                <w:sz w:val="16"/>
              </w:rPr>
              <w:t>&lt;=26条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82E916">
            <w:pPr>
              <w:jc w:val="center"/>
            </w:pPr>
            <w:r>
              <w:rPr>
                <w:rFonts w:ascii="宋体" w:hAnsi="宋体" w:eastAsia="宋体"/>
                <w:sz w:val="16"/>
              </w:rPr>
              <w:t>=28条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14549B">
            <w:pPr>
              <w:jc w:val="center"/>
            </w:pPr>
            <w:r>
              <w:rPr>
                <w:rFonts w:ascii="宋体" w:hAnsi="宋体" w:eastAsia="宋体"/>
                <w:sz w:val="16"/>
              </w:rPr>
              <w:t>107.69%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CAA5BD">
            <w:pPr>
              <w:jc w:val="center"/>
            </w:pPr>
            <w:r>
              <w:rPr>
                <w:rFonts w:ascii="宋体" w:hAnsi="宋体" w:eastAsia="宋体"/>
                <w:sz w:val="16"/>
              </w:rPr>
              <w:t>4.62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CC65F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2A1334">
            <w:pPr>
              <w:jc w:val="center"/>
            </w:pPr>
            <w:r>
              <w:rPr>
                <w:rFonts w:ascii="宋体" w:hAnsi="宋体" w:eastAsia="宋体"/>
                <w:sz w:val="16"/>
              </w:rPr>
              <w:t>=24条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AB2C8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1F98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07E3D">
            <w:pPr>
              <w:jc w:val="center"/>
            </w:pPr>
          </w:p>
        </w:tc>
      </w:tr>
      <w:tr w14:paraId="748C1BA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D4701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D1DE0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5D90D1">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176ED">
            <w:pPr>
              <w:jc w:val="center"/>
            </w:pPr>
            <w:r>
              <w:rPr>
                <w:rFonts w:ascii="宋体" w:hAnsi="宋体" w:eastAsia="宋体"/>
                <w:sz w:val="16"/>
              </w:rPr>
              <w:t>系统故障率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1EE7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A8616A">
            <w:pPr>
              <w:jc w:val="center"/>
            </w:pPr>
            <w:r>
              <w:rPr>
                <w:rFonts w:ascii="宋体" w:hAnsi="宋体" w:eastAsia="宋体"/>
                <w:sz w:val="16"/>
              </w:rPr>
              <w:t>&lt;=10%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8CF6F8">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9DC29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D0744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CAEAF">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43856E">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AA0F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3380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832A50">
            <w:pPr>
              <w:jc w:val="center"/>
            </w:pPr>
          </w:p>
        </w:tc>
      </w:tr>
      <w:tr w14:paraId="1AEEF15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953B1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75B66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9EAA4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535EF">
            <w:pPr>
              <w:jc w:val="center"/>
            </w:pPr>
            <w:r>
              <w:rPr>
                <w:rFonts w:ascii="宋体" w:hAnsi="宋体" w:eastAsia="宋体"/>
                <w:sz w:val="16"/>
              </w:rPr>
              <w:t>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01569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F37D0">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3B3ED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F1B98">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A3185">
            <w:pPr>
              <w:jc w:val="center"/>
            </w:pPr>
            <w:r>
              <w:rPr>
                <w:rFonts w:ascii="宋体" w:hAnsi="宋体" w:eastAsia="宋体"/>
                <w:sz w:val="16"/>
              </w:rPr>
              <w:t>8.89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F6792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F795C8">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F65F1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60EF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65D2AA">
            <w:pPr>
              <w:jc w:val="center"/>
            </w:pPr>
          </w:p>
        </w:tc>
      </w:tr>
      <w:tr w14:paraId="30A91AD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58AC1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897B2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924A8B">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8B5BCC">
            <w:pPr>
              <w:jc w:val="center"/>
            </w:pPr>
            <w:r>
              <w:rPr>
                <w:rFonts w:ascii="宋体" w:hAnsi="宋体" w:eastAsia="宋体"/>
                <w:sz w:val="16"/>
              </w:rPr>
              <w:t>系统故障响应时间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7F90A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CDF496">
            <w:pPr>
              <w:jc w:val="center"/>
            </w:pPr>
            <w:r>
              <w:rPr>
                <w:rFonts w:ascii="宋体" w:hAnsi="宋体" w:eastAsia="宋体"/>
                <w:sz w:val="16"/>
              </w:rPr>
              <w:t>&lt;=1天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4CF2A6">
            <w:pPr>
              <w:jc w:val="center"/>
            </w:pPr>
            <w:r>
              <w:rPr>
                <w:rFonts w:ascii="宋体" w:hAnsi="宋体" w:eastAsia="宋体"/>
                <w:sz w:val="16"/>
              </w:rPr>
              <w:t>=0天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5C30F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0653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208D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2DB24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8A87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F737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DB7E38">
            <w:pPr>
              <w:jc w:val="center"/>
            </w:pPr>
          </w:p>
        </w:tc>
      </w:tr>
      <w:tr w14:paraId="4E94ED7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8189F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9AA0C2">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E43FF7">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3C9BB7">
            <w:pPr>
              <w:jc w:val="center"/>
            </w:pPr>
            <w:r>
              <w:rPr>
                <w:rFonts w:ascii="宋体" w:hAnsi="宋体" w:eastAsia="宋体"/>
                <w:sz w:val="16"/>
              </w:rPr>
              <w:t>信息系统维护成本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79B92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BAE858">
            <w:pPr>
              <w:jc w:val="center"/>
            </w:pPr>
            <w:r>
              <w:rPr>
                <w:rFonts w:ascii="宋体" w:hAnsi="宋体" w:eastAsia="宋体"/>
                <w:sz w:val="16"/>
              </w:rPr>
              <w:t>&lt;=271.80万元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ACA080">
            <w:pPr>
              <w:jc w:val="center"/>
            </w:pPr>
            <w:r>
              <w:rPr>
                <w:rFonts w:ascii="宋体" w:hAnsi="宋体" w:eastAsia="宋体"/>
                <w:sz w:val="16"/>
              </w:rPr>
              <w:t>=271.8万元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36DF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FCF95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F2DD7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222B6">
            <w:pPr>
              <w:jc w:val="center"/>
            </w:pPr>
            <w:r>
              <w:rPr>
                <w:rFonts w:ascii="宋体" w:hAnsi="宋体" w:eastAsia="宋体"/>
                <w:sz w:val="16"/>
              </w:rPr>
              <w:t>=193.4万元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095C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B5CB0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519703">
            <w:pPr>
              <w:jc w:val="center"/>
            </w:pPr>
          </w:p>
        </w:tc>
      </w:tr>
      <w:tr w14:paraId="7A8A4E9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18F2A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8F633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2CAFF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B20B15">
            <w:pPr>
              <w:jc w:val="center"/>
            </w:pPr>
            <w:r>
              <w:rPr>
                <w:rFonts w:ascii="宋体" w:hAnsi="宋体" w:eastAsia="宋体"/>
                <w:sz w:val="16"/>
              </w:rPr>
              <w:t>信息化线路成本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6A87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E27CF">
            <w:pPr>
              <w:jc w:val="center"/>
            </w:pPr>
            <w:r>
              <w:rPr>
                <w:rFonts w:ascii="宋体" w:hAnsi="宋体" w:eastAsia="宋体"/>
                <w:sz w:val="16"/>
              </w:rPr>
              <w:t>&lt;=35.50万元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B5A350">
            <w:pPr>
              <w:jc w:val="center"/>
            </w:pPr>
            <w:r>
              <w:rPr>
                <w:rFonts w:ascii="宋体" w:hAnsi="宋体" w:eastAsia="宋体"/>
                <w:sz w:val="16"/>
              </w:rPr>
              <w:t>=34.76万元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8CCB75">
            <w:pPr>
              <w:jc w:val="center"/>
            </w:pPr>
            <w:r>
              <w:rPr>
                <w:rFonts w:ascii="宋体" w:hAnsi="宋体" w:eastAsia="宋体"/>
                <w:sz w:val="16"/>
              </w:rPr>
              <w:t>97.92%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4892C">
            <w:pPr>
              <w:jc w:val="center"/>
            </w:pPr>
            <w:r>
              <w:rPr>
                <w:rFonts w:ascii="宋体" w:hAnsi="宋体" w:eastAsia="宋体"/>
                <w:sz w:val="16"/>
              </w:rPr>
              <w:t>9.48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19C67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6DFA03">
            <w:pPr>
              <w:jc w:val="center"/>
            </w:pPr>
            <w:r>
              <w:rPr>
                <w:rFonts w:ascii="宋体" w:hAnsi="宋体" w:eastAsia="宋体"/>
                <w:sz w:val="16"/>
              </w:rPr>
              <w:t>=38万元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09F0B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7546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9C38CA">
            <w:pPr>
              <w:jc w:val="center"/>
            </w:pPr>
          </w:p>
        </w:tc>
      </w:tr>
      <w:tr w14:paraId="322C78F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368F8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C65FFB">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78EDFA">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2E027">
            <w:pPr>
              <w:jc w:val="center"/>
            </w:pPr>
            <w:r>
              <w:rPr>
                <w:rFonts w:ascii="宋体" w:hAnsi="宋体" w:eastAsia="宋体"/>
                <w:sz w:val="16"/>
              </w:rPr>
              <w:t>服务缴存职工能力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F5D16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8F3E6">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87D69E">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92813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1B058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700DD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91875B">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2E1257">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5D250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5D6BFD">
            <w:pPr>
              <w:jc w:val="center"/>
            </w:pPr>
          </w:p>
        </w:tc>
      </w:tr>
      <w:tr w14:paraId="046652E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40B3C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DBD4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C9D87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40AA8">
            <w:pPr>
              <w:jc w:val="center"/>
            </w:pPr>
            <w:r>
              <w:rPr>
                <w:rFonts w:ascii="宋体" w:hAnsi="宋体" w:eastAsia="宋体"/>
                <w:sz w:val="16"/>
              </w:rPr>
              <w:t>缴存职工满意度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AC75A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2FEDF">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AB47C">
            <w:pPr>
              <w:jc w:val="center"/>
            </w:pPr>
            <w:r>
              <w:rPr>
                <w:rFonts w:ascii="宋体" w:hAnsi="宋体" w:eastAsia="宋体"/>
                <w:sz w:val="16"/>
              </w:rPr>
              <w:t>=99.98%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A23A10">
            <w:pPr>
              <w:jc w:val="center"/>
            </w:pPr>
            <w:r>
              <w:rPr>
                <w:rFonts w:ascii="宋体" w:hAnsi="宋体" w:eastAsia="宋体"/>
                <w:sz w:val="16"/>
              </w:rPr>
              <w:t>110.97%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2904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CC3A8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8587EE">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27C82">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7A8D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3FE464">
            <w:pPr>
              <w:jc w:val="center"/>
            </w:pPr>
          </w:p>
        </w:tc>
      </w:tr>
      <w:tr w14:paraId="795D05EE">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5203E0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AFB7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5E07A2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3AED8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88B585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EA763">
            <w:pPr>
              <w:jc w:val="center"/>
            </w:pPr>
            <w:r>
              <w:rPr>
                <w:rFonts w:ascii="宋体" w:hAnsi="宋体" w:eastAsia="宋体"/>
                <w:sz w:val="16"/>
              </w:rPr>
              <w:t>97.99分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D19D6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020E1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131E3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CF3E5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FDB0C04"/>
        </w:tc>
      </w:tr>
    </w:tbl>
    <w:p w14:paraId="227377E1">
      <w:r>
        <w:br w:type="page"/>
      </w:r>
    </w:p>
    <w:p w14:paraId="120A384E">
      <w:pPr>
        <w:spacing w:line="640" w:lineRule="exact"/>
        <w:ind w:firstLine="640"/>
        <w:jc w:val="both"/>
        <w:outlineLvl w:val="2"/>
      </w:pPr>
      <w:r>
        <w:rPr>
          <w:rFonts w:ascii="黑体" w:hAnsi="黑体" w:eastAsia="黑体"/>
          <w:sz w:val="32"/>
        </w:rPr>
        <w:t>十二、其他需说明的事项</w:t>
      </w:r>
    </w:p>
    <w:p w14:paraId="5CE6881D">
      <w:pPr>
        <w:spacing w:line="580" w:lineRule="exact"/>
        <w:ind w:firstLine="640"/>
        <w:jc w:val="both"/>
      </w:pPr>
      <w:r>
        <w:rPr>
          <w:rFonts w:ascii="仿宋_GB2312" w:hAnsi="仿宋_GB2312" w:eastAsia="仿宋_GB2312"/>
          <w:b w:val="0"/>
          <w:sz w:val="32"/>
        </w:rPr>
        <w:t>本单位无其他需说明的事项。</w:t>
      </w:r>
    </w:p>
    <w:p w14:paraId="256124D4">
      <w:r>
        <w:br w:type="page"/>
      </w:r>
    </w:p>
    <w:p w14:paraId="73C1272E">
      <w:pPr>
        <w:spacing w:line="240" w:lineRule="auto"/>
        <w:jc w:val="center"/>
        <w:outlineLvl w:val="1"/>
      </w:pPr>
      <w:r>
        <w:rPr>
          <w:rFonts w:ascii="黑体" w:hAnsi="黑体" w:eastAsia="黑体"/>
          <w:sz w:val="32"/>
        </w:rPr>
        <w:t>第三部分 专业名词解释</w:t>
      </w:r>
    </w:p>
    <w:p w14:paraId="7A079FE8">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168A7204">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751A8ECC">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0CF01187">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70A6AF4A">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1CCB16F7">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180B932D">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035CF9C2">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277F7108">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4A944BB4">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1F69E86D">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56E0A396">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254647CB">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1926406D">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1552104E">
      <w:r>
        <w:br w:type="page"/>
      </w:r>
    </w:p>
    <w:p w14:paraId="76761361">
      <w:pPr>
        <w:spacing w:line="240" w:lineRule="auto"/>
        <w:jc w:val="center"/>
        <w:outlineLvl w:val="1"/>
      </w:pPr>
      <w:r>
        <w:rPr>
          <w:rFonts w:ascii="黑体" w:hAnsi="黑体" w:eastAsia="黑体"/>
          <w:sz w:val="32"/>
        </w:rPr>
        <w:t>第四部分 部门决算报表（见附表）</w:t>
      </w:r>
    </w:p>
    <w:p w14:paraId="548F4E9A">
      <w:pPr>
        <w:spacing w:line="240" w:lineRule="auto"/>
        <w:ind w:firstLine="640"/>
        <w:jc w:val="both"/>
      </w:pPr>
      <w:r>
        <w:rPr>
          <w:rFonts w:ascii="仿宋_GB2312" w:hAnsi="仿宋_GB2312" w:eastAsia="仿宋_GB2312"/>
          <w:b w:val="0"/>
          <w:sz w:val="32"/>
        </w:rPr>
        <w:t>一、《收入支出决算总表》</w:t>
      </w:r>
    </w:p>
    <w:p w14:paraId="022E7D2C">
      <w:pPr>
        <w:spacing w:line="240" w:lineRule="auto"/>
        <w:ind w:firstLine="640"/>
        <w:jc w:val="both"/>
      </w:pPr>
      <w:r>
        <w:rPr>
          <w:rFonts w:ascii="仿宋_GB2312" w:hAnsi="仿宋_GB2312" w:eastAsia="仿宋_GB2312"/>
          <w:b w:val="0"/>
          <w:sz w:val="32"/>
        </w:rPr>
        <w:t>二、《收入决算表》</w:t>
      </w:r>
    </w:p>
    <w:p w14:paraId="580F786E">
      <w:pPr>
        <w:spacing w:line="240" w:lineRule="auto"/>
        <w:ind w:firstLine="640"/>
        <w:jc w:val="both"/>
      </w:pPr>
      <w:r>
        <w:rPr>
          <w:rFonts w:ascii="仿宋_GB2312" w:hAnsi="仿宋_GB2312" w:eastAsia="仿宋_GB2312"/>
          <w:b w:val="0"/>
          <w:sz w:val="32"/>
        </w:rPr>
        <w:t>三、《支出决算表》</w:t>
      </w:r>
    </w:p>
    <w:p w14:paraId="676A46F2">
      <w:pPr>
        <w:spacing w:line="240" w:lineRule="auto"/>
        <w:ind w:firstLine="640"/>
        <w:jc w:val="both"/>
      </w:pPr>
      <w:r>
        <w:rPr>
          <w:rFonts w:ascii="仿宋_GB2312" w:hAnsi="仿宋_GB2312" w:eastAsia="仿宋_GB2312"/>
          <w:b w:val="0"/>
          <w:sz w:val="32"/>
        </w:rPr>
        <w:t>四、《财政拨款收入支出决算总表》</w:t>
      </w:r>
    </w:p>
    <w:p w14:paraId="24BBD104">
      <w:pPr>
        <w:spacing w:line="240" w:lineRule="auto"/>
        <w:ind w:firstLine="640"/>
        <w:jc w:val="both"/>
      </w:pPr>
      <w:r>
        <w:rPr>
          <w:rFonts w:ascii="仿宋_GB2312" w:hAnsi="仿宋_GB2312" w:eastAsia="仿宋_GB2312"/>
          <w:b w:val="0"/>
          <w:sz w:val="32"/>
        </w:rPr>
        <w:t>五、《一般公共预算财政拨款支出决算表》</w:t>
      </w:r>
    </w:p>
    <w:p w14:paraId="1F0AE413">
      <w:pPr>
        <w:spacing w:line="240" w:lineRule="auto"/>
        <w:ind w:firstLine="640"/>
        <w:jc w:val="both"/>
      </w:pPr>
      <w:r>
        <w:rPr>
          <w:rFonts w:ascii="仿宋_GB2312" w:hAnsi="仿宋_GB2312" w:eastAsia="仿宋_GB2312"/>
          <w:b w:val="0"/>
          <w:sz w:val="32"/>
        </w:rPr>
        <w:t>六、《一般公共预算财政拨款基本支出决算表》</w:t>
      </w:r>
    </w:p>
    <w:p w14:paraId="4E5861F7">
      <w:pPr>
        <w:spacing w:line="240" w:lineRule="auto"/>
        <w:ind w:firstLine="640"/>
        <w:jc w:val="both"/>
      </w:pPr>
      <w:r>
        <w:rPr>
          <w:rFonts w:ascii="仿宋_GB2312" w:hAnsi="仿宋_GB2312" w:eastAsia="仿宋_GB2312"/>
          <w:b w:val="0"/>
          <w:sz w:val="32"/>
        </w:rPr>
        <w:t>七、《政府性基金预算财政拨款收入支出决算表》</w:t>
      </w:r>
    </w:p>
    <w:p w14:paraId="084F190B">
      <w:pPr>
        <w:spacing w:line="240" w:lineRule="auto"/>
        <w:ind w:firstLine="640"/>
        <w:jc w:val="both"/>
      </w:pPr>
      <w:r>
        <w:rPr>
          <w:rFonts w:ascii="仿宋_GB2312" w:hAnsi="仿宋_GB2312" w:eastAsia="仿宋_GB2312"/>
          <w:b w:val="0"/>
          <w:sz w:val="32"/>
        </w:rPr>
        <w:t>八、《国有资本经营预算财政拨款收入支出决算表》</w:t>
      </w:r>
    </w:p>
    <w:p w14:paraId="2D434587">
      <w:pPr>
        <w:spacing w:line="240" w:lineRule="auto"/>
        <w:ind w:firstLine="640"/>
        <w:jc w:val="both"/>
      </w:pPr>
      <w:r>
        <w:rPr>
          <w:rFonts w:ascii="仿宋_GB2312" w:hAnsi="仿宋_GB2312" w:eastAsia="仿宋_GB2312"/>
          <w:b w:val="0"/>
          <w:sz w:val="32"/>
        </w:rPr>
        <w:t>九、《财政拨款“三公”经费支出决算表》</w:t>
      </w:r>
    </w:p>
    <w:p w14:paraId="3DED6C97">
      <w:pPr>
        <w:spacing w:line="240" w:lineRule="auto"/>
        <w:ind w:firstLine="640"/>
        <w:jc w:val="both"/>
      </w:pPr>
    </w:p>
    <w:p w14:paraId="100478C9">
      <w:pPr>
        <w:spacing w:line="240" w:lineRule="auto"/>
        <w:ind w:firstLine="640"/>
        <w:jc w:val="both"/>
      </w:pPr>
    </w:p>
    <w:p w14:paraId="57868071">
      <w:pPr>
        <w:spacing w:line="240" w:lineRule="auto"/>
        <w:ind w:firstLine="640"/>
        <w:jc w:val="both"/>
      </w:pPr>
    </w:p>
    <w:p w14:paraId="7D36D9A8">
      <w:pPr>
        <w:spacing w:line="240" w:lineRule="auto"/>
        <w:ind w:firstLine="640"/>
        <w:jc w:val="both"/>
      </w:pPr>
    </w:p>
    <w:p w14:paraId="6911033F">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D1D7D49-A976-4C79-80D4-6A77A5B464F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5C6E55DE-28F0-4634-B8C7-8D34B4E61F34}"/>
  </w:font>
  <w:font w:name="仿宋_GB2312">
    <w:panose1 w:val="02010609030101010101"/>
    <w:charset w:val="86"/>
    <w:family w:val="modern"/>
    <w:pitch w:val="default"/>
    <w:sig w:usb0="00000001" w:usb1="080E0000" w:usb2="00000000" w:usb3="00000000" w:csb0="00040000" w:csb1="00000000"/>
    <w:embedRegular r:id="rId3" w:fontKey="{F8203596-843B-45E6-B1C7-7DF19BA9E7D8}"/>
  </w:font>
  <w:font w:name="楷体_GB2312">
    <w:panose1 w:val="02010609030101010101"/>
    <w:charset w:val="86"/>
    <w:family w:val="auto"/>
    <w:pitch w:val="default"/>
    <w:sig w:usb0="00000001" w:usb1="080E0000" w:usb2="00000000" w:usb3="00000000" w:csb0="00040000" w:csb1="00000000"/>
    <w:embedRegular r:id="rId4" w:fontKey="{DD22656A-9B79-4EF0-A131-586AC928B4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0B5743"/>
    <w:rsid w:val="543D17CB"/>
    <w:rsid w:val="55DA564E"/>
    <w:rsid w:val="56E07045"/>
    <w:rsid w:val="583059FA"/>
    <w:rsid w:val="587E6212"/>
    <w:rsid w:val="593927B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7170</Words>
  <Characters>8460</Characters>
  <Lines>0</Lines>
  <Paragraphs>0</Paragraphs>
  <TotalTime>5</TotalTime>
  <ScaleCrop>false</ScaleCrop>
  <LinksUpToDate>false</LinksUpToDate>
  <CharactersWithSpaces>8470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来财&amp;十个晴天</cp:lastModifiedBy>
  <cp:lastPrinted>2024-07-22T11:58:00Z</cp:lastPrinted>
  <dcterms:modified xsi:type="dcterms:W3CDTF">2025-10-15T04:47:53Z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eyJoZGlkIjoiZTEwMTFjZmI3NWUwMGRmYWEyNzFiMzQ2OTlkZWE5ODAiLCJ1c2VySWQiOiIzNzI2MDMzNTYifQ==</vt:lpwstr>
  </property>
</Properties>
</file>