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811486"/>
    <w:p w14:paraId="674AA26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BBE5BA6">
      <w:pPr>
        <w:spacing w:line="540" w:lineRule="exact"/>
        <w:jc w:val="center"/>
        <w:rPr>
          <w:rFonts w:ascii="华文中宋" w:hAnsi="华文中宋" w:eastAsia="华文中宋" w:cs="宋体"/>
          <w:b/>
          <w:kern w:val="0"/>
          <w:sz w:val="52"/>
          <w:szCs w:val="52"/>
        </w:rPr>
      </w:pPr>
    </w:p>
    <w:p w14:paraId="68E4E467">
      <w:pPr>
        <w:spacing w:line="540" w:lineRule="exact"/>
        <w:jc w:val="center"/>
        <w:rPr>
          <w:rFonts w:ascii="华文中宋" w:hAnsi="华文中宋" w:eastAsia="华文中宋" w:cs="宋体"/>
          <w:b/>
          <w:kern w:val="0"/>
          <w:sz w:val="52"/>
          <w:szCs w:val="52"/>
        </w:rPr>
      </w:pPr>
    </w:p>
    <w:p w14:paraId="2FCFB894">
      <w:pPr>
        <w:spacing w:line="540" w:lineRule="exact"/>
        <w:jc w:val="center"/>
        <w:rPr>
          <w:rFonts w:ascii="华文中宋" w:hAnsi="华文中宋" w:eastAsia="华文中宋" w:cs="宋体"/>
          <w:b/>
          <w:kern w:val="0"/>
          <w:sz w:val="52"/>
          <w:szCs w:val="52"/>
        </w:rPr>
      </w:pPr>
    </w:p>
    <w:p w14:paraId="2563CF11">
      <w:pPr>
        <w:spacing w:line="540" w:lineRule="exact"/>
        <w:jc w:val="center"/>
        <w:rPr>
          <w:rFonts w:ascii="华文中宋" w:hAnsi="华文中宋" w:eastAsia="华文中宋" w:cs="宋体"/>
          <w:b/>
          <w:kern w:val="0"/>
          <w:sz w:val="52"/>
          <w:szCs w:val="52"/>
        </w:rPr>
      </w:pPr>
    </w:p>
    <w:p w14:paraId="08D73D88">
      <w:pPr>
        <w:spacing w:line="540" w:lineRule="exact"/>
        <w:jc w:val="center"/>
        <w:rPr>
          <w:rFonts w:ascii="华文中宋" w:hAnsi="华文中宋" w:eastAsia="华文中宋" w:cs="宋体"/>
          <w:b/>
          <w:kern w:val="0"/>
          <w:sz w:val="52"/>
          <w:szCs w:val="52"/>
        </w:rPr>
      </w:pPr>
    </w:p>
    <w:p w14:paraId="347301A6">
      <w:pPr>
        <w:spacing w:line="540" w:lineRule="exact"/>
        <w:jc w:val="center"/>
        <w:rPr>
          <w:rFonts w:ascii="华文中宋" w:hAnsi="华文中宋" w:eastAsia="华文中宋" w:cs="宋体"/>
          <w:b/>
          <w:kern w:val="0"/>
          <w:sz w:val="52"/>
          <w:szCs w:val="52"/>
        </w:rPr>
      </w:pPr>
    </w:p>
    <w:p w14:paraId="60F8365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A71C719">
      <w:pPr>
        <w:spacing w:line="540" w:lineRule="exact"/>
        <w:jc w:val="center"/>
        <w:rPr>
          <w:rFonts w:ascii="华文中宋" w:hAnsi="华文中宋" w:eastAsia="华文中宋" w:cs="宋体"/>
          <w:b/>
          <w:kern w:val="0"/>
          <w:sz w:val="52"/>
          <w:szCs w:val="52"/>
        </w:rPr>
      </w:pPr>
    </w:p>
    <w:p w14:paraId="1B43210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5EC6F70">
      <w:pPr>
        <w:spacing w:line="540" w:lineRule="exact"/>
        <w:jc w:val="center"/>
        <w:rPr>
          <w:rFonts w:hAnsi="宋体" w:eastAsia="仿宋_GB2312" w:cs="宋体"/>
          <w:kern w:val="0"/>
          <w:sz w:val="30"/>
          <w:szCs w:val="30"/>
        </w:rPr>
      </w:pPr>
    </w:p>
    <w:p w14:paraId="4CD47935">
      <w:pPr>
        <w:spacing w:line="540" w:lineRule="exact"/>
        <w:jc w:val="center"/>
        <w:rPr>
          <w:rFonts w:hAnsi="宋体" w:eastAsia="仿宋_GB2312" w:cs="宋体"/>
          <w:kern w:val="0"/>
          <w:sz w:val="30"/>
          <w:szCs w:val="30"/>
        </w:rPr>
      </w:pPr>
    </w:p>
    <w:p w14:paraId="7558486D">
      <w:pPr>
        <w:spacing w:line="540" w:lineRule="exact"/>
        <w:jc w:val="center"/>
        <w:rPr>
          <w:rFonts w:hAnsi="宋体" w:eastAsia="仿宋_GB2312" w:cs="宋体"/>
          <w:kern w:val="0"/>
          <w:sz w:val="30"/>
          <w:szCs w:val="30"/>
        </w:rPr>
      </w:pPr>
    </w:p>
    <w:p w14:paraId="7FBE09FD">
      <w:pPr>
        <w:spacing w:line="540" w:lineRule="exact"/>
        <w:jc w:val="center"/>
        <w:rPr>
          <w:rFonts w:hAnsi="宋体" w:eastAsia="仿宋_GB2312" w:cs="宋体"/>
          <w:kern w:val="0"/>
          <w:sz w:val="30"/>
          <w:szCs w:val="30"/>
        </w:rPr>
      </w:pPr>
    </w:p>
    <w:p w14:paraId="02478645">
      <w:pPr>
        <w:spacing w:line="540" w:lineRule="exact"/>
        <w:rPr>
          <w:rFonts w:hAnsi="宋体" w:eastAsia="仿宋_GB2312" w:cs="宋体"/>
          <w:kern w:val="0"/>
          <w:sz w:val="30"/>
          <w:szCs w:val="30"/>
        </w:rPr>
      </w:pPr>
      <w:bookmarkStart w:id="0" w:name="_GoBack"/>
      <w:bookmarkEnd w:id="0"/>
    </w:p>
    <w:p w14:paraId="4481381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83B279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信息化建设</w:t>
      </w:r>
    </w:p>
    <w:p w14:paraId="0FF1799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昌吉回族自治州住房公积金管理中心本级</w:t>
      </w:r>
    </w:p>
    <w:p w14:paraId="652EE7C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昌吉回族自治州住房公积金管理中心本级</w:t>
      </w:r>
    </w:p>
    <w:p w14:paraId="204E05A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卢昌健</w:t>
      </w:r>
    </w:p>
    <w:p w14:paraId="1EC58642">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2025年06月11日</w:t>
      </w:r>
    </w:p>
    <w:p w14:paraId="2C53F9B6">
      <w:pPr>
        <w:spacing w:line="700" w:lineRule="exact"/>
        <w:ind w:firstLine="708" w:firstLineChars="236"/>
        <w:jc w:val="left"/>
        <w:rPr>
          <w:rFonts w:hAnsi="宋体" w:eastAsia="仿宋_GB2312" w:cs="宋体"/>
          <w:kern w:val="0"/>
          <w:sz w:val="30"/>
          <w:szCs w:val="30"/>
        </w:rPr>
      </w:pPr>
    </w:p>
    <w:p w14:paraId="789FF22B">
      <w:pPr>
        <w:spacing w:line="540" w:lineRule="exact"/>
        <w:rPr>
          <w:rStyle w:val="19"/>
          <w:rFonts w:ascii="黑体" w:hAnsi="黑体" w:eastAsia="黑体"/>
          <w:b w:val="0"/>
          <w:spacing w:val="-4"/>
          <w:sz w:val="32"/>
          <w:szCs w:val="32"/>
        </w:rPr>
      </w:pPr>
    </w:p>
    <w:p w14:paraId="59A8030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B83F783">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140FEBB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根据昌州财建【2023】16号《关于下达昌吉州本级预算单位2023年部门预算的通知》文件要求结合目前信息化建设相关要求，服务昌吉州缴存单位、缴存职工的公积金归集、提取、贷款等工作；保障住房公积金业务有序进行，提升办事效率，服务缴存单位和缴存职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（1）项目名称：信息化建设项目（以下简称“该项目”或“项目”）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2）项目主要内容：信息化建设项目实施后，根据年初制定的详细的工作计划组织实施，公积金信息化建设工作稳步推进，对公积金业务系统运行维护，对中心机关内部网络的各节点进行优化，改进完善内部网络，有效防范风险；实行数据并行、信息共享，努力实现“信息多跑路，群众少跑腿”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实施主体：昌吉回族自治州住房公积金管理中心本级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实施时间：本项目实施周期为2024年1月-2024年9月。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实施情况：（根据前期准备-招投标情况-实施过程-项目验收-投入使用，对整个项目的实施过程和结果进行表述；若为经费类项目则根据项目实际开展情况，对完成阶段工作的时间和主要工作成果进行表述，一段话字数不得少于150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本项目于2024年1月开始实施，截止2024年9月已全部完成，根据自治区住建厅统签分招，通过对住房公积金各县市（园区）管路部线路进行维护，进一步提升系统的稳定性、便捷性和高效性，降低系统故障率，努力实现“信息多跑路，群众少跑腿”目标，维护我州二十余万服务缴存职工合法权益，提升业务质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①编制、执行住房公积金的归集、使用计划；记载职工住房公积金的缴存、提取、使用等情况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②负责住房公积金的核算；审批住房公积金的提取、使用。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③负责住房公积金的保值和归还；编制住房公积金归集、使用计划执行情况的报告；承办住房公积金管理</w:t>
      </w:r>
      <w:r>
        <w:rPr>
          <w:rStyle w:val="19"/>
          <w:rFonts w:hint="eastAsia" w:ascii="楷体" w:hAnsi="楷体" w:eastAsia="楷体"/>
          <w:b w:val="0"/>
          <w:bCs w:val="0"/>
          <w:spacing w:val="-4"/>
          <w:sz w:val="32"/>
          <w:szCs w:val="32"/>
          <w:lang w:val="en-US" w:eastAsia="zh-CN"/>
        </w:rPr>
        <w:t>委员会</w:t>
      </w:r>
      <w:r>
        <w:rPr>
          <w:rStyle w:val="19"/>
          <w:rFonts w:hint="eastAsia" w:ascii="楷体" w:hAnsi="楷体" w:eastAsia="楷体"/>
          <w:b w:val="0"/>
          <w:bCs w:val="0"/>
          <w:spacing w:val="-4"/>
          <w:sz w:val="32"/>
          <w:szCs w:val="32"/>
        </w:rPr>
        <w:t>决定的其他事项。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单位内设机构：木垒管理部、奇台管理部、吉木萨尔管理部、准东管理部、阜康管理部、昌吉管理部、呼图壁管理部、玛纳斯管理部、组织人事科、审计稽核科、综合业务科、资金核算科、政策法规科、办公室。</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本项目预算安排总额为342万元，资金来源为本级部门预算，其中：财政资金342万元，其他资金0万元，2024年实际收到预算资金342万元，预算资金到位率为100%。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截至2024年12月31日，本项目实际支付资金321.24万元，预算执行率93.93%%，结转资金额度为20.76万元，结余资金额度为20.76万元）。本项目资金主要用于支付信息系统维护费用271.8万元、信息化线路成本费用35.5万元。</w:t>
      </w:r>
    </w:p>
    <w:p w14:paraId="36C29C7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1893509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在信息化建设项目实施后，根据年初制定的工作计划,有序开展信息化建设项目，通过对公积金业务系统、华为云平台及综合服务平台的运行维护及中心至各县市线路的运行优化，保障中心业务、办公系统正常运行，稳步推进中心信息化建设工作，有效防范风险，努力实现“信息多跑路，群众少跑腿”工作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“信息系统维护数量”指标，预期指标值为“&gt;=3个”；</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“信息化线路数量”指标，预期指标值为“&lt;=26条”；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“系统故障率”指标，预期指标值为“&lt;=10%”；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“质量合格率”指标，预期指标值为“&gt;=90%”；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“系统故障修复处理时间”指标，预期指标值为“&lt;=1天”；</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“信息系统维护成本”指标，预期指标值为“&lt;=271.8万元”；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“信息化线路成本”指标，预期指标值为“&lt;=35.5万元”；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“服务缴存职工能力”指标，预期指标值为“提升”；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“缴存职工满意度”指标，预期指标值为“&gt;=90%”。</w:t>
      </w:r>
    </w:p>
    <w:p w14:paraId="2505F92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2252AC4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0A6762F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做好昌吉州本级2025年级预算绩效工作的通知》《关于印发&lt;自治区项目支出绩效目标设置指引&gt;的通知》（新财预〔2022〕42号）文件精神，我单位针对信息化建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此次我单位根据《财政支出绩效评价管理暂行办法》（财预〔2020〕10号）文件要求实施评价工作，本次评价对象为信息化建设项目，评价核心为项目资金、项目产出、项目效益。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180240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2036EBE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B1914C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2E2B68C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马辉（评价小组组长）：主要负责项目策划和监督，全面负责项目绩效评价办稿的最终质量，对评估人员出具的最终报告质量进行复核，确保评估结果的客观性；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杨帆、金鑫、腊伟（评价小组组员）：主要负责资料的收集，取证、数据统计分析；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马君宜（评价小组组员）：主要负责项目报告的制定，指标的研判，数据分析及报告撰写。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2025年3月5日-3月9日，评价小组按照绩效评价的原则和规范，对取得的资料进行审查核实，对采集的数据进行分析，按照绩效评价指标评分表逐项进行打分、分析、汇总各方评价结果。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2025年3月10日-3月15日，评价小组撰写绩效评价报告，按照新疆维吾尔自治区财政绩效管理信息系统绩效评价模块中统一格式和文本框架撰写绩效评价报告并提交审核。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12345C0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6E881C0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维护3个信息系统、28条线路且系统故障率为零等产出目标，发挥了住房公积金服务更好服务我州缴存职工效益。但在实施过程中也存在一些不足：绩效监控还需进一步细化和精准化。提高了中心信息化水平，提升了服务缴存职工能力，该项目预算执行率达93.93%，还存在有一些不足，具体表现在：绩效预算认识不够充分，绩效理念有待进一步强化。</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99.67分，绩效评级为“优”。综合评价结论如下：本项目共设置三级指标数量20个，实现三级指标数量19个，总体完成率为101.38%。项目决策类指标共设置6个，满分指标6个，得分率100%；过程管理类指标共设置5个，满分指标5个，得分率100%；项目产出类指标共设置7个，满分指标7个，得分率98.90%；项目效益类指标共设置1个，满分指标1个，得分率100%。项目满意度类指标共设置1个，满分指标1个，得分率100.00%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29.67 20.00 10.00 99.67</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100.00% 100.00% 98.90% 100.00% 100.00% 99.67%</w:t>
      </w:r>
    </w:p>
    <w:p w14:paraId="40984DBA">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549D480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2A86E8BD">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（一）项目决策情况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项目决策类指标由3个二级指标和6个三级指标构成，权重分21.00分，实际得分21分。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国务院颁发的《住房公积金管理条例》（中华人民共和国国务院令第350号）中：“住房公积金管理中心的管理费用，由住房公积金管理中心按照规定的标准编制全年预算支出总额，报本级政府财政批准后，从住房公积金增值收益中上交本级财政，由本级财政拨付”；本项目立项符合《住房和城乡建设部关于加快住房公积金数字化发展的指导意见》中：“构建一体化云平台体系。按照构健全国一体化政务云平台体系要求，建设全国住房公积金云平台，逐步实现与各地住房公积金云平台的互联互通、集约共享，提升云平台支撑能力。稳步推进各地住房公积金信息系统“上云”，鼓励优先选用通过云计算服务安全评估的云平台，”内容，符合行业发展规划和政策要求；本项目立项符合《昌吉回族自治州住房公积金管理中心职能配置、内设机构和人员编制规定》中职责范围中的“负责拟订信息化建设规划并组织实施；负责信息网络、计算机等软硬件设备的采购验收和运行维护；负责信息数据安全管理”，属于我单位履职所需；根据《财政资金直接支付申请书》，本项目资金性质为“公共财政预算”功能分类为“[2210302]住房公积金管理”经济分类为“[50502]商品和服务支出”属于公共财政支持范围，符合中央、地方事权支出责任划分原则；经检查我单位财政应用平台指标，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本项目为非基础建设类项目，属于专项资金安排项目，不涉及事前绩效评估、可行性研究以及风险评估，由我单位严格按照《住房和城乡建设部关于加快住房公积金数字化发展的指导意见》文件要求实施项目。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 “根据年初制定的工作计划,有序开展信息化建设项目，通过对公积金业务系统、华为云平台及综合服务平台的运行维护及中心至各县24条线路的运行优化，保障中心业务、办公系统正常运行，稳步推进中心信息化建设工作，有效防范风险，努力实现“信息多跑路，群众少跑腿”工作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②该项目实际工作内容为：对公积金业务系统、华为云平台及综合服务平台的运行维护及中心至各县市线路的运行优化，两者具有相关性。绩效目标与实际工作内容一致，两者具有相关性。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维护3个信息系统、28条线路且系统故障率为零等产出目标，发挥了住房公积金服务更好服务我州缴存职工效益，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④该项目批复的预算金额为342万元，《项目支出绩效目标表》中预算金额为342万元，预算确定的项目资金与预算确定的项目投资额相匹配。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8个，定性指标1个，指标量化率为88.9%，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信息化线路数量&gt;=3个”“信息系统维护数量&lt;=26条”，三级指标的年度指标值与年度绩效目标中任务数一致，已设置时效指标“系统故障响应时间&lt;=1天”。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本项目预算编制通过自治区监管处统招分签及相关合同得出，即预算编制较科学且经过论证；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预算申请内容为信息化建设，项目实际内容为中心信息化建设，预算申请与年初工作计划中涉及的项目内容匹配；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预算申请资金342万元，我单位在预算申请中严格按照单位标准和数量进行核算，其中：信息系统维护费用271.8万元，信息化线路费用35.5万元，新创替代费用34.7万元。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2023年关于下达昌吉州本级预算单位2023年部门预算的通知》昌州财建【2023】16号和年初工作计划为依据进行资金分配，预算资金分配依据充分。根据《2023年关于下达昌吉州本级预算单位2023年部门预算的通知》“项目支出表”文件显示，本项目实际到位资金342万元，实际分配资金与我单位提交申请的资金额度一致，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0786BA35">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7052EA4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本项目预算资金为342万元，其中：财政安排资342万元，其他资金0万元，实际到位资金342万元，资金到位率=（342万元/342万元）×100.00%=100%。得分=（100%-60.00%）/（1-60.00%）×4.00=3.4分。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综上所述，本指标满分为4.00分，根据评分标准得3.4分，本项目资金分配合理。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本项目实际支出资金321.24万元，预算执行率=（实际支出资金/实际到位资金）×100.00%=（321.24万元/342万元）×100.00%=93.93%；</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项目已完成，总体完成率为103.08%；</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昌吉州住房公积金管理中心财务管理制度》、《昌吉州住房公积金管理中心政府采购管理规定及流程》，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依据《中华人民共和国预算法》《中华人民共和国预算法实施条例》等规定，结合我单位实际组织架构、业务类型、重点保障领域等因素，制定了《昌吉州住房公积金管理中心预算绩效管理工作实施办法》、《昌吉州住房公积金管理中心财务管理制度》、《昌吉州住房公积金管理中心政府采购管理规定及流程》等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昌吉州住房公积金管理中心预算绩效管理工作实施办法》、《昌吉州住房公积金管理中心财务管理制度》、《昌吉州住房公积金管理中心政府采购管理规定及流程》等相关法律法规及管理规定，项目具备完整规范的立项程序；经查证项目实施过程资料，项目采购、实施、验收等过程均按照采购管理规定等相关制度执行，基本完成既定目标；经查证党组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昌吉州住房公积金信息化建设工作领导小组，由中心主任汪文涛任组长，负责项目的组织工作；席俊清任副组长，负责项目的实施工作；组员包括：刘荣华、李琴、刘文元、马辉、李东、李梅、马业胜、段淑洁，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综上所述，本指标满分为4.00分，根据评分标准得4分，本项目所建立制度执行有效。</w:t>
      </w:r>
    </w:p>
    <w:p w14:paraId="7AC0FBA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0311DD9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项目产出类指标由4个二级指标和7个三级指标构成，权重分30.00分，实际得分30分。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“信息系统维护数量”指标，预期指标值为“&gt;= 3个”，实际完成指标值为“3个”，指标完成率为100.0%。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“信息化线路数量”指标，预期指标值为“26条”，实际完成指标值为“28条”，指标完成率为107.69%。</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综上所述，本指标满分为3分，根据评分标准得2.77分。扣分原因分析：根据上级党委要求，为优化营商环节，2024年下半年增设准东管理部，因此在中心26条线路了新增2条线路，指标完成率有偏差。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“系统故障率”指标，预期指标值为“&lt;=10%”，实际完成指标值为“0”，指标完成率为100%。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“质量合格率”指标，预期指标值为“&gt;=90%”，实际完成指标值为“100%”，指标完成率为11.11%。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综上所述，本指标满分为2分，根据评分标准得2分。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“系统故障修复处理时间”指标，预期指标值为“&lt;=1天”，实际完成指标值为“=1天”，指标完成率为100%。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“信息系统维护成本”指标，预期指标值为“271.8万元”，实际完成指标值为“271.8万元”，指标完成率为100%。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“信息化线路成本”指标，预期指标值为“35.5万元”，实际完成指标值为“34.76万元”，指标完成率为100%。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综上所述，本指标满分为5分，根据评分标准得4.90分。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（四）项目效益情况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（四）项目效益情况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项目效益类指标由1个二级指标和1个三级指标构成，权重分20.0分，实际得分20分。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“服务缴存职工能力”指标，预期指标值为“提升”，实际完成指标值为“达到预期指标”，指标完成率为100.0%。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综上所述，本指标满分为20分，根据评分标准得20分。</w:t>
      </w:r>
    </w:p>
    <w:p w14:paraId="6F42C0E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5243CDC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项目效益类指标由1个二级指标和1个三级指标构成，权重分20.0分，实际得分20分。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“服务缴存职工能力”指标，预期指标值为“提升”，实际完成指标值为“达到预期指标”，指标完成率为100.0%。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综上所述，本指标满分为20分，根据评分标准得20分。</w:t>
      </w:r>
    </w:p>
    <w:p w14:paraId="5AAA6AC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（五）项目满意度情况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项目满意度类指标由1个二级指标和1个三级指标构成，权重分10.00分，实际得分10分。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“缴存职工满意度”指标，预期指标值为“&gt;=90%”，实际完成指标值为“99.87%”，指标完成率为110.97%。</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p>
    <w:p w14:paraId="79B77323">
      <w:pPr>
        <w:spacing w:line="540" w:lineRule="exact"/>
        <w:ind w:firstLine="567"/>
        <w:rPr>
          <w:rStyle w:val="19"/>
          <w:rFonts w:hint="eastAsia" w:ascii="楷体" w:hAnsi="楷体" w:eastAsia="楷体"/>
          <w:b w:val="0"/>
          <w:bCs w:val="0"/>
          <w:spacing w:val="-4"/>
          <w:sz w:val="32"/>
          <w:szCs w:val="32"/>
        </w:rPr>
      </w:pPr>
    </w:p>
    <w:p w14:paraId="2A036095">
      <w:pPr>
        <w:spacing w:line="540" w:lineRule="exact"/>
        <w:ind w:firstLine="567"/>
        <w:rPr>
          <w:rStyle w:val="19"/>
          <w:rFonts w:ascii="楷体" w:hAnsi="楷体" w:eastAsia="楷体"/>
          <w:spacing w:val="-4"/>
          <w:sz w:val="32"/>
          <w:szCs w:val="32"/>
        </w:rPr>
      </w:pPr>
    </w:p>
    <w:p w14:paraId="01C2F331">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4720350D">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1.聚焦重点任务，推动项目工作落地落实</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2.坚持问题导向，加强执行监控，提高资金效益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3.强化绩效目标刚性约束，及时对项目进行跟踪问效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三是健全项目管理制度。我单位已有保证项目实施的制度、措施等，如《中华人民共和国预算法》、《昌吉州住房公积金管理中心管理费用财务管理制度（试行）》等。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必须填写两条以上，根据扣分指标深度分析原因和问题，每条问题字数不得少于150字。如无扣分指标，则需按照项目实施过程中遇到的难题、历史遗留问题、客观因素导致的问题等多方面进行表述，单位可采取由项目负责人描述或上网自行百度同类项目的问题后进行细化描述。）</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1.绩效预算管理还需进一步细化。</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目前项目绩效管理多提托于资金核算科，在实际执行中涉及我州住房公积金中心多个部室，如国产系统信创替代工作涉及固定资产清理、政府采购、系统匹配等多项工作，在协同推动各项工作上缺乏系统谋划能力，项目绩效管理能力需持续提升，预算编制细致性、项目支出绩效工作数据分析的能力还需进一步提升，在预算编制和执行上需提升精细化水平。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2.工作前瞻性思维还未完全形成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为优化银商环境、维护缴存职工合法权益，根据上级单位工作安排，我单位增设准东管理部，在中心原有26条新路基础上新增了2条住房公积金专项线路，导致我中心信息化线路维护数量为107%，出现偏差。针对上述因客观因素产生的绩效目标变化，我单位未及时向财政部门申请调整绩效目标，导致绩效目标出现偏差。</w:t>
      </w:r>
    </w:p>
    <w:p w14:paraId="233D49B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606D0592">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 xml:space="preserve"> 1.加强培训，提高相关人员工作水平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2.密切关注目标任务开展情况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将严格按照州财政局预算管理和预算目标管理要求，紧紧围绕绩效目标各项目标任务，密切关注目标任务开展情况，适时调整自身工作方向和内容，确保项目绩效目标得到全面贯彻执行。若因客观因素未能完成绩效目标，将加紧同财政部门的沟通协调，确保绩效目标顺利完成。</w:t>
      </w:r>
    </w:p>
    <w:p w14:paraId="13C8037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581E63B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八、其他需要说明的问题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F851560">
      <w:pPr>
        <w:spacing w:line="540" w:lineRule="exact"/>
        <w:ind w:firstLine="567"/>
        <w:rPr>
          <w:rStyle w:val="19"/>
          <w:rFonts w:ascii="仿宋" w:hAnsi="仿宋" w:eastAsia="仿宋"/>
          <w:b w:val="0"/>
          <w:spacing w:val="-4"/>
          <w:sz w:val="32"/>
          <w:szCs w:val="32"/>
        </w:rPr>
      </w:pPr>
    </w:p>
    <w:p w14:paraId="48A64C2E">
      <w:pPr>
        <w:spacing w:line="540" w:lineRule="exact"/>
        <w:ind w:firstLine="567"/>
        <w:rPr>
          <w:rStyle w:val="19"/>
          <w:rFonts w:ascii="仿宋" w:hAnsi="仿宋" w:eastAsia="仿宋"/>
          <w:b w:val="0"/>
          <w:spacing w:val="-4"/>
          <w:sz w:val="32"/>
          <w:szCs w:val="32"/>
        </w:rPr>
      </w:pPr>
    </w:p>
    <w:p w14:paraId="4028F550">
      <w:pPr>
        <w:spacing w:line="540" w:lineRule="exact"/>
        <w:ind w:firstLine="567"/>
        <w:rPr>
          <w:rStyle w:val="19"/>
          <w:rFonts w:ascii="仿宋" w:hAnsi="仿宋" w:eastAsia="仿宋"/>
          <w:b w:val="0"/>
          <w:spacing w:val="-4"/>
          <w:sz w:val="32"/>
          <w:szCs w:val="32"/>
        </w:rPr>
      </w:pPr>
    </w:p>
    <w:p w14:paraId="5F6E2097">
      <w:pPr>
        <w:spacing w:line="540" w:lineRule="exact"/>
        <w:ind w:firstLine="567"/>
        <w:rPr>
          <w:rStyle w:val="19"/>
          <w:rFonts w:ascii="仿宋" w:hAnsi="仿宋" w:eastAsia="仿宋"/>
          <w:b w:val="0"/>
          <w:spacing w:val="-4"/>
          <w:sz w:val="32"/>
          <w:szCs w:val="32"/>
        </w:rPr>
      </w:pPr>
    </w:p>
    <w:p w14:paraId="0A779045">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5875331">
        <w:pPr>
          <w:pStyle w:val="12"/>
          <w:jc w:val="center"/>
        </w:pPr>
        <w:r>
          <w:fldChar w:fldCharType="begin"/>
        </w:r>
        <w:r>
          <w:instrText xml:space="preserve">PAGE   \* MERGEFORMAT</w:instrText>
        </w:r>
        <w:r>
          <w:fldChar w:fldCharType="separate"/>
        </w:r>
        <w:r>
          <w:rPr>
            <w:lang w:val="zh-CN"/>
          </w:rPr>
          <w:t>2</w:t>
        </w:r>
        <w:r>
          <w:fldChar w:fldCharType="end"/>
        </w:r>
      </w:p>
    </w:sdtContent>
  </w:sdt>
  <w:p w14:paraId="5DB2DF5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08EF0A9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fd5f0e06-054d-4c3c-9e74-375f3e2c5c9f}">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13282</Words>
  <Characters>14056</Characters>
  <Lines>4</Lines>
  <Paragraphs>1</Paragraphs>
  <TotalTime>7</TotalTime>
  <ScaleCrop>false</ScaleCrop>
  <LinksUpToDate>false</LinksUpToDate>
  <CharactersWithSpaces>14106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2025-10-14T11:02:47Z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eyJoZGlkIjoiNTM1NjJiMTUwNmFhZWNlZmQwNDVjMDAxNDMwM2IwMDkiLCJ1c2VySWQiOiIzNzI2MDMzNTYifQ==</vt:lpwstr>
  </property>
</Properties>
</file>