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昌吉市人民检察院2024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409D26D3">
      <w:r>
        <w:br w:type="page"/>
      </w:r>
    </w:p>
    <w:p w14:paraId="385A00AD">
      <w:pPr>
        <w:spacing w:line="640" w:lineRule="exact"/>
        <w:jc w:val="center"/>
        <w:outlineLvl w:val="1"/>
      </w:pPr>
      <w:r>
        <w:rPr>
          <w:rFonts w:ascii="黑体" w:hAnsi="黑体" w:eastAsia="黑体"/>
          <w:sz w:val="32"/>
        </w:rPr>
        <w:t>第一部分 单位概况</w:t>
      </w:r>
    </w:p>
    <w:p w14:paraId="71C8FD30">
      <w:pPr>
        <w:spacing w:line="640" w:lineRule="exact"/>
        <w:ind w:firstLine="640"/>
        <w:jc w:val="both"/>
        <w:outlineLvl w:val="2"/>
      </w:pPr>
      <w:r>
        <w:rPr>
          <w:rFonts w:ascii="黑体" w:hAnsi="黑体" w:eastAsia="黑体"/>
          <w:sz w:val="32"/>
        </w:rPr>
        <w:t>一、主要职能</w:t>
      </w:r>
    </w:p>
    <w:p w14:paraId="08741F2C">
      <w:pPr>
        <w:spacing w:line="580" w:lineRule="exact"/>
        <w:ind w:firstLine="640"/>
        <w:jc w:val="both"/>
      </w:pPr>
      <w:r>
        <w:rPr>
          <w:rFonts w:ascii="仿宋_GB2312" w:hAnsi="仿宋_GB2312" w:eastAsia="仿宋_GB2312"/>
          <w:sz w:val="32"/>
        </w:rPr>
        <w:t>(一)深入贯彻习近平新时代中国特色社会主义思想，深入贯彻党的路线方针政策和决策部署，聚焦社会稳定和长治久安总目标，统一全院检察人员思想和行动，坚持党对检察工作的绝对领导，坚决维护习近平总书记的核心地位，坚决维护党中央权威和集中统一领导。</w:t>
      </w:r>
    </w:p>
    <w:p w14:paraId="57FE0D2A">
      <w:pPr>
        <w:spacing w:line="580" w:lineRule="exact"/>
        <w:ind w:firstLine="640"/>
        <w:jc w:val="both"/>
      </w:pPr>
      <w:r>
        <w:rPr>
          <w:rFonts w:ascii="仿宋_GB2312" w:hAnsi="仿宋_GB2312" w:eastAsia="仿宋_GB2312"/>
          <w:sz w:val="32"/>
        </w:rPr>
        <w:t>(二)依法向昌吉市人民代表大会及其常务委员会提出议案。</w:t>
      </w:r>
    </w:p>
    <w:p w14:paraId="25C08A20">
      <w:pPr>
        <w:spacing w:line="580" w:lineRule="exact"/>
        <w:ind w:firstLine="640"/>
        <w:jc w:val="both"/>
      </w:pPr>
      <w:r>
        <w:rPr>
          <w:rFonts w:ascii="仿宋_GB2312" w:hAnsi="仿宋_GB2312" w:eastAsia="仿宋_GB2312"/>
          <w:sz w:val="32"/>
        </w:rPr>
        <w:t>(三)贯彻落实检察工作方针、总体规划，完成检察工作任务。</w:t>
      </w:r>
    </w:p>
    <w:p w14:paraId="677E4609">
      <w:pPr>
        <w:spacing w:line="580" w:lineRule="exact"/>
        <w:ind w:firstLine="640"/>
        <w:jc w:val="both"/>
      </w:pPr>
      <w:r>
        <w:rPr>
          <w:rFonts w:ascii="仿宋_GB2312" w:hAnsi="仿宋_GB2312" w:eastAsia="仿宋_GB2312"/>
          <w:sz w:val="32"/>
        </w:rPr>
        <w:t>(四)依法开展对刑事犯罪案件的审查批准逮捕、决定逮捕、审查起诉工作。</w:t>
      </w:r>
    </w:p>
    <w:p w14:paraId="61DF8E7D">
      <w:pPr>
        <w:spacing w:line="580" w:lineRule="exact"/>
        <w:ind w:firstLine="640"/>
        <w:jc w:val="both"/>
      </w:pPr>
      <w:r>
        <w:rPr>
          <w:rFonts w:ascii="仿宋_GB2312" w:hAnsi="仿宋_GB2312" w:eastAsia="仿宋_GB2312"/>
          <w:sz w:val="32"/>
        </w:rPr>
        <w:t>(五)负责应由昌吉市人民检察院承办的刑事、民事、行政诉讼活动及刑事、民事、行政判决和裁定等生效法律文书执行的法律监督工作。</w:t>
      </w:r>
    </w:p>
    <w:p w14:paraId="5B18EA6F">
      <w:pPr>
        <w:spacing w:line="580" w:lineRule="exact"/>
        <w:ind w:firstLine="640"/>
        <w:jc w:val="both"/>
      </w:pPr>
      <w:r>
        <w:rPr>
          <w:rFonts w:ascii="仿宋_GB2312" w:hAnsi="仿宋_GB2312" w:eastAsia="仿宋_GB2312"/>
          <w:sz w:val="32"/>
        </w:rPr>
        <w:t>(六)负责对昌吉市人民法院已发生法律效力、确有错误的判决和裁定，依法提请昌吉州人民检察院向昌吉州中级人民法院提出抗诉。</w:t>
      </w:r>
    </w:p>
    <w:p w14:paraId="1288EC94">
      <w:pPr>
        <w:spacing w:line="580" w:lineRule="exact"/>
        <w:ind w:firstLine="640"/>
        <w:jc w:val="both"/>
      </w:pPr>
      <w:r>
        <w:rPr>
          <w:rFonts w:ascii="仿宋_GB2312" w:hAnsi="仿宋_GB2312" w:eastAsia="仿宋_GB2312"/>
          <w:sz w:val="32"/>
        </w:rPr>
        <w:t>(七)负责应由昌吉市人民检察院承办的提起公益诉讼工作。</w:t>
      </w:r>
    </w:p>
    <w:p w14:paraId="7589CD01">
      <w:pPr>
        <w:spacing w:line="580" w:lineRule="exact"/>
        <w:ind w:firstLine="640"/>
        <w:jc w:val="both"/>
      </w:pPr>
      <w:r>
        <w:rPr>
          <w:rFonts w:ascii="仿宋_GB2312" w:hAnsi="仿宋_GB2312" w:eastAsia="仿宋_GB2312"/>
          <w:sz w:val="32"/>
        </w:rPr>
        <w:t>(八)负责应由昌吉市人民检察院承办的看守所、社区矫正机构等执法活动的法律监督工作。</w:t>
      </w:r>
    </w:p>
    <w:p w14:paraId="4002A99C">
      <w:pPr>
        <w:spacing w:line="580" w:lineRule="exact"/>
        <w:ind w:firstLine="640"/>
        <w:jc w:val="both"/>
      </w:pPr>
      <w:r>
        <w:rPr>
          <w:rFonts w:ascii="仿宋_GB2312" w:hAnsi="仿宋_GB2312" w:eastAsia="仿宋_GB2312"/>
          <w:sz w:val="32"/>
        </w:rPr>
        <w:t>(九)受理向昌吉市人民检察院的控告申诉，开展控告申诉检察工作。</w:t>
      </w:r>
    </w:p>
    <w:p w14:paraId="5D974CAE">
      <w:pPr>
        <w:spacing w:line="580" w:lineRule="exact"/>
        <w:ind w:firstLine="640"/>
        <w:jc w:val="both"/>
      </w:pPr>
      <w:r>
        <w:rPr>
          <w:rFonts w:ascii="仿宋_GB2312" w:hAnsi="仿宋_GB2312" w:eastAsia="仿宋_GB2312"/>
          <w:sz w:val="32"/>
        </w:rPr>
        <w:t>(十)开展检察应用和理论研究工作。</w:t>
      </w:r>
    </w:p>
    <w:p w14:paraId="661FE087">
      <w:pPr>
        <w:spacing w:line="580" w:lineRule="exact"/>
        <w:ind w:firstLine="640"/>
        <w:jc w:val="both"/>
      </w:pPr>
      <w:r>
        <w:rPr>
          <w:rFonts w:ascii="仿宋_GB2312" w:hAnsi="仿宋_GB2312" w:eastAsia="仿宋_GB2312"/>
          <w:sz w:val="32"/>
        </w:rPr>
        <w:t>(十一)负责本院队伍建设和思想政治工作。依法管理检察官及其他检察人员的工作，开展检察机关教育培训工作。</w:t>
      </w:r>
    </w:p>
    <w:p w14:paraId="734DD2C3">
      <w:pPr>
        <w:spacing w:line="580" w:lineRule="exact"/>
        <w:ind w:firstLine="640"/>
        <w:jc w:val="both"/>
      </w:pPr>
      <w:r>
        <w:rPr>
          <w:rFonts w:ascii="仿宋_GB2312" w:hAnsi="仿宋_GB2312" w:eastAsia="仿宋_GB2312"/>
          <w:sz w:val="32"/>
        </w:rPr>
        <w:t>(十二)开展本院检务督察工作。</w:t>
      </w:r>
    </w:p>
    <w:p w14:paraId="16C675FE">
      <w:pPr>
        <w:spacing w:line="580" w:lineRule="exact"/>
        <w:ind w:firstLine="640"/>
        <w:jc w:val="both"/>
      </w:pPr>
      <w:r>
        <w:rPr>
          <w:rFonts w:ascii="仿宋_GB2312" w:hAnsi="仿宋_GB2312" w:eastAsia="仿宋_GB2312"/>
          <w:sz w:val="32"/>
        </w:rPr>
        <w:t>(十三)开展检察机关的财务装备工作，检察技术信息工作。</w:t>
      </w:r>
    </w:p>
    <w:p w14:paraId="1DBDA28D">
      <w:pPr>
        <w:spacing w:line="580" w:lineRule="exact"/>
        <w:ind w:firstLine="640"/>
        <w:jc w:val="both"/>
      </w:pPr>
      <w:r>
        <w:rPr>
          <w:rFonts w:ascii="仿宋_GB2312" w:hAnsi="仿宋_GB2312" w:eastAsia="仿宋_GB2312"/>
          <w:sz w:val="32"/>
        </w:rPr>
        <w:t>(十四)负责其他应当由昌吉市人民检察院承办的事项。</w:t>
      </w:r>
    </w:p>
    <w:p w14:paraId="0E031DDB">
      <w:pPr>
        <w:spacing w:line="640" w:lineRule="exact"/>
        <w:ind w:firstLine="640"/>
        <w:jc w:val="both"/>
        <w:outlineLvl w:val="2"/>
      </w:pPr>
      <w:r>
        <w:rPr>
          <w:rFonts w:ascii="黑体" w:hAnsi="黑体" w:eastAsia="黑体"/>
          <w:sz w:val="32"/>
        </w:rPr>
        <w:t>二、机构设置及人员情况</w:t>
      </w:r>
    </w:p>
    <w:p w14:paraId="31F12402">
      <w:pPr>
        <w:spacing w:line="580" w:lineRule="exact"/>
        <w:ind w:firstLine="640"/>
        <w:jc w:val="both"/>
      </w:pPr>
      <w:r>
        <w:rPr>
          <w:rFonts w:ascii="仿宋_GB2312" w:hAnsi="仿宋_GB2312" w:eastAsia="仿宋_GB2312"/>
          <w:sz w:val="32"/>
        </w:rPr>
        <w:t>昌吉市人民检察院2024年度，实有人数87人，其中：在职人员43人，减少5人；离休人员0人，增加0人；退休人员44人,增加3人。</w:t>
      </w:r>
    </w:p>
    <w:p w14:paraId="3BBD885B">
      <w:pPr>
        <w:spacing w:line="580" w:lineRule="exact"/>
        <w:ind w:firstLine="640"/>
        <w:jc w:val="both"/>
      </w:pPr>
      <w:r>
        <w:rPr>
          <w:rFonts w:ascii="仿宋_GB2312" w:hAnsi="仿宋_GB2312" w:eastAsia="仿宋_GB2312"/>
          <w:sz w:val="32"/>
        </w:rPr>
        <w:t>昌吉市人民检察院无下属预算单位，下设5个科室，分别是：第一检察部、第二检察部、第三检察部、政治部、办公室。</w:t>
      </w:r>
    </w:p>
    <w:p w14:paraId="5704D739">
      <w:r>
        <w:br w:type="page"/>
      </w:r>
    </w:p>
    <w:p w14:paraId="0BDC2EAF">
      <w:pPr>
        <w:spacing w:line="240" w:lineRule="auto"/>
        <w:jc w:val="center"/>
        <w:outlineLvl w:val="1"/>
      </w:pPr>
      <w:r>
        <w:rPr>
          <w:rFonts w:ascii="黑体" w:hAnsi="黑体" w:eastAsia="黑体"/>
          <w:sz w:val="32"/>
        </w:rPr>
        <w:t>第二部分 部门决算情况说明</w:t>
      </w:r>
    </w:p>
    <w:p w14:paraId="65FE9FE9">
      <w:pPr>
        <w:spacing w:line="640" w:lineRule="exact"/>
        <w:ind w:firstLine="640"/>
        <w:jc w:val="both"/>
        <w:outlineLvl w:val="2"/>
      </w:pPr>
      <w:r>
        <w:rPr>
          <w:rFonts w:ascii="黑体" w:hAnsi="黑体" w:eastAsia="黑体"/>
          <w:sz w:val="32"/>
        </w:rPr>
        <w:t>一、收入支出决算总体情况说明</w:t>
      </w:r>
    </w:p>
    <w:p w14:paraId="46E84F39">
      <w:pPr>
        <w:spacing w:line="580" w:lineRule="exact"/>
        <w:ind w:firstLine="640"/>
        <w:jc w:val="both"/>
      </w:pPr>
      <w:r>
        <w:rPr>
          <w:rFonts w:ascii="仿宋_GB2312" w:hAnsi="仿宋_GB2312" w:eastAsia="仿宋_GB2312"/>
          <w:b/>
          <w:sz w:val="32"/>
        </w:rPr>
        <w:t>2024年度收入总计1,672.47万元，</w:t>
      </w:r>
      <w:r>
        <w:rPr>
          <w:rFonts w:ascii="仿宋_GB2312" w:hAnsi="仿宋_GB2312" w:eastAsia="仿宋_GB2312"/>
          <w:b w:val="0"/>
          <w:sz w:val="32"/>
        </w:rPr>
        <w:t>其中：本年收入合计1,640.85万元，使用非财政拨款结余（含专用结余）0.00万元，年初结转和结余31.62万元。</w:t>
      </w:r>
    </w:p>
    <w:p w14:paraId="0486E6AE">
      <w:pPr>
        <w:spacing w:line="580" w:lineRule="exact"/>
        <w:ind w:firstLine="640"/>
        <w:jc w:val="both"/>
        <w:rPr>
          <w:spacing w:val="-6"/>
          <w:sz w:val="32"/>
        </w:rPr>
      </w:pPr>
      <w:r>
        <w:rPr>
          <w:rFonts w:ascii="仿宋_GB2312" w:hAnsi="仿宋_GB2312" w:eastAsia="仿宋_GB2312"/>
          <w:b/>
          <w:spacing w:val="-6"/>
          <w:sz w:val="32"/>
        </w:rPr>
        <w:t>2024年度支出总计1,672.47万元，</w:t>
      </w:r>
      <w:r>
        <w:rPr>
          <w:rFonts w:ascii="仿宋_GB2312" w:hAnsi="仿宋_GB2312" w:eastAsia="仿宋_GB2312"/>
          <w:b w:val="0"/>
          <w:spacing w:val="-6"/>
          <w:sz w:val="32"/>
        </w:rPr>
        <w:t>其中：本年支出合计1,670.64万元，结余分配0.00万元，年末结转和结余1.83万元。</w:t>
      </w:r>
    </w:p>
    <w:p w14:paraId="5D788CB4">
      <w:pPr>
        <w:spacing w:line="580" w:lineRule="exact"/>
        <w:ind w:firstLine="640"/>
        <w:jc w:val="both"/>
      </w:pPr>
      <w:r>
        <w:rPr>
          <w:rFonts w:ascii="仿宋_GB2312" w:hAnsi="仿宋_GB2312" w:eastAsia="仿宋_GB2312"/>
          <w:b w:val="0"/>
          <w:sz w:val="32"/>
        </w:rPr>
        <w:t>收入支出总体与上年相比，减少22.12万元，下降1.31%，主要原因是：本年减少业务费补助项目和档案数字信息化项目；本年在职人员减少，相关人员经费较上年减少。</w:t>
      </w:r>
    </w:p>
    <w:p w14:paraId="7CCA4F31">
      <w:pPr>
        <w:spacing w:line="640" w:lineRule="exact"/>
        <w:ind w:firstLine="640"/>
        <w:jc w:val="both"/>
        <w:outlineLvl w:val="2"/>
      </w:pPr>
      <w:r>
        <w:rPr>
          <w:rFonts w:ascii="黑体" w:hAnsi="黑体" w:eastAsia="黑体"/>
          <w:sz w:val="32"/>
        </w:rPr>
        <w:t>二、收入决算情况说明</w:t>
      </w:r>
    </w:p>
    <w:p w14:paraId="2E0A623E">
      <w:pPr>
        <w:spacing w:line="580" w:lineRule="exact"/>
        <w:ind w:firstLine="640"/>
        <w:jc w:val="both"/>
      </w:pPr>
      <w:r>
        <w:rPr>
          <w:rFonts w:ascii="仿宋_GB2312" w:hAnsi="仿宋_GB2312" w:eastAsia="仿宋_GB2312"/>
          <w:b/>
          <w:sz w:val="32"/>
        </w:rPr>
        <w:t>本年收入1,640.85万元，</w:t>
      </w:r>
      <w:r>
        <w:rPr>
          <w:rFonts w:ascii="仿宋_GB2312" w:hAnsi="仿宋_GB2312" w:eastAsia="仿宋_GB2312"/>
          <w:b w:val="0"/>
          <w:sz w:val="32"/>
        </w:rPr>
        <w:t>其中：财政拨款收入1,580.64万元，占96.33%；上级补助收入0.00万元，占0.00%；事业收入0.00万元，占0.00%；经营收入0.00万元，占0.00%；附属单位上缴收入0.00万元，占0.00%；其他收入60.21万元，占3.67%。</w:t>
      </w:r>
    </w:p>
    <w:p w14:paraId="393FBBBE">
      <w:pPr>
        <w:spacing w:line="640" w:lineRule="exact"/>
        <w:ind w:firstLine="640"/>
        <w:jc w:val="both"/>
        <w:outlineLvl w:val="2"/>
      </w:pPr>
      <w:r>
        <w:rPr>
          <w:rFonts w:ascii="黑体" w:hAnsi="黑体" w:eastAsia="黑体"/>
          <w:sz w:val="32"/>
        </w:rPr>
        <w:t>三、支出决算情况说明</w:t>
      </w:r>
    </w:p>
    <w:p w14:paraId="27F146E4">
      <w:pPr>
        <w:spacing w:line="580" w:lineRule="exact"/>
        <w:ind w:firstLine="640"/>
        <w:jc w:val="both"/>
      </w:pPr>
      <w:r>
        <w:rPr>
          <w:rFonts w:ascii="仿宋_GB2312" w:hAnsi="仿宋_GB2312" w:eastAsia="仿宋_GB2312"/>
          <w:b/>
          <w:sz w:val="32"/>
        </w:rPr>
        <w:t>本年支出1,670.64万元，</w:t>
      </w:r>
      <w:r>
        <w:rPr>
          <w:rFonts w:ascii="仿宋_GB2312" w:hAnsi="仿宋_GB2312" w:eastAsia="仿宋_GB2312"/>
          <w:b w:val="0"/>
          <w:sz w:val="32"/>
        </w:rPr>
        <w:t>其中：基本支出1,296.32万元，占77.59%；项目支出374.32万元，占22.41%；上缴上级支出0.00万元，占0.00%；经营支出0.00万元，占0.00%；对附属单位补助支出0.00万元，占0.00%。</w:t>
      </w:r>
    </w:p>
    <w:p w14:paraId="21AF4F5A">
      <w:pPr>
        <w:spacing w:line="640" w:lineRule="exact"/>
        <w:ind w:firstLine="640"/>
        <w:jc w:val="both"/>
        <w:outlineLvl w:val="2"/>
      </w:pPr>
      <w:r>
        <w:rPr>
          <w:rFonts w:ascii="黑体" w:hAnsi="黑体" w:eastAsia="黑体"/>
          <w:sz w:val="32"/>
        </w:rPr>
        <w:t>四、财政拨款收入支出决算总体情况说明</w:t>
      </w:r>
    </w:p>
    <w:p w14:paraId="65DCB31D">
      <w:pPr>
        <w:spacing w:line="580" w:lineRule="exact"/>
        <w:ind w:firstLine="640"/>
        <w:jc w:val="both"/>
      </w:pPr>
      <w:r>
        <w:rPr>
          <w:rFonts w:ascii="仿宋_GB2312" w:hAnsi="仿宋_GB2312" w:eastAsia="仿宋_GB2312"/>
          <w:b/>
          <w:sz w:val="32"/>
        </w:rPr>
        <w:t>2024年度财政拨款收入总计1,580.64万元，</w:t>
      </w:r>
      <w:r>
        <w:rPr>
          <w:rFonts w:ascii="仿宋_GB2312" w:hAnsi="仿宋_GB2312" w:eastAsia="仿宋_GB2312"/>
          <w:b w:val="0"/>
          <w:sz w:val="32"/>
        </w:rPr>
        <w:t>其中：年初财政拨款结转和结余0.00万元，本年财政拨款收入1,580.64万元。</w:t>
      </w:r>
      <w:r>
        <w:rPr>
          <w:rFonts w:ascii="仿宋_GB2312" w:hAnsi="仿宋_GB2312" w:eastAsia="仿宋_GB2312"/>
          <w:b/>
          <w:sz w:val="32"/>
        </w:rPr>
        <w:t>财政拨款支出总计1,580.64万元，</w:t>
      </w:r>
      <w:r>
        <w:rPr>
          <w:rFonts w:ascii="仿宋_GB2312" w:hAnsi="仿宋_GB2312" w:eastAsia="仿宋_GB2312"/>
          <w:b w:val="0"/>
          <w:sz w:val="32"/>
        </w:rPr>
        <w:t>其中：年末财政拨款结转和结余0.00万元，本年财政拨款支出1,580.64万元。</w:t>
      </w:r>
    </w:p>
    <w:p w14:paraId="5FAC81F7">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减少82.20万元，下降4.94%，主要原因是：本年减少业务费补助项目和档案数字信息化项目；本年在职人员减少，相关人员经费较上年减少。</w:t>
      </w:r>
      <w:r>
        <w:rPr>
          <w:rFonts w:ascii="仿宋_GB2312" w:hAnsi="仿宋_GB2312" w:eastAsia="仿宋_GB2312"/>
          <w:b/>
          <w:sz w:val="32"/>
        </w:rPr>
        <w:t>与年初预算相比，</w:t>
      </w:r>
      <w:r>
        <w:rPr>
          <w:rFonts w:ascii="仿宋_GB2312" w:hAnsi="仿宋_GB2312" w:eastAsia="仿宋_GB2312"/>
          <w:b w:val="0"/>
          <w:sz w:val="32"/>
        </w:rPr>
        <w:t>年初预算数1,447.71万元，决算数1,580.64万元，预决算差异率9.18%，主要原因是：年中追加工作自治区补助经费（为民办实事经费）及中央政法</w:t>
      </w:r>
      <w:r>
        <w:rPr>
          <w:rFonts w:hint="eastAsia" w:ascii="仿宋_GB2312" w:hAnsi="仿宋_GB2312" w:eastAsia="仿宋_GB2312"/>
          <w:b w:val="0"/>
          <w:sz w:val="32"/>
          <w:lang w:eastAsia="zh-CN"/>
        </w:rPr>
        <w:t>纪检监察</w:t>
      </w:r>
      <w:r>
        <w:rPr>
          <w:rFonts w:ascii="仿宋_GB2312" w:hAnsi="仿宋_GB2312" w:eastAsia="仿宋_GB2312"/>
          <w:b w:val="0"/>
          <w:sz w:val="32"/>
        </w:rPr>
        <w:t>转移支付资金，导致预决算存在差异。</w:t>
      </w:r>
    </w:p>
    <w:p w14:paraId="7F5D290F">
      <w:pPr>
        <w:spacing w:line="640" w:lineRule="exact"/>
        <w:ind w:firstLine="640"/>
        <w:jc w:val="both"/>
        <w:outlineLvl w:val="2"/>
      </w:pPr>
      <w:r>
        <w:rPr>
          <w:rFonts w:ascii="黑体" w:hAnsi="黑体" w:eastAsia="黑体"/>
          <w:sz w:val="32"/>
        </w:rPr>
        <w:t>五、一般公共预算财政拨款支出决算情况说明</w:t>
      </w:r>
    </w:p>
    <w:p w14:paraId="2EE79A4A">
      <w:pPr>
        <w:spacing w:line="640" w:lineRule="exact"/>
        <w:ind w:firstLine="640"/>
        <w:jc w:val="both"/>
        <w:outlineLvl w:val="3"/>
      </w:pPr>
      <w:r>
        <w:rPr>
          <w:rFonts w:ascii="楷体_GB2312" w:hAnsi="楷体_GB2312" w:eastAsia="楷体_GB2312"/>
          <w:b/>
          <w:sz w:val="32"/>
        </w:rPr>
        <w:t>（一）一般公共预算财政拨款支出决算总体情况</w:t>
      </w:r>
    </w:p>
    <w:p w14:paraId="072D3571">
      <w:pPr>
        <w:spacing w:line="580" w:lineRule="exact"/>
        <w:ind w:firstLine="640"/>
        <w:jc w:val="both"/>
      </w:pPr>
      <w:r>
        <w:rPr>
          <w:rFonts w:ascii="仿宋_GB2312" w:hAnsi="仿宋_GB2312" w:eastAsia="仿宋_GB2312"/>
          <w:b/>
          <w:sz w:val="32"/>
        </w:rPr>
        <w:t>2024年度一般公共预算财政拨款支出1,580.64万元，</w:t>
      </w:r>
      <w:r>
        <w:rPr>
          <w:rFonts w:ascii="仿宋_GB2312" w:hAnsi="仿宋_GB2312" w:eastAsia="仿宋_GB2312"/>
          <w:b w:val="0"/>
          <w:sz w:val="32"/>
        </w:rPr>
        <w:t>占本年支出合计的94.61%。</w:t>
      </w:r>
      <w:r>
        <w:rPr>
          <w:rFonts w:ascii="仿宋_GB2312" w:hAnsi="仿宋_GB2312" w:eastAsia="仿宋_GB2312"/>
          <w:b/>
          <w:sz w:val="32"/>
        </w:rPr>
        <w:t>与上年相比，</w:t>
      </w:r>
      <w:r>
        <w:rPr>
          <w:rFonts w:ascii="仿宋_GB2312" w:hAnsi="仿宋_GB2312" w:eastAsia="仿宋_GB2312"/>
          <w:b w:val="0"/>
          <w:sz w:val="32"/>
        </w:rPr>
        <w:t>减少82.20万元，下降4.94%，主要原因是：本年减少业务费补助项目和档案数字信息化项目；本年在职人员减少，相关人员经费较上年减少。</w:t>
      </w:r>
      <w:r>
        <w:rPr>
          <w:rFonts w:ascii="仿宋_GB2312" w:hAnsi="仿宋_GB2312" w:eastAsia="仿宋_GB2312"/>
          <w:b/>
          <w:sz w:val="32"/>
        </w:rPr>
        <w:t>与年初预算相比,</w:t>
      </w:r>
      <w:r>
        <w:rPr>
          <w:rFonts w:ascii="仿宋_GB2312" w:hAnsi="仿宋_GB2312" w:eastAsia="仿宋_GB2312"/>
          <w:b w:val="0"/>
          <w:sz w:val="32"/>
        </w:rPr>
        <w:t>年初预算数1,447.71万元，决算数1,580.64万元，预决算差异率9.18%，主要原因是：年中追加工作自治区补助经费（为民办实事经费）及中央政法</w:t>
      </w:r>
      <w:r>
        <w:rPr>
          <w:rFonts w:hint="eastAsia" w:ascii="仿宋_GB2312" w:hAnsi="仿宋_GB2312" w:eastAsia="仿宋_GB2312"/>
          <w:b w:val="0"/>
          <w:sz w:val="32"/>
          <w:lang w:eastAsia="zh-CN"/>
        </w:rPr>
        <w:t>纪检监察</w:t>
      </w:r>
      <w:r>
        <w:rPr>
          <w:rFonts w:ascii="仿宋_GB2312" w:hAnsi="仿宋_GB2312" w:eastAsia="仿宋_GB2312"/>
          <w:b w:val="0"/>
          <w:sz w:val="32"/>
        </w:rPr>
        <w:t>转移支付资金，导致预决算存在差异。</w:t>
      </w:r>
    </w:p>
    <w:p w14:paraId="521BCD69">
      <w:pPr>
        <w:spacing w:line="640" w:lineRule="exact"/>
        <w:ind w:firstLine="640"/>
        <w:jc w:val="both"/>
        <w:outlineLvl w:val="3"/>
      </w:pPr>
      <w:r>
        <w:rPr>
          <w:rFonts w:ascii="楷体_GB2312" w:hAnsi="楷体_GB2312" w:eastAsia="楷体_GB2312"/>
          <w:b/>
          <w:sz w:val="32"/>
        </w:rPr>
        <w:t>（二）一般公共预算财政拨款支出决算结构情况</w:t>
      </w:r>
    </w:p>
    <w:p w14:paraId="2AEFDA7B">
      <w:pPr>
        <w:spacing w:line="580" w:lineRule="exact"/>
        <w:ind w:firstLine="640"/>
        <w:jc w:val="both"/>
      </w:pPr>
      <w:r>
        <w:rPr>
          <w:rFonts w:ascii="仿宋_GB2312" w:hAnsi="仿宋_GB2312" w:eastAsia="仿宋_GB2312"/>
          <w:b w:val="0"/>
          <w:sz w:val="32"/>
        </w:rPr>
        <w:t>1.公共安全支出(类)1,280.14万元,占80.99%。</w:t>
      </w:r>
    </w:p>
    <w:p w14:paraId="24C6BD73">
      <w:pPr>
        <w:spacing w:line="580" w:lineRule="exact"/>
        <w:ind w:firstLine="640"/>
        <w:jc w:val="both"/>
      </w:pPr>
      <w:r>
        <w:rPr>
          <w:rFonts w:ascii="仿宋_GB2312" w:hAnsi="仿宋_GB2312" w:eastAsia="仿宋_GB2312"/>
          <w:b w:val="0"/>
          <w:sz w:val="32"/>
        </w:rPr>
        <w:t>2.社会保障和就业支出(类)163.65万元,占10.35%。</w:t>
      </w:r>
    </w:p>
    <w:p w14:paraId="23B29405">
      <w:pPr>
        <w:spacing w:line="580" w:lineRule="exact"/>
        <w:ind w:firstLine="640"/>
        <w:jc w:val="both"/>
      </w:pPr>
      <w:r>
        <w:rPr>
          <w:rFonts w:ascii="仿宋_GB2312" w:hAnsi="仿宋_GB2312" w:eastAsia="仿宋_GB2312"/>
          <w:b w:val="0"/>
          <w:sz w:val="32"/>
        </w:rPr>
        <w:t>3.卫生健康支出(类)47.44万元,占3.00%。</w:t>
      </w:r>
    </w:p>
    <w:p w14:paraId="4F2A805C">
      <w:pPr>
        <w:spacing w:line="580" w:lineRule="exact"/>
        <w:ind w:firstLine="640"/>
        <w:jc w:val="both"/>
      </w:pPr>
      <w:r>
        <w:rPr>
          <w:rFonts w:ascii="仿宋_GB2312" w:hAnsi="仿宋_GB2312" w:eastAsia="仿宋_GB2312"/>
          <w:b w:val="0"/>
          <w:sz w:val="32"/>
        </w:rPr>
        <w:t>4.住房保障支出(类)70.78万元,占4.48%。</w:t>
      </w:r>
    </w:p>
    <w:p w14:paraId="4C70148B">
      <w:pPr>
        <w:spacing w:line="580" w:lineRule="exact"/>
        <w:ind w:firstLine="640"/>
        <w:jc w:val="both"/>
      </w:pPr>
      <w:r>
        <w:rPr>
          <w:rFonts w:ascii="仿宋_GB2312" w:hAnsi="仿宋_GB2312" w:eastAsia="仿宋_GB2312"/>
          <w:b w:val="0"/>
          <w:sz w:val="32"/>
        </w:rPr>
        <w:t>5.其他支出(类)18.63万元,占1.18%。</w:t>
      </w:r>
    </w:p>
    <w:p w14:paraId="25B42635">
      <w:pPr>
        <w:spacing w:line="640" w:lineRule="exact"/>
        <w:ind w:firstLine="640"/>
        <w:jc w:val="both"/>
        <w:outlineLvl w:val="3"/>
      </w:pPr>
      <w:r>
        <w:rPr>
          <w:rFonts w:ascii="楷体_GB2312" w:hAnsi="楷体_GB2312" w:eastAsia="楷体_GB2312"/>
          <w:b/>
          <w:sz w:val="32"/>
        </w:rPr>
        <w:t>（三）一般公共预算财政拨款支出决算具体情况</w:t>
      </w:r>
    </w:p>
    <w:p w14:paraId="72773130">
      <w:pPr>
        <w:spacing w:line="580" w:lineRule="exact"/>
        <w:ind w:firstLine="640"/>
        <w:jc w:val="both"/>
      </w:pPr>
      <w:r>
        <w:rPr>
          <w:rFonts w:ascii="仿宋_GB2312" w:hAnsi="仿宋_GB2312" w:eastAsia="仿宋_GB2312"/>
          <w:b w:val="0"/>
          <w:sz w:val="32"/>
        </w:rPr>
        <w:t>1.公共安全支出(类)检察(款)行政运行(项):支出决算数为1,010.81万元，比上年决算增加60.02万元，增长6.31%,主要原因是：本年在职人员工资调增，导致相关人员经费较上年有所增加。</w:t>
      </w:r>
    </w:p>
    <w:p w14:paraId="4BD30C15">
      <w:pPr>
        <w:spacing w:line="580" w:lineRule="exact"/>
        <w:ind w:firstLine="640"/>
        <w:jc w:val="both"/>
      </w:pPr>
      <w:r>
        <w:rPr>
          <w:rFonts w:ascii="仿宋_GB2312" w:hAnsi="仿宋_GB2312" w:eastAsia="仿宋_GB2312"/>
          <w:b w:val="0"/>
          <w:sz w:val="32"/>
        </w:rPr>
        <w:t>2.公共安全支出(类)检察(款)其他检察支出(项):支出决算数为269.33万元，比上年决算减少157.04万元，下降36.83%,主要原因是：本年减少业务费补助项目和档案数字信息化项目。</w:t>
      </w:r>
    </w:p>
    <w:p w14:paraId="01EA2CD0">
      <w:pPr>
        <w:spacing w:line="580" w:lineRule="exact"/>
        <w:ind w:firstLine="640"/>
        <w:jc w:val="both"/>
      </w:pPr>
      <w:r>
        <w:rPr>
          <w:rFonts w:ascii="仿宋_GB2312" w:hAnsi="仿宋_GB2312" w:eastAsia="仿宋_GB2312"/>
          <w:b w:val="0"/>
          <w:sz w:val="32"/>
        </w:rPr>
        <w:t>3.社会保障和就业支出(类)行政事业单位养老支出(款)行政单位离退休(项):支出决算数为25.94万元，比上年决算增加8.63万元，增长49.86%,主要原因是：本年退休人员增加，退休费支出增加。</w:t>
      </w:r>
    </w:p>
    <w:p w14:paraId="3CD9EB9F">
      <w:pPr>
        <w:spacing w:line="580" w:lineRule="exact"/>
        <w:ind w:firstLine="640"/>
        <w:jc w:val="both"/>
      </w:pPr>
      <w:r>
        <w:rPr>
          <w:rFonts w:ascii="仿宋_GB2312" w:hAnsi="仿宋_GB2312" w:eastAsia="仿宋_GB2312"/>
          <w:b w:val="0"/>
          <w:sz w:val="32"/>
        </w:rPr>
        <w:t>4.社会保障和就业支出(类)行政事业单位养老支出(款)机关事业单位基本养老保险缴费支出(项):支出决算数为88.46万元，比上年决算减少32.11万元，下降26.63%,主要原因是：本年功能科目调整，部分机关事业单位职业年金缴费支出上年度列支本科目，本年调整至机关事业单位职业年金缴费支出科目，导致经费较上年减少。</w:t>
      </w:r>
    </w:p>
    <w:p w14:paraId="2216CEB6">
      <w:pPr>
        <w:spacing w:line="580" w:lineRule="exact"/>
        <w:ind w:firstLine="640"/>
        <w:jc w:val="both"/>
      </w:pPr>
      <w:r>
        <w:rPr>
          <w:rFonts w:ascii="仿宋_GB2312" w:hAnsi="仿宋_GB2312" w:eastAsia="仿宋_GB2312"/>
          <w:b w:val="0"/>
          <w:sz w:val="32"/>
        </w:rPr>
        <w:t>5.社会保障和就业支出(类)行政事业单位养老支出(款)机关事业单位职业年金缴费支出(项):支出决算数为49.24万元，比上年决算增加46.59万元，增长1,758.11%,主要原因是：本年功能科目调整，部分机关事业单位职业年金缴费上年度在机关事业单位基本养老保险缴费支出列支，本年在本科目列支，导致经费较上年增加。</w:t>
      </w:r>
    </w:p>
    <w:p w14:paraId="0A07D0BC">
      <w:pPr>
        <w:spacing w:line="580" w:lineRule="exact"/>
        <w:ind w:firstLine="640"/>
        <w:jc w:val="both"/>
      </w:pPr>
      <w:r>
        <w:rPr>
          <w:rFonts w:ascii="仿宋_GB2312" w:hAnsi="仿宋_GB2312" w:eastAsia="仿宋_GB2312"/>
          <w:b w:val="0"/>
          <w:sz w:val="32"/>
        </w:rPr>
        <w:t>6.卫生健康支出(类)行政事业单位医疗(款)行政单位医疗(项):支出决算数为44.23万元，比上年决算增加1.17万元，增长2.72%,主要原因是：本年在职人员工资基数调增，医疗缴费基数上涨，相应支出增加。</w:t>
      </w:r>
    </w:p>
    <w:p w14:paraId="6539460E">
      <w:pPr>
        <w:spacing w:line="580" w:lineRule="exact"/>
        <w:ind w:firstLine="640"/>
        <w:jc w:val="both"/>
      </w:pPr>
      <w:r>
        <w:rPr>
          <w:rFonts w:ascii="仿宋_GB2312" w:hAnsi="仿宋_GB2312" w:eastAsia="仿宋_GB2312"/>
          <w:b w:val="0"/>
          <w:sz w:val="32"/>
        </w:rPr>
        <w:t>7.卫生健康支出(类)行政事业单位医疗(款)公务员医疗补助(项):支出决算数为2.76万元，比上年决算增加0.07万元，增长2.60%,主要原因是：本年在职人员工资基数调增，医疗缴费基数上涨，相应支出增加。</w:t>
      </w:r>
    </w:p>
    <w:p w14:paraId="6DA3459D">
      <w:pPr>
        <w:spacing w:line="580" w:lineRule="exact"/>
        <w:ind w:firstLine="640"/>
        <w:jc w:val="both"/>
      </w:pPr>
      <w:r>
        <w:rPr>
          <w:rFonts w:ascii="仿宋_GB2312" w:hAnsi="仿宋_GB2312" w:eastAsia="仿宋_GB2312"/>
          <w:b w:val="0"/>
          <w:sz w:val="32"/>
        </w:rPr>
        <w:t>8.卫生健康支出(类)行政事业单位医疗(款)其他行政事业单位医疗支出(项):支出决算数为0.45万元，比上年决算增加0.08万元，增长21.62%,主要原因是：本年在职人员工资基数调增，医疗缴费基数上涨，相应支出增加。</w:t>
      </w:r>
    </w:p>
    <w:p w14:paraId="273FB2F1">
      <w:pPr>
        <w:spacing w:line="580" w:lineRule="exact"/>
        <w:ind w:firstLine="640"/>
        <w:jc w:val="both"/>
      </w:pPr>
      <w:r>
        <w:rPr>
          <w:rFonts w:ascii="仿宋_GB2312" w:hAnsi="仿宋_GB2312" w:eastAsia="仿宋_GB2312"/>
          <w:b w:val="0"/>
          <w:sz w:val="32"/>
        </w:rPr>
        <w:t>9.住房保障支出(类)住房改革支出(款)住房公积金(项):支出决算数为70.78万元，比上年决算减少5.06万元，下降6.67%,主要原因是：本年在职人员减少，住房公积金缴费较上年减少。</w:t>
      </w:r>
    </w:p>
    <w:p w14:paraId="2EFDAE2F">
      <w:pPr>
        <w:spacing w:line="580" w:lineRule="exact"/>
        <w:ind w:firstLine="640"/>
        <w:jc w:val="both"/>
      </w:pPr>
      <w:r>
        <w:rPr>
          <w:rFonts w:ascii="仿宋_GB2312" w:hAnsi="仿宋_GB2312" w:eastAsia="仿宋_GB2312"/>
          <w:b w:val="0"/>
          <w:sz w:val="32"/>
        </w:rPr>
        <w:t>10.其他支出(类)其他支出(款)其他支出(项):支出决算数为18.63万元，比上年决算减少4.57万元，下降19.70%,主要原因是：工作队人数减少，自治区补助经费（为民办实事经费）较上年减少。</w:t>
      </w:r>
    </w:p>
    <w:p w14:paraId="6B10872B">
      <w:pPr>
        <w:spacing w:line="640" w:lineRule="exact"/>
        <w:ind w:firstLine="640"/>
        <w:jc w:val="both"/>
        <w:outlineLvl w:val="2"/>
      </w:pPr>
      <w:r>
        <w:rPr>
          <w:rFonts w:ascii="黑体" w:hAnsi="黑体" w:eastAsia="黑体"/>
          <w:sz w:val="32"/>
        </w:rPr>
        <w:t>六、一般公共预算财政拨款基本支出决算情况说明</w:t>
      </w:r>
    </w:p>
    <w:p w14:paraId="5F3D518A">
      <w:pPr>
        <w:spacing w:line="580" w:lineRule="exact"/>
        <w:ind w:firstLine="640"/>
        <w:jc w:val="both"/>
      </w:pPr>
      <w:r>
        <w:rPr>
          <w:rFonts w:ascii="仿宋_GB2312" w:hAnsi="仿宋_GB2312" w:eastAsia="仿宋_GB2312"/>
          <w:b w:val="0"/>
          <w:sz w:val="32"/>
        </w:rPr>
        <w:t>2024年度一般公共预算财政拨款基本支出1,296.32万元，其中：</w:t>
      </w:r>
      <w:r>
        <w:rPr>
          <w:rFonts w:ascii="仿宋_GB2312" w:hAnsi="仿宋_GB2312" w:eastAsia="仿宋_GB2312"/>
          <w:b/>
          <w:sz w:val="32"/>
        </w:rPr>
        <w:t>人员经费1,172.69万元，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其他工资福利支出、退休费、抚恤金、生活补助、奖励金。</w:t>
      </w:r>
    </w:p>
    <w:p w14:paraId="71DA7F17">
      <w:pPr>
        <w:spacing w:line="580" w:lineRule="exact"/>
        <w:ind w:firstLine="640"/>
        <w:jc w:val="both"/>
      </w:pPr>
      <w:r>
        <w:rPr>
          <w:rFonts w:ascii="仿宋_GB2312" w:hAnsi="仿宋_GB2312" w:eastAsia="仿宋_GB2312"/>
          <w:b/>
          <w:sz w:val="32"/>
        </w:rPr>
        <w:t>公用经费123.63万元，</w:t>
      </w:r>
      <w:r>
        <w:rPr>
          <w:rFonts w:ascii="仿宋_GB2312" w:hAnsi="仿宋_GB2312" w:eastAsia="仿宋_GB2312"/>
          <w:b w:val="0"/>
          <w:sz w:val="32"/>
        </w:rPr>
        <w:t>包括：办公费、印刷费、水费、电费、取暖费、物业管理费、维修（护）费、租赁费、公务接待费、劳务费、工会经费、福利费、其他商品和服务支出。</w:t>
      </w:r>
    </w:p>
    <w:p w14:paraId="7AF2A59D">
      <w:pPr>
        <w:spacing w:line="640" w:lineRule="exact"/>
        <w:ind w:firstLine="640"/>
        <w:jc w:val="both"/>
        <w:outlineLvl w:val="2"/>
      </w:pPr>
      <w:r>
        <w:rPr>
          <w:rFonts w:ascii="黑体" w:hAnsi="黑体" w:eastAsia="黑体"/>
          <w:sz w:val="32"/>
        </w:rPr>
        <w:t>七、政府性基金预算财政拨款收入支出决算情况说明</w:t>
      </w:r>
    </w:p>
    <w:p w14:paraId="65A232E9">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06AAC6E0">
      <w:pPr>
        <w:spacing w:line="640" w:lineRule="exact"/>
        <w:ind w:firstLine="640"/>
        <w:jc w:val="both"/>
        <w:outlineLvl w:val="2"/>
      </w:pPr>
      <w:r>
        <w:rPr>
          <w:rFonts w:ascii="黑体" w:hAnsi="黑体" w:eastAsia="黑体"/>
          <w:sz w:val="32"/>
        </w:rPr>
        <w:t>八、国有资本经营预算财政拨款收入支出决算情况说明</w:t>
      </w:r>
    </w:p>
    <w:p w14:paraId="11A66BA6">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370435AF">
      <w:pPr>
        <w:spacing w:line="640" w:lineRule="exact"/>
        <w:ind w:firstLine="640"/>
        <w:jc w:val="both"/>
        <w:outlineLvl w:val="2"/>
      </w:pPr>
      <w:r>
        <w:rPr>
          <w:rFonts w:ascii="黑体" w:hAnsi="黑体" w:eastAsia="黑体"/>
          <w:sz w:val="32"/>
        </w:rPr>
        <w:t>九、财政拨款“三公”经费支出决算情况说明</w:t>
      </w:r>
    </w:p>
    <w:p w14:paraId="0804E757">
      <w:pPr>
        <w:spacing w:line="580" w:lineRule="exact"/>
        <w:ind w:firstLine="640"/>
        <w:jc w:val="both"/>
      </w:pPr>
      <w:r>
        <w:rPr>
          <w:rFonts w:ascii="仿宋_GB2312" w:hAnsi="仿宋_GB2312" w:eastAsia="仿宋_GB2312"/>
          <w:b/>
          <w:sz w:val="32"/>
        </w:rPr>
        <w:t>2024年度财政拨款“三公”经费支出26.52万元，</w:t>
      </w:r>
      <w:r>
        <w:rPr>
          <w:rFonts w:ascii="仿宋_GB2312" w:hAnsi="仿宋_GB2312" w:eastAsia="仿宋_GB2312"/>
          <w:b w:val="0"/>
          <w:sz w:val="32"/>
        </w:rPr>
        <w:t>比上年减少3.48万元，下降11.60%，主要原因是：严格落实中央八项规定精神，厉行节约，减少公务用车运行维护费。其中：因公出国（境）费支出0.00万元，占0.00%，比上年增加0.00万元，增长0.00%，主要原因是：2023年与2024年均未安排因公出国（境）费支出。公务用车购置及运行维护费支出26.30万元，占99.17%，比上年减少3.70万元，下降12.33%，主要原因是：严格落实中央八项规定精神，厉行节约，减少公务用车运行维护费。公务接待费支出0.22万元，占0.83%，比上年增加0.22万元，增长100.00%，主要原因是：本年因业务需求，增加公务接待工作，导致公务接待费较上年增加。</w:t>
      </w:r>
    </w:p>
    <w:p w14:paraId="12502F93">
      <w:pPr>
        <w:spacing w:line="580" w:lineRule="exact"/>
        <w:ind w:firstLine="640"/>
        <w:jc w:val="both"/>
      </w:pPr>
      <w:r>
        <w:rPr>
          <w:rFonts w:ascii="仿宋_GB2312" w:hAnsi="仿宋_GB2312" w:eastAsia="仿宋_GB2312"/>
          <w:b/>
          <w:sz w:val="32"/>
        </w:rPr>
        <w:t>具体情况如下：</w:t>
      </w:r>
    </w:p>
    <w:p w14:paraId="2CCC262E">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171718E1">
      <w:pPr>
        <w:spacing w:line="580" w:lineRule="exact"/>
        <w:ind w:firstLine="640"/>
        <w:jc w:val="both"/>
      </w:pPr>
      <w:r>
        <w:rPr>
          <w:rFonts w:ascii="仿宋_GB2312" w:hAnsi="仿宋_GB2312" w:eastAsia="仿宋_GB2312"/>
          <w:b w:val="0"/>
          <w:sz w:val="32"/>
        </w:rPr>
        <w:t>公务用车购置及运行维护费26.30万元，其中：公务用车购置费0.00万元，公务用车运行维护费26.30万元。公务用车运行维护费开支内容包括车辆加油费、维修费、保险费、审车费、过路费等。公务用车购置数0辆，公务用车保有量11辆。国有资产占用情况中固定资产车辆11辆，与公务用车保有量差异原因是：本单位固定资产车辆与公务用车保有量一致无差异。</w:t>
      </w:r>
    </w:p>
    <w:p w14:paraId="40F06BAA">
      <w:pPr>
        <w:spacing w:line="580" w:lineRule="exact"/>
        <w:ind w:firstLine="640"/>
        <w:jc w:val="both"/>
      </w:pPr>
      <w:r>
        <w:rPr>
          <w:rFonts w:ascii="仿宋_GB2312" w:hAnsi="仿宋_GB2312" w:eastAsia="仿宋_GB2312"/>
          <w:b w:val="0"/>
          <w:sz w:val="32"/>
        </w:rPr>
        <w:t>公务接待费0.22万元，开支内容包括接待福建泉州检察机关对口援疆工作人员，产生的就餐费。单位全年安排的国内公务接待3批次，27人次。</w:t>
      </w:r>
    </w:p>
    <w:p w14:paraId="1615BC12">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26.52万元，决算数26.52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26.30万元，决算数26.30万元，预决算差异率0.00%，主要原因是：严格按照预算执行，预决算无差异。公务接待费全年预算数0.22万元，决算数0.22万元，预决算差异率0.00%，主要原因是：严格按照预算执行，预决算无差异。</w:t>
      </w:r>
    </w:p>
    <w:p w14:paraId="0B6E64C4">
      <w:pPr>
        <w:spacing w:line="640" w:lineRule="exact"/>
        <w:ind w:firstLine="640"/>
        <w:jc w:val="both"/>
        <w:outlineLvl w:val="2"/>
      </w:pPr>
      <w:r>
        <w:rPr>
          <w:rFonts w:ascii="黑体" w:hAnsi="黑体" w:eastAsia="黑体"/>
          <w:sz w:val="32"/>
        </w:rPr>
        <w:t>十、其他重要事项的情况说明</w:t>
      </w:r>
    </w:p>
    <w:p w14:paraId="3CDAD677">
      <w:pPr>
        <w:spacing w:line="640" w:lineRule="exact"/>
        <w:ind w:firstLine="640"/>
        <w:jc w:val="both"/>
        <w:outlineLvl w:val="3"/>
      </w:pPr>
      <w:r>
        <w:rPr>
          <w:rFonts w:ascii="楷体_GB2312" w:hAnsi="楷体_GB2312" w:eastAsia="楷体_GB2312"/>
          <w:b/>
          <w:sz w:val="32"/>
        </w:rPr>
        <w:t>（一）机关运行经费及公用经费支出情况</w:t>
      </w:r>
    </w:p>
    <w:p w14:paraId="4A21CDFD">
      <w:pPr>
        <w:spacing w:line="580" w:lineRule="exact"/>
        <w:ind w:firstLine="640"/>
        <w:jc w:val="both"/>
      </w:pPr>
      <w:r>
        <w:rPr>
          <w:rFonts w:ascii="仿宋_GB2312" w:hAnsi="仿宋_GB2312" w:eastAsia="仿宋_GB2312"/>
          <w:b w:val="0"/>
          <w:sz w:val="32"/>
        </w:rPr>
        <w:t>2024年度昌吉市人民检察院（行政单位和参照公务员法管理事业单位）机关运行经费支出123.63万元，比上年增加9.10万元，增长7.95%，主要原因是：本年业务量增加，增加办公费、差旅费，导致机关运行经费较上年增加。</w:t>
      </w:r>
    </w:p>
    <w:p w14:paraId="2999BA5C">
      <w:pPr>
        <w:spacing w:line="640" w:lineRule="exact"/>
        <w:ind w:firstLine="640"/>
        <w:jc w:val="both"/>
        <w:outlineLvl w:val="3"/>
      </w:pPr>
      <w:r>
        <w:rPr>
          <w:rFonts w:ascii="楷体_GB2312" w:hAnsi="楷体_GB2312" w:eastAsia="楷体_GB2312"/>
          <w:b/>
          <w:sz w:val="32"/>
        </w:rPr>
        <w:t>（二）政府采购情况</w:t>
      </w:r>
    </w:p>
    <w:p w14:paraId="5DED4C60">
      <w:pPr>
        <w:spacing w:line="580" w:lineRule="exact"/>
        <w:ind w:firstLine="640"/>
        <w:jc w:val="both"/>
      </w:pPr>
      <w:r>
        <w:rPr>
          <w:rFonts w:ascii="仿宋_GB2312" w:hAnsi="仿宋_GB2312" w:eastAsia="仿宋_GB2312"/>
          <w:b w:val="0"/>
          <w:sz w:val="32"/>
        </w:rPr>
        <w:t>2024年度政府采购支出总额86.85万元，其中：政府采购货物支出7.02万元、政府采购工程支出48.25万元、政府采购服务支出31.58万元。</w:t>
      </w:r>
    </w:p>
    <w:p w14:paraId="3253163B">
      <w:pPr>
        <w:spacing w:line="580" w:lineRule="exact"/>
        <w:ind w:firstLine="640"/>
        <w:jc w:val="both"/>
      </w:pPr>
      <w:r>
        <w:rPr>
          <w:rFonts w:ascii="仿宋_GB2312" w:hAnsi="仿宋_GB2312" w:eastAsia="仿宋_GB2312"/>
          <w:b w:val="0"/>
          <w:sz w:val="32"/>
        </w:rPr>
        <w:t>授予中小企业合同金额86.85万元，占政府采购支出总额的100.00%，其中：授予小微企业合同金额86.85万元，占政府采购支出总额的100.00%。</w:t>
      </w:r>
    </w:p>
    <w:p w14:paraId="28BF8E1E">
      <w:pPr>
        <w:spacing w:line="640" w:lineRule="exact"/>
        <w:ind w:firstLine="640"/>
        <w:jc w:val="both"/>
        <w:outlineLvl w:val="3"/>
      </w:pPr>
      <w:r>
        <w:rPr>
          <w:rFonts w:ascii="楷体_GB2312" w:hAnsi="楷体_GB2312" w:eastAsia="楷体_GB2312"/>
          <w:b/>
          <w:sz w:val="32"/>
        </w:rPr>
        <w:t>（三）国有资产占用情况说明</w:t>
      </w:r>
    </w:p>
    <w:p w14:paraId="3E61CE7D">
      <w:pPr>
        <w:spacing w:line="580" w:lineRule="exact"/>
        <w:ind w:firstLine="640"/>
        <w:jc w:val="both"/>
      </w:pPr>
      <w:r>
        <w:rPr>
          <w:rFonts w:ascii="仿宋_GB2312" w:hAnsi="仿宋_GB2312" w:eastAsia="仿宋_GB2312"/>
          <w:b w:val="0"/>
          <w:sz w:val="32"/>
        </w:rPr>
        <w:t>截至2024年12月31日，房屋4,800.00平方米，价值840.30万元。车辆11辆，价值284.49万元，其中：副部（省）级及以上领导用车0辆、主要负责人用车0辆、机要通信用车0辆、应急保障用车0辆、执法执勤用车11辆、特种专业技术用车0辆、离退休干部服务用车0辆、其他用车0辆，其他用车主要是：</w:t>
      </w:r>
      <w:r>
        <w:rPr>
          <w:rFonts w:hint="eastAsia" w:ascii="仿宋_GB2312" w:hAnsi="仿宋_GB2312" w:eastAsia="仿宋_GB2312"/>
          <w:b w:val="0"/>
          <w:sz w:val="32"/>
          <w:lang w:eastAsia="zh-CN"/>
        </w:rPr>
        <w:t>本单位</w:t>
      </w:r>
      <w:r>
        <w:rPr>
          <w:rFonts w:ascii="仿宋_GB2312" w:hAnsi="仿宋_GB2312" w:eastAsia="仿宋_GB2312"/>
          <w:b w:val="0"/>
          <w:sz w:val="32"/>
        </w:rPr>
        <w:t>无其他用车。单价100万元（含）以上设备（不含车辆）0台（套）。</w:t>
      </w:r>
    </w:p>
    <w:p w14:paraId="3444060C">
      <w:pPr>
        <w:spacing w:line="640" w:lineRule="exact"/>
        <w:ind w:firstLine="640"/>
        <w:jc w:val="both"/>
        <w:outlineLvl w:val="2"/>
      </w:pPr>
      <w:r>
        <w:rPr>
          <w:rFonts w:ascii="黑体" w:hAnsi="黑体" w:eastAsia="黑体"/>
          <w:sz w:val="32"/>
        </w:rPr>
        <w:t>十一、预算绩效的情况说明</w:t>
      </w:r>
    </w:p>
    <w:p w14:paraId="63CD054E">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1,672.47万元，实际执行总额1,670.64万元；预算绩效评价项目2个，全年预算数90.00万元，全年执行数90.00万元。预算绩效管理取得的成效：一是本单位以绩效目标实现为导向，加强制度建设，提升预算执行质量，预算绩效管理取得一定成效。预算绩效管理</w:t>
      </w:r>
      <w:r>
        <w:rPr>
          <w:rFonts w:hint="eastAsia" w:ascii="仿宋_GB2312" w:hAnsi="仿宋_GB2312" w:eastAsia="仿宋_GB2312"/>
          <w:b w:val="0"/>
          <w:sz w:val="32"/>
          <w:lang w:eastAsia="zh-CN"/>
        </w:rPr>
        <w:t>取得</w:t>
      </w:r>
      <w:r>
        <w:rPr>
          <w:rFonts w:ascii="仿宋_GB2312" w:hAnsi="仿宋_GB2312" w:eastAsia="仿宋_GB2312"/>
          <w:b w:val="0"/>
          <w:sz w:val="32"/>
        </w:rPr>
        <w:t>成效，科学制定目标，促进绩效目标顺利实现。二是自落实预算绩效管理工作以来，本单位在项目资金的使用</w:t>
      </w:r>
      <w:r>
        <w:rPr>
          <w:rFonts w:hint="eastAsia" w:ascii="仿宋_GB2312" w:hAnsi="仿宋_GB2312" w:eastAsia="仿宋_GB2312"/>
          <w:b w:val="0"/>
          <w:sz w:val="32"/>
          <w:lang w:eastAsia="zh-CN"/>
        </w:rPr>
        <w:t>上</w:t>
      </w:r>
      <w:r>
        <w:rPr>
          <w:rFonts w:ascii="仿宋_GB2312" w:hAnsi="仿宋_GB2312" w:eastAsia="仿宋_GB2312"/>
          <w:b w:val="0"/>
          <w:sz w:val="32"/>
        </w:rPr>
        <w:t>有了</w:t>
      </w:r>
      <w:r>
        <w:rPr>
          <w:rFonts w:hint="eastAsia" w:ascii="仿宋_GB2312" w:hAnsi="仿宋_GB2312" w:eastAsia="仿宋_GB2312"/>
          <w:b w:val="0"/>
          <w:sz w:val="32"/>
          <w:lang w:eastAsia="zh-CN"/>
        </w:rPr>
        <w:t>更加</w:t>
      </w:r>
      <w:r>
        <w:rPr>
          <w:rFonts w:ascii="仿宋_GB2312" w:hAnsi="仿宋_GB2312" w:eastAsia="仿宋_GB2312"/>
          <w:b w:val="0"/>
          <w:sz w:val="32"/>
        </w:rPr>
        <w:t>明确、</w:t>
      </w:r>
      <w:r>
        <w:rPr>
          <w:rFonts w:hint="eastAsia" w:ascii="仿宋_GB2312" w:hAnsi="仿宋_GB2312" w:eastAsia="仿宋_GB2312"/>
          <w:b w:val="0"/>
          <w:sz w:val="32"/>
          <w:lang w:eastAsia="zh-CN"/>
        </w:rPr>
        <w:t>更加</w:t>
      </w:r>
      <w:r>
        <w:rPr>
          <w:rFonts w:ascii="仿宋_GB2312" w:hAnsi="仿宋_GB2312" w:eastAsia="仿宋_GB2312"/>
          <w:b w:val="0"/>
          <w:sz w:val="32"/>
        </w:rPr>
        <w:t>清晰</w:t>
      </w:r>
      <w:r>
        <w:rPr>
          <w:rFonts w:hint="eastAsia" w:ascii="仿宋_GB2312" w:hAnsi="仿宋_GB2312" w:eastAsia="仿宋_GB2312"/>
          <w:b w:val="0"/>
          <w:sz w:val="32"/>
          <w:lang w:eastAsia="zh-CN"/>
        </w:rPr>
        <w:t>地</w:t>
      </w:r>
      <w:r>
        <w:rPr>
          <w:rFonts w:ascii="仿宋_GB2312" w:hAnsi="仿宋_GB2312" w:eastAsia="仿宋_GB2312"/>
          <w:b w:val="0"/>
          <w:sz w:val="32"/>
        </w:rPr>
        <w:t>理解和认识。通过实施预算绩效管理，树立了绩效优先的管理理念，也很好</w:t>
      </w:r>
      <w:r>
        <w:rPr>
          <w:rFonts w:hint="eastAsia" w:ascii="仿宋_GB2312" w:hAnsi="仿宋_GB2312" w:eastAsia="仿宋_GB2312"/>
          <w:b w:val="0"/>
          <w:sz w:val="32"/>
          <w:lang w:eastAsia="zh-CN"/>
        </w:rPr>
        <w:t>地</w:t>
      </w:r>
      <w:r>
        <w:rPr>
          <w:rFonts w:ascii="仿宋_GB2312" w:hAnsi="仿宋_GB2312" w:eastAsia="仿宋_GB2312"/>
          <w:b w:val="0"/>
          <w:sz w:val="32"/>
        </w:rPr>
        <w:t>避免了在经费使用上出现违规行为的</w:t>
      </w:r>
      <w:r>
        <w:rPr>
          <w:rFonts w:hint="eastAsia" w:ascii="仿宋_GB2312" w:hAnsi="仿宋_GB2312" w:eastAsia="仿宋_GB2312"/>
          <w:b w:val="0"/>
          <w:sz w:val="32"/>
          <w:lang w:eastAsia="zh-CN"/>
        </w:rPr>
        <w:t>概率</w:t>
      </w:r>
      <w:r>
        <w:rPr>
          <w:rFonts w:ascii="仿宋_GB2312" w:hAnsi="仿宋_GB2312" w:eastAsia="仿宋_GB2312"/>
          <w:b w:val="0"/>
          <w:sz w:val="32"/>
        </w:rPr>
        <w:t>，提升了部门管理水平和资金使用效益，为全面实施绩效管理打下了坚实的基础。发现的问题及原因：一是人员结构不合理。基层检察院面临办案力量不足、年轻干警经验不足、干警业务素质参差不齐等问题；二是检察监督理念需转变，还存在不敢监督、不善监督、监督不准确、手段不足等问题；三是实现“四大检察”业务全面协调充分发展有差距，补齐业务短板还需更多实招硬招；四是检察队伍整体素能存在差距，案多人少人弱的矛盾仍然突出。下一步改进措施：一是优化人员结构。通过招聘、</w:t>
      </w:r>
      <w:r>
        <w:rPr>
          <w:rFonts w:hint="eastAsia" w:ascii="仿宋_GB2312" w:hAnsi="仿宋_GB2312" w:eastAsia="仿宋_GB2312"/>
          <w:b w:val="0"/>
          <w:sz w:val="32"/>
          <w:lang w:eastAsia="zh-CN"/>
        </w:rPr>
        <w:t>培训</w:t>
      </w:r>
      <w:r>
        <w:rPr>
          <w:rFonts w:ascii="仿宋_GB2312" w:hAnsi="仿宋_GB2312" w:eastAsia="仿宋_GB2312"/>
          <w:b w:val="0"/>
          <w:sz w:val="32"/>
        </w:rPr>
        <w:t>等方式、提高检察官的业务素质和办案能力，建立合理的人才梯队。提高本单位工作人员的绩效管理能力和工作水平，为预算绩效管理相关工作的顺利开展提供保障；二是加强预算管理和资源配置。细化预算编制，提高预算执行率，确保检察官及辅助人员的工资和日常公用经费充足；三是促进跨部门合作。加强与公安部门、法院、法律服务所等机构的沟通协作，形成工作合力。具体附整体支出绩效自评表，项目支出绩效自评表和评价报告。</w:t>
      </w:r>
    </w:p>
    <w:p w14:paraId="2D2C4943">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229581E1">
        <w:tblPrEx>
          <w:tblCellMar>
            <w:top w:w="0" w:type="dxa"/>
            <w:left w:w="108" w:type="dxa"/>
            <w:bottom w:w="0" w:type="dxa"/>
            <w:right w:w="108" w:type="dxa"/>
          </w:tblCellMar>
        </w:tblPrEx>
        <w:tc>
          <w:tcPr>
            <w:tcW w:w="8847" w:type="dxa"/>
            <w:gridSpan w:val="9"/>
            <w:vAlign w:val="center"/>
          </w:tcPr>
          <w:p w14:paraId="09BF301F">
            <w:pPr>
              <w:jc w:val="center"/>
            </w:pPr>
            <w:r>
              <w:rPr>
                <w:rFonts w:ascii="宋体" w:hAnsi="宋体" w:eastAsia="宋体"/>
                <w:sz w:val="24"/>
              </w:rPr>
              <w:t>单位整体支出绩效自评表</w:t>
            </w:r>
          </w:p>
        </w:tc>
      </w:tr>
      <w:tr w14:paraId="196B8A36">
        <w:tblPrEx>
          <w:tblCellMar>
            <w:top w:w="0" w:type="dxa"/>
            <w:left w:w="108" w:type="dxa"/>
            <w:bottom w:w="0" w:type="dxa"/>
            <w:right w:w="108" w:type="dxa"/>
          </w:tblCellMar>
        </w:tblPrEx>
        <w:tc>
          <w:tcPr>
            <w:tcW w:w="8847" w:type="dxa"/>
            <w:gridSpan w:val="9"/>
            <w:vAlign w:val="center"/>
          </w:tcPr>
          <w:p w14:paraId="57937AA7">
            <w:pPr>
              <w:jc w:val="center"/>
            </w:pPr>
            <w:r>
              <w:rPr>
                <w:rFonts w:ascii="宋体" w:hAnsi="宋体" w:eastAsia="宋体"/>
                <w:sz w:val="24"/>
              </w:rPr>
              <w:t>（2024年度）</w:t>
            </w:r>
          </w:p>
        </w:tc>
      </w:tr>
      <w:tr w14:paraId="745318E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FA768D">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10B1D805">
            <w:pPr>
              <w:jc w:val="center"/>
            </w:pPr>
            <w:r>
              <w:rPr>
                <w:rFonts w:ascii="宋体" w:hAnsi="宋体" w:eastAsia="宋体"/>
                <w:sz w:val="16"/>
              </w:rPr>
              <w:t>昌吉市人民检察院</w:t>
            </w:r>
          </w:p>
        </w:tc>
      </w:tr>
      <w:tr w14:paraId="7C615569">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242730">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15E6F8">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A57CE7">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EC7762">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345F70">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BFA578">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5C18CB">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E5CBFF">
            <w:pPr>
              <w:jc w:val="center"/>
            </w:pPr>
            <w:r>
              <w:rPr>
                <w:rFonts w:ascii="宋体" w:hAnsi="宋体" w:eastAsia="宋体"/>
                <w:sz w:val="16"/>
              </w:rPr>
              <w:t>得分</w:t>
            </w:r>
          </w:p>
        </w:tc>
      </w:tr>
      <w:tr w14:paraId="485447B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CD8572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1729DD">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37DF63">
            <w:pPr>
              <w:jc w:val="center"/>
            </w:pPr>
            <w:r>
              <w:rPr>
                <w:rFonts w:ascii="宋体" w:hAnsi="宋体" w:eastAsia="宋体"/>
                <w:sz w:val="16"/>
              </w:rPr>
              <w:t>220.00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3F1246">
            <w:pPr>
              <w:jc w:val="center"/>
            </w:pPr>
            <w:r>
              <w:rPr>
                <w:rFonts w:ascii="宋体" w:hAnsi="宋体" w:eastAsia="宋体"/>
                <w:sz w:val="16"/>
              </w:rPr>
              <w:t>284.32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680783">
            <w:pPr>
              <w:jc w:val="center"/>
            </w:pPr>
            <w:r>
              <w:rPr>
                <w:rFonts w:ascii="宋体" w:hAnsi="宋体" w:eastAsia="宋体"/>
                <w:sz w:val="16"/>
              </w:rPr>
              <w:t>284.32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E27A6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2D32F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56D6C8">
            <w:pPr>
              <w:jc w:val="center"/>
            </w:pPr>
            <w:r>
              <w:rPr>
                <w:rFonts w:ascii="宋体" w:hAnsi="宋体" w:eastAsia="宋体"/>
                <w:sz w:val="16"/>
              </w:rPr>
              <w:t>-</w:t>
            </w:r>
          </w:p>
        </w:tc>
      </w:tr>
      <w:tr w14:paraId="53BCBA7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C45AA0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F1F9C0">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F8FB71">
            <w:pPr>
              <w:jc w:val="center"/>
            </w:pPr>
            <w:r>
              <w:rPr>
                <w:rFonts w:ascii="宋体" w:hAnsi="宋体" w:eastAsia="宋体"/>
                <w:sz w:val="16"/>
              </w:rPr>
              <w:t>1,227.55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9B4912">
            <w:pPr>
              <w:jc w:val="center"/>
            </w:pPr>
            <w:r>
              <w:rPr>
                <w:rFonts w:ascii="宋体" w:hAnsi="宋体" w:eastAsia="宋体"/>
                <w:sz w:val="16"/>
              </w:rPr>
              <w:t>1,296.32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6398F6">
            <w:pPr>
              <w:jc w:val="center"/>
            </w:pPr>
            <w:r>
              <w:rPr>
                <w:rFonts w:ascii="宋体" w:hAnsi="宋体" w:eastAsia="宋体"/>
                <w:sz w:val="16"/>
              </w:rPr>
              <w:t>1,296.32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5C612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8E329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0451E1">
            <w:pPr>
              <w:jc w:val="center"/>
            </w:pPr>
            <w:r>
              <w:rPr>
                <w:rFonts w:ascii="宋体" w:hAnsi="宋体" w:eastAsia="宋体"/>
                <w:sz w:val="16"/>
              </w:rPr>
              <w:t>-</w:t>
            </w:r>
          </w:p>
        </w:tc>
      </w:tr>
      <w:tr w14:paraId="75774AA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A5420C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1F1DBA">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49D0D1">
            <w:pPr>
              <w:jc w:val="center"/>
            </w:pPr>
            <w:r>
              <w:rPr>
                <w:rFonts w:ascii="宋体" w:hAnsi="宋体" w:eastAsia="宋体"/>
                <w:sz w:val="16"/>
              </w:rPr>
              <w:t>90.00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2B4DD6">
            <w:pPr>
              <w:jc w:val="center"/>
            </w:pPr>
            <w:r>
              <w:rPr>
                <w:rFonts w:ascii="宋体" w:hAnsi="宋体" w:eastAsia="宋体"/>
                <w:sz w:val="16"/>
              </w:rPr>
              <w:t>91.83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052945">
            <w:pPr>
              <w:jc w:val="center"/>
            </w:pPr>
            <w:r>
              <w:rPr>
                <w:rFonts w:ascii="宋体" w:hAnsi="宋体" w:eastAsia="宋体"/>
                <w:sz w:val="16"/>
              </w:rPr>
              <w:t>90.00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64D80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E26A9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5A4E7F">
            <w:pPr>
              <w:jc w:val="center"/>
            </w:pPr>
            <w:r>
              <w:rPr>
                <w:rFonts w:ascii="宋体" w:hAnsi="宋体" w:eastAsia="宋体"/>
                <w:sz w:val="16"/>
              </w:rPr>
              <w:t>-</w:t>
            </w:r>
          </w:p>
        </w:tc>
      </w:tr>
      <w:tr w14:paraId="22370B5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C94F11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3C2AA5">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37C570">
            <w:pPr>
              <w:jc w:val="center"/>
            </w:pPr>
            <w:r>
              <w:rPr>
                <w:rFonts w:ascii="宋体" w:hAnsi="宋体" w:eastAsia="宋体"/>
                <w:sz w:val="16"/>
              </w:rPr>
              <w:t>1,537.55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365706">
            <w:pPr>
              <w:jc w:val="center"/>
            </w:pPr>
            <w:r>
              <w:rPr>
                <w:rFonts w:ascii="宋体" w:hAnsi="宋体" w:eastAsia="宋体"/>
                <w:sz w:val="16"/>
              </w:rPr>
              <w:t>1,672.47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677A84">
            <w:pPr>
              <w:jc w:val="center"/>
            </w:pPr>
            <w:r>
              <w:rPr>
                <w:rFonts w:ascii="宋体" w:hAnsi="宋体" w:eastAsia="宋体"/>
                <w:sz w:val="16"/>
              </w:rPr>
              <w:t>1,670.64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0ABC0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B1EDA8">
            <w:pPr>
              <w:jc w:val="center"/>
            </w:pPr>
            <w:r>
              <w:rPr>
                <w:rFonts w:ascii="宋体" w:hAnsi="宋体" w:eastAsia="宋体"/>
                <w:sz w:val="16"/>
              </w:rPr>
              <w:t>99.89%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F7F983">
            <w:pPr>
              <w:jc w:val="center"/>
            </w:pPr>
            <w:r>
              <w:rPr>
                <w:rFonts w:ascii="宋体" w:hAnsi="宋体" w:eastAsia="宋体"/>
                <w:sz w:val="16"/>
              </w:rPr>
              <w:t>9.99</w:t>
            </w:r>
          </w:p>
        </w:tc>
      </w:tr>
      <w:tr w14:paraId="1B26440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696F87">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857F30A">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1954C5F">
            <w:pPr>
              <w:jc w:val="center"/>
            </w:pPr>
            <w:r>
              <w:rPr>
                <w:rFonts w:ascii="宋体" w:hAnsi="宋体" w:eastAsia="宋体"/>
                <w:sz w:val="16"/>
              </w:rPr>
              <w:t>实际完成情况</w:t>
            </w:r>
          </w:p>
        </w:tc>
      </w:tr>
      <w:tr w14:paraId="59110CC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CED3367"/>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28001DA">
            <w:pPr>
              <w:jc w:val="both"/>
            </w:pPr>
            <w:r>
              <w:rPr>
                <w:rFonts w:ascii="宋体" w:hAnsi="宋体" w:eastAsia="宋体"/>
                <w:sz w:val="16"/>
              </w:rPr>
              <w:t>2024年检察工作要坚持以习近平新时代中国特色社会主义思想为指导，全面学习贯彻党的二十大精神，深入贯彻落实全面贯彻习近平法治思想，完整准确贯彻新时代党的治疆方略，牢牢扭住社会稳定和长治久安总目标，全面落实《中共中央关于加强新时代检察机关法律监督工作的意见》及区州党委《实施意见》，加强法律监督工作，推动检察工作高质量发展精神，优化“四大检察”“十大业务”法律监督格局，以高质量发展为主题，以完善检察机关法律监督体系、提升法律监督能力为主线，加强基层组织、基础工作、基本能力建设，深化司法体制改革，</w:t>
            </w:r>
            <w:r>
              <w:rPr>
                <w:rFonts w:hint="eastAsia" w:ascii="宋体" w:hAnsi="宋体"/>
                <w:sz w:val="16"/>
                <w:lang w:eastAsia="zh-CN"/>
              </w:rPr>
              <w:t>更好地服务</w:t>
            </w:r>
            <w:r>
              <w:rPr>
                <w:rFonts w:ascii="宋体" w:hAnsi="宋体" w:eastAsia="宋体"/>
                <w:sz w:val="16"/>
              </w:rPr>
              <w:t>经济社会高质量发展、推动检察工作自身高质量发展，为全面建设社会主义现代化国家提供有力司法保障。</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52DC2D9">
            <w:pPr>
              <w:jc w:val="both"/>
            </w:pPr>
            <w:r>
              <w:rPr>
                <w:rFonts w:ascii="宋体" w:hAnsi="宋体" w:eastAsia="宋体"/>
                <w:sz w:val="16"/>
              </w:rPr>
              <w:t>2024 年</w:t>
            </w:r>
            <w:r>
              <w:rPr>
                <w:rFonts w:hint="eastAsia" w:ascii="宋体" w:hAnsi="宋体"/>
                <w:sz w:val="16"/>
                <w:lang w:eastAsia="zh-CN"/>
              </w:rPr>
              <w:t>本单位</w:t>
            </w:r>
            <w:r>
              <w:rPr>
                <w:rFonts w:ascii="宋体" w:hAnsi="宋体" w:eastAsia="宋体"/>
                <w:sz w:val="16"/>
              </w:rPr>
              <w:t>全年预算数为1,672.47万元，全年执行数为1,670.64万元，总预算执行率为99.89%。2024年</w:t>
            </w:r>
            <w:r>
              <w:rPr>
                <w:rFonts w:hint="eastAsia" w:ascii="宋体" w:hAnsi="宋体"/>
                <w:sz w:val="16"/>
                <w:lang w:eastAsia="zh-CN"/>
              </w:rPr>
              <w:t>本单位</w:t>
            </w:r>
            <w:r>
              <w:rPr>
                <w:rFonts w:ascii="宋体" w:hAnsi="宋体" w:eastAsia="宋体"/>
                <w:sz w:val="16"/>
              </w:rPr>
              <w:t>完成司法救助案件5件，支持检察机关办案1779件，司法</w:t>
            </w:r>
            <w:r>
              <w:rPr>
                <w:rFonts w:hint="eastAsia" w:ascii="宋体" w:hAnsi="宋体"/>
                <w:sz w:val="16"/>
                <w:lang w:eastAsia="zh-CN"/>
              </w:rPr>
              <w:t>救助</w:t>
            </w:r>
            <w:r>
              <w:rPr>
                <w:rFonts w:ascii="宋体" w:hAnsi="宋体" w:eastAsia="宋体"/>
                <w:sz w:val="16"/>
              </w:rPr>
              <w:t>案件办结率100%，案件办结率98%，通过单位工作实施</w:t>
            </w:r>
            <w:r>
              <w:rPr>
                <w:rFonts w:hint="eastAsia" w:ascii="宋体" w:hAnsi="宋体"/>
                <w:sz w:val="16"/>
                <w:lang w:eastAsia="zh-CN"/>
              </w:rPr>
              <w:t>，以</w:t>
            </w:r>
            <w:r>
              <w:rPr>
                <w:rFonts w:ascii="宋体" w:hAnsi="宋体" w:eastAsia="宋体"/>
                <w:sz w:val="16"/>
              </w:rPr>
              <w:t>提升法律监督能力为主线，加强基层组织、基础工作、基本能力建设，深化司法体制改革，</w:t>
            </w:r>
            <w:r>
              <w:rPr>
                <w:rFonts w:hint="eastAsia" w:ascii="宋体" w:hAnsi="宋体"/>
                <w:sz w:val="16"/>
                <w:lang w:eastAsia="zh-CN"/>
              </w:rPr>
              <w:t>更好地服务</w:t>
            </w:r>
            <w:r>
              <w:rPr>
                <w:rFonts w:ascii="宋体" w:hAnsi="宋体" w:eastAsia="宋体"/>
                <w:sz w:val="16"/>
              </w:rPr>
              <w:t>经济社会高质量发展、推动检察工作自身高质量发展，为全面建设社会主义现代化国家提供有力司法保障。</w:t>
            </w:r>
          </w:p>
        </w:tc>
      </w:tr>
      <w:tr w14:paraId="6F30627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18108C">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FF0E44">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F035CF">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4B5688">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70E4F1">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B0DD39">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F331EF">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D330AE">
            <w:pPr>
              <w:jc w:val="center"/>
            </w:pPr>
            <w:r>
              <w:rPr>
                <w:rFonts w:ascii="宋体" w:hAnsi="宋体" w:eastAsia="宋体"/>
                <w:sz w:val="16"/>
              </w:rPr>
              <w:t>得分</w:t>
            </w:r>
          </w:p>
        </w:tc>
      </w:tr>
      <w:tr w14:paraId="67C833B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BF6603">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93C135">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14766E">
            <w:pPr>
              <w:jc w:val="center"/>
            </w:pPr>
            <w:r>
              <w:rPr>
                <w:rFonts w:ascii="宋体" w:hAnsi="宋体" w:eastAsia="宋体"/>
                <w:sz w:val="16"/>
              </w:rPr>
              <w:t>司法救助案件数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42D9D8">
            <w:pPr>
              <w:jc w:val="center"/>
            </w:pPr>
            <w:r>
              <w:rPr>
                <w:rFonts w:ascii="宋体" w:hAnsi="宋体" w:eastAsia="宋体"/>
                <w:sz w:val="16"/>
              </w:rPr>
              <w:t>&gt;=6件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FF5B42">
            <w:pPr>
              <w:jc w:val="center"/>
            </w:pPr>
            <w:r>
              <w:rPr>
                <w:rFonts w:ascii="宋体" w:hAnsi="宋体" w:eastAsia="宋体"/>
                <w:sz w:val="16"/>
              </w:rPr>
              <w:t>州院对基层院考核指标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2D2FD4">
            <w:pPr>
              <w:jc w:val="center"/>
            </w:pPr>
            <w:r>
              <w:rPr>
                <w:rFonts w:ascii="宋体" w:hAnsi="宋体" w:eastAsia="宋体"/>
                <w:sz w:val="16"/>
              </w:rPr>
              <w:t>25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427B68">
            <w:pPr>
              <w:jc w:val="center"/>
            </w:pPr>
            <w:r>
              <w:rPr>
                <w:rFonts w:ascii="宋体" w:hAnsi="宋体" w:eastAsia="宋体"/>
                <w:sz w:val="16"/>
              </w:rPr>
              <w:t>5件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B3A002">
            <w:pPr>
              <w:jc w:val="center"/>
            </w:pPr>
            <w:r>
              <w:rPr>
                <w:rFonts w:ascii="宋体" w:hAnsi="宋体" w:eastAsia="宋体"/>
                <w:sz w:val="16"/>
              </w:rPr>
              <w:t>20.83</w:t>
            </w:r>
          </w:p>
        </w:tc>
      </w:tr>
      <w:tr w14:paraId="2F0B432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738621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6F2EB9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3732C8">
            <w:pPr>
              <w:jc w:val="center"/>
            </w:pPr>
            <w:r>
              <w:rPr>
                <w:rFonts w:ascii="宋体" w:hAnsi="宋体" w:eastAsia="宋体"/>
                <w:sz w:val="16"/>
              </w:rPr>
              <w:t>支持检察机关办案数量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40002F">
            <w:pPr>
              <w:jc w:val="center"/>
            </w:pPr>
            <w:r>
              <w:rPr>
                <w:rFonts w:ascii="宋体" w:hAnsi="宋体" w:eastAsia="宋体"/>
                <w:sz w:val="16"/>
              </w:rPr>
              <w:t>&gt;=1000件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1F2BA2">
            <w:pPr>
              <w:jc w:val="center"/>
            </w:pPr>
            <w:r>
              <w:rPr>
                <w:rFonts w:ascii="宋体" w:hAnsi="宋体" w:eastAsia="宋体"/>
                <w:sz w:val="16"/>
              </w:rPr>
              <w:t>昌吉市检察院2023年工作报告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7905B2">
            <w:pPr>
              <w:jc w:val="center"/>
            </w:pPr>
            <w:r>
              <w:rPr>
                <w:rFonts w:ascii="宋体" w:hAnsi="宋体" w:eastAsia="宋体"/>
                <w:sz w:val="16"/>
              </w:rPr>
              <w:t>25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F6FAA7">
            <w:pPr>
              <w:jc w:val="center"/>
            </w:pPr>
            <w:r>
              <w:rPr>
                <w:rFonts w:ascii="宋体" w:hAnsi="宋体" w:eastAsia="宋体"/>
                <w:sz w:val="16"/>
              </w:rPr>
              <w:t>1779件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25CF34">
            <w:pPr>
              <w:jc w:val="center"/>
            </w:pPr>
            <w:r>
              <w:rPr>
                <w:rFonts w:ascii="宋体" w:hAnsi="宋体" w:eastAsia="宋体"/>
                <w:sz w:val="16"/>
              </w:rPr>
              <w:t>25</w:t>
            </w:r>
          </w:p>
        </w:tc>
      </w:tr>
      <w:tr w14:paraId="6169649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E0715B5"/>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36D1C7">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0A4506">
            <w:pPr>
              <w:jc w:val="center"/>
            </w:pPr>
            <w:r>
              <w:rPr>
                <w:rFonts w:ascii="宋体" w:hAnsi="宋体" w:eastAsia="宋体"/>
                <w:sz w:val="16"/>
              </w:rPr>
              <w:t>司法</w:t>
            </w:r>
            <w:r>
              <w:rPr>
                <w:rFonts w:hint="eastAsia" w:ascii="宋体" w:hAnsi="宋体"/>
                <w:sz w:val="16"/>
                <w:lang w:eastAsia="zh-CN"/>
              </w:rPr>
              <w:t>救助</w:t>
            </w:r>
            <w:r>
              <w:rPr>
                <w:rFonts w:ascii="宋体" w:hAnsi="宋体" w:eastAsia="宋体"/>
                <w:sz w:val="16"/>
              </w:rPr>
              <w:t>案件办结率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C90042">
            <w:pPr>
              <w:jc w:val="center"/>
            </w:pPr>
            <w:r>
              <w:rPr>
                <w:rFonts w:ascii="宋体" w:hAnsi="宋体" w:eastAsia="宋体"/>
                <w:sz w:val="16"/>
              </w:rPr>
              <w:t>&gt;=100%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8E3632">
            <w:pPr>
              <w:jc w:val="center"/>
            </w:pPr>
            <w:r>
              <w:rPr>
                <w:rFonts w:ascii="宋体" w:hAnsi="宋体" w:eastAsia="宋体"/>
                <w:sz w:val="16"/>
              </w:rPr>
              <w:t>昌吉市检察院2023年工作报告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192AC4">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3D05D6">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2080E5">
            <w:pPr>
              <w:jc w:val="center"/>
            </w:pPr>
            <w:r>
              <w:rPr>
                <w:rFonts w:ascii="宋体" w:hAnsi="宋体" w:eastAsia="宋体"/>
                <w:sz w:val="16"/>
              </w:rPr>
              <w:t>20</w:t>
            </w:r>
          </w:p>
        </w:tc>
      </w:tr>
      <w:tr w14:paraId="736660A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DE03A3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EA4BD9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A7DD7F">
            <w:pPr>
              <w:jc w:val="center"/>
            </w:pPr>
            <w:r>
              <w:rPr>
                <w:rFonts w:ascii="宋体" w:hAnsi="宋体" w:eastAsia="宋体"/>
                <w:sz w:val="16"/>
              </w:rPr>
              <w:t>案件办结率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FC95BD">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DDF061">
            <w:pPr>
              <w:jc w:val="center"/>
            </w:pPr>
            <w:r>
              <w:rPr>
                <w:rFonts w:ascii="宋体" w:hAnsi="宋体" w:eastAsia="宋体"/>
                <w:sz w:val="16"/>
              </w:rPr>
              <w:t>昌吉市检察院2023年工作报告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3F59FE">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68E03E">
            <w:pPr>
              <w:jc w:val="center"/>
            </w:pPr>
            <w:r>
              <w:rPr>
                <w:rFonts w:ascii="宋体" w:hAnsi="宋体" w:eastAsia="宋体"/>
                <w:sz w:val="16"/>
              </w:rPr>
              <w:t>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5A04C0">
            <w:pPr>
              <w:jc w:val="center"/>
            </w:pPr>
            <w:r>
              <w:rPr>
                <w:rFonts w:ascii="宋体" w:hAnsi="宋体" w:eastAsia="宋体"/>
                <w:sz w:val="16"/>
              </w:rPr>
              <w:t>20</w:t>
            </w:r>
          </w:p>
        </w:tc>
      </w:tr>
    </w:tbl>
    <w:p w14:paraId="1E3EEE3E">
      <w:r>
        <w:br w:type="page"/>
      </w:r>
    </w:p>
    <w:tbl>
      <w:tblPr>
        <w:tblStyle w:val="9"/>
        <w:tblW w:w="0" w:type="auto"/>
        <w:tblInd w:w="0" w:type="dxa"/>
        <w:tblLayout w:type="autofit"/>
        <w:tblCellMar>
          <w:top w:w="0" w:type="dxa"/>
          <w:left w:w="108" w:type="dxa"/>
          <w:bottom w:w="0" w:type="dxa"/>
          <w:right w:w="108" w:type="dxa"/>
        </w:tblCellMar>
      </w:tblPr>
      <w:tblGrid>
        <w:gridCol w:w="617"/>
        <w:gridCol w:w="592"/>
        <w:gridCol w:w="592"/>
        <w:gridCol w:w="617"/>
        <w:gridCol w:w="604"/>
        <w:gridCol w:w="856"/>
        <w:gridCol w:w="776"/>
        <w:gridCol w:w="776"/>
        <w:gridCol w:w="629"/>
        <w:gridCol w:w="592"/>
        <w:gridCol w:w="592"/>
        <w:gridCol w:w="594"/>
        <w:gridCol w:w="593"/>
        <w:gridCol w:w="630"/>
      </w:tblGrid>
      <w:tr w14:paraId="3D528E58">
        <w:tblPrEx>
          <w:tblCellMar>
            <w:top w:w="0" w:type="dxa"/>
            <w:left w:w="108" w:type="dxa"/>
            <w:bottom w:w="0" w:type="dxa"/>
            <w:right w:w="108" w:type="dxa"/>
          </w:tblCellMar>
        </w:tblPrEx>
        <w:tc>
          <w:tcPr>
            <w:tcW w:w="8848" w:type="dxa"/>
            <w:gridSpan w:val="14"/>
            <w:vAlign w:val="center"/>
          </w:tcPr>
          <w:p w14:paraId="4216480E">
            <w:pPr>
              <w:jc w:val="center"/>
            </w:pPr>
            <w:r>
              <w:rPr>
                <w:rFonts w:ascii="宋体" w:hAnsi="宋体" w:eastAsia="宋体"/>
                <w:sz w:val="24"/>
              </w:rPr>
              <w:t>项目支出绩效自评表</w:t>
            </w:r>
          </w:p>
        </w:tc>
      </w:tr>
      <w:tr w14:paraId="50B894DB">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A6A838B">
            <w:pPr>
              <w:jc w:val="center"/>
            </w:pPr>
            <w:r>
              <w:rPr>
                <w:rFonts w:ascii="宋体" w:hAnsi="宋体" w:eastAsia="宋体"/>
                <w:sz w:val="24"/>
              </w:rPr>
              <w:t>(2024年度)</w:t>
            </w:r>
          </w:p>
        </w:tc>
      </w:tr>
      <w:tr w14:paraId="7900E63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7366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A32CF72">
            <w:pPr>
              <w:jc w:val="center"/>
            </w:pPr>
            <w:r>
              <w:rPr>
                <w:rFonts w:ascii="宋体" w:hAnsi="宋体" w:eastAsia="宋体"/>
                <w:sz w:val="16"/>
              </w:rPr>
              <w:t>昌吉市人民检察院办公大楼外墙维修项目</w:t>
            </w:r>
          </w:p>
        </w:tc>
      </w:tr>
      <w:tr w14:paraId="1BD62AB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6582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75895A0">
            <w:pPr>
              <w:jc w:val="center"/>
            </w:pPr>
            <w:r>
              <w:rPr>
                <w:rFonts w:ascii="宋体" w:hAnsi="宋体" w:eastAsia="宋体"/>
                <w:sz w:val="16"/>
              </w:rPr>
              <w:t>昌吉市人民检察院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0ED4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ABDF81F">
            <w:pPr>
              <w:jc w:val="center"/>
            </w:pPr>
            <w:r>
              <w:rPr>
                <w:rFonts w:ascii="宋体" w:hAnsi="宋体" w:eastAsia="宋体"/>
                <w:sz w:val="16"/>
              </w:rPr>
              <w:t>昌吉市人民检察院</w:t>
            </w:r>
          </w:p>
        </w:tc>
      </w:tr>
      <w:tr w14:paraId="21BD8D1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7ACD89">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B8EFFE">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5B6AA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2967E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10889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E03B6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A0145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1FFB1">
            <w:pPr>
              <w:jc w:val="center"/>
            </w:pPr>
            <w:r>
              <w:rPr>
                <w:rFonts w:ascii="宋体" w:hAnsi="宋体" w:eastAsia="宋体"/>
                <w:sz w:val="16"/>
              </w:rPr>
              <w:t>得分</w:t>
            </w:r>
          </w:p>
        </w:tc>
      </w:tr>
      <w:tr w14:paraId="394062A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CD35E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3C1AF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94F6AC">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F90792">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3F6C19">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C7713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656C8D">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F36B5">
            <w:pPr>
              <w:jc w:val="center"/>
            </w:pPr>
            <w:r>
              <w:rPr>
                <w:rFonts w:ascii="宋体" w:hAnsi="宋体" w:eastAsia="宋体"/>
                <w:sz w:val="16"/>
              </w:rPr>
              <w:t>10.00</w:t>
            </w:r>
          </w:p>
        </w:tc>
      </w:tr>
      <w:tr w14:paraId="12E922C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8E46D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0B915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7D3B7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78FB3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B4C00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9935C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C87C1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E563B">
            <w:pPr>
              <w:jc w:val="center"/>
            </w:pPr>
            <w:r>
              <w:rPr>
                <w:rFonts w:ascii="宋体" w:hAnsi="宋体" w:eastAsia="宋体"/>
                <w:sz w:val="16"/>
              </w:rPr>
              <w:t>—</w:t>
            </w:r>
          </w:p>
        </w:tc>
      </w:tr>
      <w:tr w14:paraId="3F907C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2309A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F7BED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9BBDD0">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3FF814">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616F8E">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FDCA9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54147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15671">
            <w:pPr>
              <w:jc w:val="center"/>
            </w:pPr>
            <w:r>
              <w:rPr>
                <w:rFonts w:ascii="宋体" w:hAnsi="宋体" w:eastAsia="宋体"/>
                <w:sz w:val="16"/>
              </w:rPr>
              <w:t>—</w:t>
            </w:r>
          </w:p>
        </w:tc>
      </w:tr>
      <w:tr w14:paraId="139AA30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7CE65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3AAC90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C0DEC39">
            <w:pPr>
              <w:jc w:val="center"/>
            </w:pPr>
            <w:r>
              <w:rPr>
                <w:rFonts w:ascii="宋体" w:hAnsi="宋体" w:eastAsia="宋体"/>
                <w:sz w:val="16"/>
              </w:rPr>
              <w:t>实际完成情况</w:t>
            </w:r>
          </w:p>
        </w:tc>
      </w:tr>
      <w:tr w14:paraId="107DD8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4981A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03CB124">
            <w:pPr>
              <w:jc w:val="both"/>
            </w:pPr>
            <w:r>
              <w:rPr>
                <w:rFonts w:ascii="宋体" w:hAnsi="宋体" w:eastAsia="宋体"/>
                <w:sz w:val="16"/>
              </w:rPr>
              <w:t>该项目产出为拆除原有外墙饰面层、抹灰20厚挂网抗裂砂浆5mm，100厚A级聚能板保温，面层5mm厚抗裂砂浆加网格布一道。主要功能：检察办案。达到的效果：提升了机关人员的人身和设施安全、改善了办公楼条件，进一步提升了检察工作后勤保障质量</w:t>
            </w:r>
            <w:r>
              <w:rPr>
                <w:rFonts w:hint="eastAsia" w:ascii="宋体" w:hAnsi="宋体"/>
                <w:sz w:val="16"/>
                <w:lang w:eastAsia="zh-CN"/>
              </w:rPr>
              <w:t>。</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9311E3B">
            <w:pPr>
              <w:jc w:val="both"/>
            </w:pPr>
            <w:r>
              <w:rPr>
                <w:rFonts w:hint="eastAsia" w:ascii="宋体" w:hAnsi="宋体"/>
                <w:sz w:val="16"/>
                <w:lang w:eastAsia="zh-CN"/>
              </w:rPr>
              <w:t>截至</w:t>
            </w:r>
            <w:r>
              <w:rPr>
                <w:rFonts w:ascii="宋体" w:hAnsi="宋体" w:eastAsia="宋体"/>
                <w:sz w:val="16"/>
              </w:rPr>
              <w:t>2024年12月31日，该项目已完工，办公大楼外墙修缮面积1487.2平方米，工程验收合格率100%，按合同约定支付合同金额的100%，50万元，预算执行率100%，总体完成率100%。该项目完成后，全面提升了机关人员的人身和设施安全、改善了办公楼卫生条件，进一步提升了检察工作后勤保障质量。</w:t>
            </w:r>
          </w:p>
        </w:tc>
      </w:tr>
      <w:tr w14:paraId="677B186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B69BE7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F3E4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0925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A073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0C29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3D341">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35180">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336B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AFBD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2BE4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8DCBB">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DA4D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4621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6FC83">
            <w:pPr>
              <w:jc w:val="center"/>
            </w:pPr>
            <w:r>
              <w:rPr>
                <w:rFonts w:ascii="宋体" w:hAnsi="宋体" w:eastAsia="宋体"/>
                <w:sz w:val="16"/>
              </w:rPr>
              <w:t>偏差原因分析及改进措施</w:t>
            </w:r>
          </w:p>
        </w:tc>
      </w:tr>
      <w:tr w14:paraId="3C9D91E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4A2E0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22F91C">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D225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5E45A">
            <w:pPr>
              <w:jc w:val="center"/>
            </w:pPr>
            <w:r>
              <w:rPr>
                <w:rFonts w:ascii="宋体" w:hAnsi="宋体" w:eastAsia="宋体"/>
                <w:sz w:val="16"/>
              </w:rPr>
              <w:t>大楼修缮面积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5100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038F3">
            <w:pPr>
              <w:jc w:val="center"/>
            </w:pPr>
            <w:r>
              <w:rPr>
                <w:rFonts w:ascii="宋体" w:hAnsi="宋体" w:eastAsia="宋体"/>
                <w:sz w:val="16"/>
              </w:rPr>
              <w:t>&gt;=1487.2平方米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658F1">
            <w:pPr>
              <w:jc w:val="center"/>
            </w:pPr>
            <w:r>
              <w:rPr>
                <w:rFonts w:ascii="宋体" w:hAnsi="宋体" w:eastAsia="宋体"/>
                <w:sz w:val="16"/>
              </w:rPr>
              <w:t>=1487.2平方米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7ED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C93F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9700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8DA5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2334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62F6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4763F">
            <w:pPr>
              <w:jc w:val="center"/>
            </w:pPr>
          </w:p>
        </w:tc>
      </w:tr>
      <w:tr w14:paraId="1E196B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35787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3A86B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BEC2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7AA56">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33C3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E9C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1928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5F8B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5900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C0A0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CDA9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EA70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6C54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67E72">
            <w:pPr>
              <w:jc w:val="center"/>
            </w:pPr>
          </w:p>
        </w:tc>
      </w:tr>
      <w:tr w14:paraId="3D6383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80A6B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49F06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16AF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D6C04">
            <w:pPr>
              <w:jc w:val="center"/>
            </w:pPr>
            <w:r>
              <w:rPr>
                <w:rFonts w:ascii="宋体" w:hAnsi="宋体" w:eastAsia="宋体"/>
                <w:sz w:val="16"/>
              </w:rPr>
              <w:t>资金拨付及时率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AE59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9A34D">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891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9E7D0">
            <w:pPr>
              <w:jc w:val="center"/>
            </w:pPr>
            <w:r>
              <w:rPr>
                <w:rFonts w:ascii="宋体" w:hAnsi="宋体" w:eastAsia="宋体"/>
                <w:sz w:val="16"/>
              </w:rPr>
              <w:t>102.04%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0D913">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0FD1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585E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2B23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C5BE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B4123">
            <w:pPr>
              <w:jc w:val="center"/>
            </w:pPr>
            <w:r>
              <w:rPr>
                <w:rFonts w:ascii="宋体" w:hAnsi="宋体" w:eastAsia="宋体"/>
                <w:sz w:val="16"/>
              </w:rPr>
              <w:t>因设置目标时，年初设定目标偏低，在实际执行过程中，资金能及时拨付，故产生偏差</w:t>
            </w:r>
          </w:p>
        </w:tc>
      </w:tr>
      <w:tr w14:paraId="221959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293BB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2CBAD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D65DC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EEAE2">
            <w:pPr>
              <w:jc w:val="center"/>
            </w:pPr>
            <w:r>
              <w:rPr>
                <w:rFonts w:ascii="宋体" w:hAnsi="宋体" w:eastAsia="宋体"/>
                <w:sz w:val="16"/>
              </w:rPr>
              <w:t>外墙维修装饰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C9C7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82B34">
            <w:pPr>
              <w:jc w:val="center"/>
            </w:pPr>
            <w:r>
              <w:rPr>
                <w:rFonts w:ascii="宋体" w:hAnsi="宋体" w:eastAsia="宋体"/>
                <w:sz w:val="16"/>
              </w:rPr>
              <w:t>&lt;=25万元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3BD5F">
            <w:pPr>
              <w:jc w:val="center"/>
            </w:pPr>
            <w:r>
              <w:rPr>
                <w:rFonts w:ascii="宋体" w:hAnsi="宋体" w:eastAsia="宋体"/>
                <w:sz w:val="16"/>
              </w:rPr>
              <w:t>=25万元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F79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DCB3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6B95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14F7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E06C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73C8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4F47E">
            <w:pPr>
              <w:jc w:val="center"/>
            </w:pPr>
          </w:p>
        </w:tc>
      </w:tr>
      <w:tr w14:paraId="4FF139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DAC00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94CE3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06E4A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44DF9">
            <w:pPr>
              <w:jc w:val="center"/>
            </w:pPr>
            <w:r>
              <w:rPr>
                <w:rFonts w:ascii="宋体" w:hAnsi="宋体" w:eastAsia="宋体"/>
                <w:sz w:val="16"/>
              </w:rPr>
              <w:t>保温隔热墙面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548D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6C522">
            <w:pPr>
              <w:jc w:val="center"/>
            </w:pPr>
            <w:r>
              <w:rPr>
                <w:rFonts w:ascii="宋体" w:hAnsi="宋体" w:eastAsia="宋体"/>
                <w:sz w:val="16"/>
              </w:rPr>
              <w:t>&lt;=25万元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0B43F">
            <w:pPr>
              <w:jc w:val="center"/>
            </w:pPr>
            <w:r>
              <w:rPr>
                <w:rFonts w:ascii="宋体" w:hAnsi="宋体" w:eastAsia="宋体"/>
                <w:sz w:val="16"/>
              </w:rPr>
              <w:t>=25万元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E8C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FEFA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0F2F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6DB6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D267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AEA4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D2E32">
            <w:pPr>
              <w:jc w:val="center"/>
            </w:pPr>
          </w:p>
        </w:tc>
      </w:tr>
      <w:tr w14:paraId="3F15804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DD99D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078796">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3F0F1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6C2D8">
            <w:pPr>
              <w:jc w:val="center"/>
            </w:pPr>
            <w:r>
              <w:rPr>
                <w:rFonts w:ascii="宋体" w:hAnsi="宋体" w:eastAsia="宋体"/>
                <w:sz w:val="16"/>
              </w:rPr>
              <w:t>改善办公环境，保障办案安全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A652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75C2A">
            <w:pPr>
              <w:jc w:val="center"/>
            </w:pPr>
            <w:r>
              <w:rPr>
                <w:rFonts w:ascii="宋体" w:hAnsi="宋体" w:eastAsia="宋体"/>
                <w:sz w:val="16"/>
              </w:rPr>
              <w:t>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2DE2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DEE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2413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7D7C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443C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5830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B4E5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D7259">
            <w:pPr>
              <w:jc w:val="center"/>
            </w:pPr>
          </w:p>
        </w:tc>
      </w:tr>
      <w:tr w14:paraId="538D9E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7960F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2A505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F8C3E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4B2B8">
            <w:pPr>
              <w:jc w:val="center"/>
            </w:pPr>
            <w:r>
              <w:rPr>
                <w:rFonts w:ascii="宋体" w:hAnsi="宋体" w:eastAsia="宋体"/>
                <w:sz w:val="16"/>
              </w:rPr>
              <w:t>受益人数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9C19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CC063">
            <w:pPr>
              <w:jc w:val="center"/>
            </w:pPr>
            <w:r>
              <w:rPr>
                <w:rFonts w:ascii="宋体" w:hAnsi="宋体" w:eastAsia="宋体"/>
                <w:sz w:val="16"/>
              </w:rPr>
              <w:t>&gt;=65人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289DD">
            <w:pPr>
              <w:jc w:val="center"/>
            </w:pPr>
            <w:r>
              <w:rPr>
                <w:rFonts w:ascii="宋体" w:hAnsi="宋体" w:eastAsia="宋体"/>
                <w:sz w:val="16"/>
              </w:rPr>
              <w:t>=70人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7DD70">
            <w:pPr>
              <w:jc w:val="center"/>
            </w:pPr>
            <w:r>
              <w:rPr>
                <w:rFonts w:ascii="宋体" w:hAnsi="宋体" w:eastAsia="宋体"/>
                <w:sz w:val="16"/>
              </w:rPr>
              <w:t>107.69%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898EB">
            <w:pPr>
              <w:jc w:val="center"/>
            </w:pPr>
            <w:r>
              <w:rPr>
                <w:rFonts w:ascii="宋体" w:hAnsi="宋体" w:eastAsia="宋体"/>
                <w:sz w:val="16"/>
              </w:rPr>
              <w:t>9.23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4583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5A84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4B70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CEDF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F26B0">
            <w:pPr>
              <w:jc w:val="center"/>
            </w:pPr>
            <w:r>
              <w:rPr>
                <w:rFonts w:ascii="宋体" w:hAnsi="宋体" w:eastAsia="宋体"/>
                <w:sz w:val="16"/>
              </w:rPr>
              <w:t>因年初设置目标偏低，年中</w:t>
            </w:r>
            <w:r>
              <w:rPr>
                <w:rFonts w:hint="eastAsia" w:ascii="宋体" w:hAnsi="宋体"/>
                <w:sz w:val="16"/>
                <w:lang w:eastAsia="zh-CN"/>
              </w:rPr>
              <w:t>受益</w:t>
            </w:r>
            <w:r>
              <w:rPr>
                <w:rFonts w:ascii="宋体" w:hAnsi="宋体" w:eastAsia="宋体"/>
                <w:sz w:val="16"/>
              </w:rPr>
              <w:t>人员增加，故产生偏差。</w:t>
            </w:r>
          </w:p>
        </w:tc>
      </w:tr>
      <w:tr w14:paraId="5F8A16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7F3F1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31DA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A86C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67F6C">
            <w:pPr>
              <w:jc w:val="center"/>
            </w:pPr>
            <w:r>
              <w:rPr>
                <w:rFonts w:hint="eastAsia" w:ascii="宋体" w:hAnsi="宋体"/>
                <w:sz w:val="16"/>
                <w:lang w:eastAsia="zh-CN"/>
              </w:rPr>
              <w:t>受益</w:t>
            </w:r>
            <w:r>
              <w:rPr>
                <w:rFonts w:ascii="宋体" w:hAnsi="宋体" w:eastAsia="宋体"/>
                <w:sz w:val="16"/>
              </w:rPr>
              <w:t>对象满意度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500E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2D055">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33EE4">
            <w:pPr>
              <w:jc w:val="center"/>
            </w:pPr>
            <w:r>
              <w:rPr>
                <w:rFonts w:ascii="宋体" w:hAnsi="宋体" w:eastAsia="宋体"/>
                <w:sz w:val="16"/>
              </w:rPr>
              <w:t>=97%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170F7">
            <w:pPr>
              <w:jc w:val="center"/>
            </w:pPr>
            <w:r>
              <w:rPr>
                <w:rFonts w:ascii="宋体" w:hAnsi="宋体" w:eastAsia="宋体"/>
                <w:sz w:val="16"/>
              </w:rPr>
              <w:t>102.1%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C3CE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09E1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AB7C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05A19">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A8C8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8097B">
            <w:pPr>
              <w:jc w:val="center"/>
            </w:pPr>
            <w:r>
              <w:rPr>
                <w:rFonts w:ascii="宋体" w:hAnsi="宋体" w:eastAsia="宋体"/>
                <w:sz w:val="16"/>
              </w:rPr>
              <w:t>因我院年初目标设置偏低，实际工作开展较好，满意度较高，故产生偏差</w:t>
            </w:r>
            <w:r>
              <w:rPr>
                <w:rFonts w:hint="eastAsia" w:ascii="宋体" w:hAnsi="宋体"/>
                <w:sz w:val="16"/>
                <w:lang w:eastAsia="zh-CN"/>
              </w:rPr>
              <w:t>。</w:t>
            </w:r>
          </w:p>
        </w:tc>
      </w:tr>
      <w:tr w14:paraId="4FF83B5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A60493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654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C80CF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38538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D564A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82370">
            <w:pPr>
              <w:jc w:val="center"/>
            </w:pPr>
            <w:r>
              <w:rPr>
                <w:rFonts w:ascii="宋体" w:hAnsi="宋体" w:eastAsia="宋体"/>
                <w:sz w:val="16"/>
              </w:rPr>
              <w:t>99.03分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04245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A5B29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4C53A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08CA9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D0B2C2"/>
        </w:tc>
      </w:tr>
    </w:tbl>
    <w:p w14:paraId="6CFAD7FF">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32"/>
        <w:gridCol w:w="632"/>
        <w:gridCol w:w="632"/>
        <w:gridCol w:w="632"/>
        <w:gridCol w:w="632"/>
        <w:gridCol w:w="632"/>
      </w:tblGrid>
      <w:tr w14:paraId="21D45BC7">
        <w:tblPrEx>
          <w:tblCellMar>
            <w:top w:w="0" w:type="dxa"/>
            <w:left w:w="108" w:type="dxa"/>
            <w:bottom w:w="0" w:type="dxa"/>
            <w:right w:w="108" w:type="dxa"/>
          </w:tblCellMar>
        </w:tblPrEx>
        <w:tc>
          <w:tcPr>
            <w:tcW w:w="8848" w:type="dxa"/>
            <w:gridSpan w:val="14"/>
            <w:vAlign w:val="center"/>
          </w:tcPr>
          <w:p w14:paraId="1B640660">
            <w:pPr>
              <w:jc w:val="center"/>
            </w:pPr>
            <w:r>
              <w:rPr>
                <w:rFonts w:ascii="宋体" w:hAnsi="宋体" w:eastAsia="宋体"/>
                <w:sz w:val="24"/>
              </w:rPr>
              <w:t>项目支出绩效自评表</w:t>
            </w:r>
          </w:p>
        </w:tc>
      </w:tr>
      <w:tr w14:paraId="4F7BE9A1">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256EF9F">
            <w:pPr>
              <w:jc w:val="center"/>
            </w:pPr>
            <w:r>
              <w:rPr>
                <w:rFonts w:ascii="宋体" w:hAnsi="宋体" w:eastAsia="宋体"/>
                <w:sz w:val="24"/>
              </w:rPr>
              <w:t>(2024年度)</w:t>
            </w:r>
          </w:p>
        </w:tc>
      </w:tr>
      <w:tr w14:paraId="7EE2976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C7D5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8A44B19">
            <w:pPr>
              <w:jc w:val="center"/>
            </w:pPr>
            <w:r>
              <w:rPr>
                <w:rFonts w:ascii="宋体" w:hAnsi="宋体" w:eastAsia="宋体"/>
                <w:sz w:val="16"/>
              </w:rPr>
              <w:t>昌吉市人民检察院新闻宣传片制作项目</w:t>
            </w:r>
          </w:p>
        </w:tc>
      </w:tr>
      <w:tr w14:paraId="41C1CD3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A2DF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1B22250">
            <w:pPr>
              <w:jc w:val="center"/>
            </w:pPr>
            <w:r>
              <w:rPr>
                <w:rFonts w:ascii="宋体" w:hAnsi="宋体" w:eastAsia="宋体"/>
                <w:sz w:val="16"/>
              </w:rPr>
              <w:t>昌吉市人民检察院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D53F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C622572">
            <w:pPr>
              <w:jc w:val="center"/>
            </w:pPr>
            <w:r>
              <w:rPr>
                <w:rFonts w:ascii="宋体" w:hAnsi="宋体" w:eastAsia="宋体"/>
                <w:sz w:val="16"/>
              </w:rPr>
              <w:t>昌吉市人民检察院</w:t>
            </w:r>
          </w:p>
        </w:tc>
      </w:tr>
      <w:tr w14:paraId="2D2447E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F5120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E45252">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2CAE2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374E2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3DC38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9F6035">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9706B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CE5D3">
            <w:pPr>
              <w:jc w:val="center"/>
            </w:pPr>
            <w:r>
              <w:rPr>
                <w:rFonts w:ascii="宋体" w:hAnsi="宋体" w:eastAsia="宋体"/>
                <w:sz w:val="16"/>
              </w:rPr>
              <w:t>得分</w:t>
            </w:r>
          </w:p>
        </w:tc>
      </w:tr>
      <w:tr w14:paraId="3A54E4F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03914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A3B8B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3554E6">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CD3A8C">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ADBCED">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FE122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AB5AFD">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FA5AC">
            <w:pPr>
              <w:jc w:val="center"/>
            </w:pPr>
            <w:r>
              <w:rPr>
                <w:rFonts w:ascii="宋体" w:hAnsi="宋体" w:eastAsia="宋体"/>
                <w:sz w:val="16"/>
              </w:rPr>
              <w:t>10.00</w:t>
            </w:r>
          </w:p>
        </w:tc>
      </w:tr>
      <w:tr w14:paraId="3CE84C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3A90B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44595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85584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90C89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5C44C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1CDCA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98CE2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BCBB9">
            <w:pPr>
              <w:jc w:val="center"/>
            </w:pPr>
            <w:r>
              <w:rPr>
                <w:rFonts w:ascii="宋体" w:hAnsi="宋体" w:eastAsia="宋体"/>
                <w:sz w:val="16"/>
              </w:rPr>
              <w:t>—</w:t>
            </w:r>
          </w:p>
        </w:tc>
      </w:tr>
      <w:tr w14:paraId="284C0C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490D2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86CDA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1A4475">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5F911B">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C715C5">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9F4E2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78438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712E4">
            <w:pPr>
              <w:jc w:val="center"/>
            </w:pPr>
            <w:r>
              <w:rPr>
                <w:rFonts w:ascii="宋体" w:hAnsi="宋体" w:eastAsia="宋体"/>
                <w:sz w:val="16"/>
              </w:rPr>
              <w:t>—</w:t>
            </w:r>
          </w:p>
        </w:tc>
      </w:tr>
      <w:tr w14:paraId="348632B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FB7DC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D7AD36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D778B6C">
            <w:pPr>
              <w:jc w:val="center"/>
            </w:pPr>
            <w:r>
              <w:rPr>
                <w:rFonts w:ascii="宋体" w:hAnsi="宋体" w:eastAsia="宋体"/>
                <w:sz w:val="16"/>
              </w:rPr>
              <w:t>实际完成情况</w:t>
            </w:r>
          </w:p>
        </w:tc>
      </w:tr>
      <w:tr w14:paraId="41BF60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21D75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AE33FE0">
            <w:pPr>
              <w:jc w:val="both"/>
            </w:pPr>
            <w:r>
              <w:rPr>
                <w:rFonts w:ascii="宋体" w:hAnsi="宋体" w:eastAsia="宋体"/>
                <w:sz w:val="16"/>
              </w:rPr>
              <w:t>通过微电影微视频微动漫形式全面展示新时代新征程检察机关坚持“高质效办好每一个案件”的法治故事、检察故事，推动刑事、民事、行政、公益诉讼检察全面协调发展的生动实践，推进检察文化自信自强，激励引导广大检察人员以更高质量履职办案服务强国建设和民族复兴伟业，不断提升人民群众对公平正义的获得感</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B188E23">
            <w:pPr>
              <w:jc w:val="both"/>
            </w:pPr>
            <w:r>
              <w:rPr>
                <w:rFonts w:hint="eastAsia" w:ascii="宋体" w:hAnsi="宋体"/>
                <w:sz w:val="16"/>
                <w:lang w:eastAsia="zh-CN"/>
              </w:rPr>
              <w:t>截至</w:t>
            </w:r>
            <w:r>
              <w:rPr>
                <w:rFonts w:ascii="宋体" w:hAnsi="宋体" w:eastAsia="宋体"/>
                <w:sz w:val="16"/>
              </w:rPr>
              <w:t>2024年1</w:t>
            </w:r>
            <w:bookmarkStart w:id="0" w:name="_GoBack"/>
            <w:r>
              <w:rPr>
                <w:rFonts w:ascii="宋体" w:hAnsi="宋体" w:eastAsia="宋体"/>
                <w:sz w:val="16"/>
              </w:rPr>
              <w:t>2月31日</w:t>
            </w:r>
            <w:bookmarkEnd w:id="0"/>
            <w:r>
              <w:rPr>
                <w:rFonts w:ascii="宋体" w:hAnsi="宋体" w:eastAsia="宋体"/>
                <w:sz w:val="16"/>
              </w:rPr>
              <w:t>，该项目已完工，已拍摄微视频2部，微电影1部，项目验收</w:t>
            </w:r>
            <w:r>
              <w:rPr>
                <w:rFonts w:hint="eastAsia" w:ascii="宋体" w:hAnsi="宋体"/>
                <w:sz w:val="16"/>
                <w:lang w:eastAsia="zh-CN"/>
              </w:rPr>
              <w:t>合格率</w:t>
            </w:r>
            <w:r>
              <w:rPr>
                <w:rFonts w:ascii="宋体" w:hAnsi="宋体" w:eastAsia="宋体"/>
                <w:sz w:val="16"/>
              </w:rPr>
              <w:t>100%，项目款已支付40万元，预算执行率100%，总体完成率87.5%。通过微电影微视频微动漫形式全面展示新时代新征程检察机关坚持“高质效办好每一个案件”的法治故事、检察故事，推动刑事、民事、行政、公益诉讼检察全面协调发展的生动实践，推进检察文化自信自强，激励引导广大检察人员以更高质量履职办案服务强国建设和民族复兴伟业，不断提升人民群众对公平正义的获得感</w:t>
            </w:r>
          </w:p>
        </w:tc>
      </w:tr>
      <w:tr w14:paraId="04230D6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8E06F5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F7E3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6025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288F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9487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8CBCC">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2AED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2431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B6E5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182D2">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1ACCB">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8B252">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81BF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913EE">
            <w:pPr>
              <w:jc w:val="center"/>
            </w:pPr>
            <w:r>
              <w:rPr>
                <w:rFonts w:ascii="宋体" w:hAnsi="宋体" w:eastAsia="宋体"/>
                <w:sz w:val="16"/>
              </w:rPr>
              <w:t>偏差原因分析及改进措施</w:t>
            </w:r>
          </w:p>
        </w:tc>
      </w:tr>
      <w:tr w14:paraId="334C9B2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16A3B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CD8E6E">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7DFA5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8405E">
            <w:pPr>
              <w:jc w:val="center"/>
            </w:pPr>
            <w:r>
              <w:rPr>
                <w:rFonts w:ascii="宋体" w:hAnsi="宋体" w:eastAsia="宋体"/>
                <w:sz w:val="16"/>
              </w:rPr>
              <w:t>拍摄微电影</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7354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C3597">
            <w:pPr>
              <w:jc w:val="center"/>
            </w:pPr>
            <w:r>
              <w:rPr>
                <w:rFonts w:ascii="宋体" w:hAnsi="宋体" w:eastAsia="宋体"/>
                <w:sz w:val="16"/>
              </w:rPr>
              <w:t>=1部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05AF1">
            <w:pPr>
              <w:jc w:val="center"/>
            </w:pPr>
            <w:r>
              <w:rPr>
                <w:rFonts w:ascii="宋体" w:hAnsi="宋体" w:eastAsia="宋体"/>
                <w:sz w:val="16"/>
              </w:rPr>
              <w:t>=1部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B99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08A3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A5DD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9BB6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2CF9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EE2D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B0C17">
            <w:pPr>
              <w:jc w:val="center"/>
            </w:pPr>
          </w:p>
        </w:tc>
      </w:tr>
      <w:tr w14:paraId="224003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B0E5A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AF67E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96014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3CE24">
            <w:pPr>
              <w:jc w:val="center"/>
            </w:pPr>
            <w:r>
              <w:rPr>
                <w:rFonts w:ascii="宋体" w:hAnsi="宋体" w:eastAsia="宋体"/>
                <w:sz w:val="16"/>
              </w:rPr>
              <w:t>拍摄微动漫</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0EA7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889CF">
            <w:pPr>
              <w:jc w:val="center"/>
            </w:pPr>
            <w:r>
              <w:rPr>
                <w:rFonts w:ascii="宋体" w:hAnsi="宋体" w:eastAsia="宋体"/>
                <w:sz w:val="16"/>
              </w:rPr>
              <w:t>&gt;=1部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1C76F">
            <w:pPr>
              <w:jc w:val="center"/>
            </w:pPr>
            <w:r>
              <w:rPr>
                <w:rFonts w:ascii="宋体" w:hAnsi="宋体" w:eastAsia="宋体"/>
                <w:sz w:val="16"/>
              </w:rPr>
              <w:t>=0部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A8BC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B636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DE6C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D8F7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2EEC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8CA8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101D6">
            <w:pPr>
              <w:jc w:val="center"/>
            </w:pPr>
            <w:r>
              <w:rPr>
                <w:rFonts w:ascii="宋体" w:hAnsi="宋体" w:eastAsia="宋体"/>
                <w:sz w:val="16"/>
              </w:rPr>
              <w:t>合同内容变动，改为拍摄微视频</w:t>
            </w:r>
          </w:p>
        </w:tc>
      </w:tr>
      <w:tr w14:paraId="451BD52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60809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58617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4AC47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78BA3">
            <w:pPr>
              <w:jc w:val="center"/>
            </w:pPr>
            <w:r>
              <w:rPr>
                <w:rFonts w:ascii="宋体" w:hAnsi="宋体" w:eastAsia="宋体"/>
                <w:sz w:val="16"/>
              </w:rPr>
              <w:t>拍摄微视频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BF8A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DD9B2">
            <w:pPr>
              <w:jc w:val="center"/>
            </w:pPr>
            <w:r>
              <w:rPr>
                <w:rFonts w:ascii="宋体" w:hAnsi="宋体" w:eastAsia="宋体"/>
                <w:sz w:val="16"/>
              </w:rPr>
              <w:t>&gt;=2部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F863D">
            <w:pPr>
              <w:jc w:val="center"/>
            </w:pPr>
            <w:r>
              <w:rPr>
                <w:rFonts w:ascii="宋体" w:hAnsi="宋体" w:eastAsia="宋体"/>
                <w:sz w:val="16"/>
              </w:rPr>
              <w:t>=2部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2D8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876C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1BAF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C768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0155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6CC3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BB8FA">
            <w:pPr>
              <w:jc w:val="center"/>
            </w:pPr>
          </w:p>
        </w:tc>
      </w:tr>
      <w:tr w14:paraId="1A4730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B1409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0474F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49F9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AB628">
            <w:pPr>
              <w:jc w:val="center"/>
            </w:pPr>
            <w:r>
              <w:rPr>
                <w:rFonts w:ascii="宋体" w:hAnsi="宋体" w:eastAsia="宋体"/>
                <w:sz w:val="16"/>
              </w:rPr>
              <w:t>工作合格率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C17A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B1D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49E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E603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3926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9D811">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D7AC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CE88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BBAB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1884C">
            <w:pPr>
              <w:jc w:val="center"/>
            </w:pPr>
          </w:p>
        </w:tc>
      </w:tr>
      <w:tr w14:paraId="6DD964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366D2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639B2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5CFB8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536EA">
            <w:pPr>
              <w:jc w:val="center"/>
            </w:pPr>
            <w:r>
              <w:rPr>
                <w:rFonts w:ascii="宋体" w:hAnsi="宋体" w:eastAsia="宋体"/>
                <w:sz w:val="16"/>
              </w:rPr>
              <w:t>拍摄微电影成本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2ADA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F361F">
            <w:pPr>
              <w:jc w:val="center"/>
            </w:pPr>
            <w:r>
              <w:rPr>
                <w:rFonts w:ascii="宋体" w:hAnsi="宋体" w:eastAsia="宋体"/>
                <w:sz w:val="16"/>
              </w:rPr>
              <w:t>&lt;=20万元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448B1">
            <w:pPr>
              <w:jc w:val="center"/>
            </w:pPr>
            <w:r>
              <w:rPr>
                <w:rFonts w:ascii="宋体" w:hAnsi="宋体" w:eastAsia="宋体"/>
                <w:sz w:val="16"/>
              </w:rPr>
              <w: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2853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8F39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07D8C">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EEE3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FCB8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613C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F0E9E">
            <w:pPr>
              <w:jc w:val="center"/>
            </w:pPr>
          </w:p>
        </w:tc>
      </w:tr>
      <w:tr w14:paraId="57262C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67566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FF0BB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140E5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4D6AF">
            <w:pPr>
              <w:jc w:val="center"/>
            </w:pPr>
            <w:r>
              <w:rPr>
                <w:rFonts w:ascii="宋体" w:hAnsi="宋体" w:eastAsia="宋体"/>
                <w:sz w:val="16"/>
              </w:rPr>
              <w:t>拍摄微视频成本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0BA0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B91D8">
            <w:pPr>
              <w:jc w:val="center"/>
            </w:pPr>
            <w:r>
              <w:rPr>
                <w:rFonts w:ascii="宋体" w:hAnsi="宋体" w:eastAsia="宋体"/>
                <w:sz w:val="16"/>
              </w:rPr>
              <w:t>&lt;=20万元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9B487">
            <w:pPr>
              <w:jc w:val="center"/>
            </w:pPr>
            <w:r>
              <w:rPr>
                <w:rFonts w:ascii="宋体" w:hAnsi="宋体" w:eastAsia="宋体"/>
                <w:sz w:val="16"/>
              </w:rPr>
              <w: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A5F6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C36D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BA328">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DF14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7129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97C4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4C2D9">
            <w:pPr>
              <w:jc w:val="center"/>
            </w:pPr>
          </w:p>
        </w:tc>
      </w:tr>
      <w:tr w14:paraId="045C680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3CB59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26FA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92E1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77BB0">
            <w:pPr>
              <w:jc w:val="center"/>
            </w:pPr>
            <w:r>
              <w:rPr>
                <w:rFonts w:ascii="宋体" w:hAnsi="宋体" w:eastAsia="宋体"/>
                <w:sz w:val="16"/>
              </w:rPr>
              <w:t>提升检察工作群众知晓率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DCCE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67DD5">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89BB4">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184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696D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A9E2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3AFB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4B813">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BF66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C7204">
            <w:pPr>
              <w:jc w:val="center"/>
            </w:pPr>
          </w:p>
        </w:tc>
      </w:tr>
      <w:tr w14:paraId="3A0F88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82253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2687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C70C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9F19C">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49E6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29807">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22BCC">
            <w:pPr>
              <w:jc w:val="center"/>
            </w:pPr>
            <w:r>
              <w:rPr>
                <w:rFonts w:ascii="宋体" w:hAnsi="宋体" w:eastAsia="宋体"/>
                <w:sz w:val="16"/>
              </w:rPr>
              <w:t>=97%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6D903">
            <w:pPr>
              <w:jc w:val="center"/>
            </w:pPr>
            <w:r>
              <w:rPr>
                <w:rFonts w:ascii="宋体" w:hAnsi="宋体" w:eastAsia="宋体"/>
                <w:sz w:val="16"/>
              </w:rPr>
              <w:t>102.11%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3B24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D0E6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BEFF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0D22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5E4D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0884D">
            <w:pPr>
              <w:jc w:val="center"/>
            </w:pPr>
            <w:r>
              <w:rPr>
                <w:rFonts w:ascii="宋体" w:hAnsi="宋体" w:eastAsia="宋体"/>
                <w:sz w:val="16"/>
              </w:rPr>
              <w:t>因我院年初目标设置偏低，实际工作开展较好，满意度较高，故产生偏差</w:t>
            </w:r>
          </w:p>
        </w:tc>
      </w:tr>
      <w:tr w14:paraId="424E57C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CDE24C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B2C6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6D754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CEC2B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59477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63A35">
            <w:pPr>
              <w:jc w:val="center"/>
            </w:pPr>
            <w:r>
              <w:rPr>
                <w:rFonts w:ascii="宋体" w:hAnsi="宋体" w:eastAsia="宋体"/>
                <w:sz w:val="16"/>
              </w:rPr>
              <w:t>90.00分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FA9EB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B11A5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DD06C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5A09A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E766EE"/>
        </w:tc>
      </w:tr>
    </w:tbl>
    <w:p w14:paraId="64E6302A">
      <w:r>
        <w:br w:type="page"/>
      </w:r>
    </w:p>
    <w:p w14:paraId="4875D7C1">
      <w:pPr>
        <w:spacing w:line="640" w:lineRule="exact"/>
        <w:ind w:firstLine="640"/>
        <w:jc w:val="both"/>
        <w:outlineLvl w:val="2"/>
      </w:pPr>
      <w:r>
        <w:rPr>
          <w:rFonts w:ascii="黑体" w:hAnsi="黑体" w:eastAsia="黑体"/>
          <w:sz w:val="32"/>
        </w:rPr>
        <w:t>十二、其他需说明的事项</w:t>
      </w:r>
    </w:p>
    <w:p w14:paraId="07A9A9DA">
      <w:pPr>
        <w:spacing w:line="580" w:lineRule="exact"/>
        <w:ind w:firstLine="640"/>
        <w:jc w:val="both"/>
      </w:pPr>
      <w:r>
        <w:rPr>
          <w:rFonts w:ascii="仿宋_GB2312" w:hAnsi="仿宋_GB2312" w:eastAsia="仿宋_GB2312"/>
          <w:b w:val="0"/>
          <w:sz w:val="32"/>
        </w:rPr>
        <w:t>本单位无其他需说明的事项。</w:t>
      </w:r>
    </w:p>
    <w:p w14:paraId="61A4A216">
      <w:r>
        <w:br w:type="page"/>
      </w:r>
    </w:p>
    <w:p w14:paraId="7F4AE82F">
      <w:pPr>
        <w:spacing w:line="240" w:lineRule="auto"/>
        <w:jc w:val="center"/>
        <w:outlineLvl w:val="1"/>
      </w:pPr>
      <w:r>
        <w:rPr>
          <w:rFonts w:ascii="黑体" w:hAnsi="黑体" w:eastAsia="黑体"/>
          <w:sz w:val="32"/>
        </w:rPr>
        <w:t>第三部分 专业名词解释</w:t>
      </w:r>
    </w:p>
    <w:p w14:paraId="5626ACEC">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2D9A67A8">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5C36E573">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16746CA2">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275D57C3">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55D00935">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15983CF7">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5C43E779">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466EB11F">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7E5C9279">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563B64AE">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6E857ACD">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0708F3E9">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7510A12C">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0FC55165">
      <w:r>
        <w:br w:type="page"/>
      </w:r>
    </w:p>
    <w:p w14:paraId="6C1887A6">
      <w:pPr>
        <w:spacing w:line="240" w:lineRule="auto"/>
        <w:jc w:val="center"/>
        <w:outlineLvl w:val="1"/>
      </w:pPr>
      <w:r>
        <w:rPr>
          <w:rFonts w:ascii="黑体" w:hAnsi="黑体" w:eastAsia="黑体"/>
          <w:sz w:val="32"/>
        </w:rPr>
        <w:t>第四部分 部门决算报表（见附表）</w:t>
      </w:r>
    </w:p>
    <w:p w14:paraId="3D060345">
      <w:pPr>
        <w:spacing w:line="240" w:lineRule="auto"/>
        <w:ind w:firstLine="640"/>
        <w:jc w:val="both"/>
      </w:pPr>
      <w:r>
        <w:rPr>
          <w:rFonts w:ascii="仿宋_GB2312" w:hAnsi="仿宋_GB2312" w:eastAsia="仿宋_GB2312"/>
          <w:b w:val="0"/>
          <w:sz w:val="32"/>
        </w:rPr>
        <w:t>一、《收入支出决算总表》</w:t>
      </w:r>
    </w:p>
    <w:p w14:paraId="4C0130F5">
      <w:pPr>
        <w:spacing w:line="240" w:lineRule="auto"/>
        <w:ind w:firstLine="640"/>
        <w:jc w:val="both"/>
      </w:pPr>
      <w:r>
        <w:rPr>
          <w:rFonts w:ascii="仿宋_GB2312" w:hAnsi="仿宋_GB2312" w:eastAsia="仿宋_GB2312"/>
          <w:b w:val="0"/>
          <w:sz w:val="32"/>
        </w:rPr>
        <w:t>二、《收入决算表》</w:t>
      </w:r>
    </w:p>
    <w:p w14:paraId="184C5A74">
      <w:pPr>
        <w:spacing w:line="240" w:lineRule="auto"/>
        <w:ind w:firstLine="640"/>
        <w:jc w:val="both"/>
      </w:pPr>
      <w:r>
        <w:rPr>
          <w:rFonts w:ascii="仿宋_GB2312" w:hAnsi="仿宋_GB2312" w:eastAsia="仿宋_GB2312"/>
          <w:b w:val="0"/>
          <w:sz w:val="32"/>
        </w:rPr>
        <w:t>三、《支出决算表》</w:t>
      </w:r>
    </w:p>
    <w:p w14:paraId="5FF0B044">
      <w:pPr>
        <w:spacing w:line="240" w:lineRule="auto"/>
        <w:ind w:firstLine="640"/>
        <w:jc w:val="both"/>
      </w:pPr>
      <w:r>
        <w:rPr>
          <w:rFonts w:ascii="仿宋_GB2312" w:hAnsi="仿宋_GB2312" w:eastAsia="仿宋_GB2312"/>
          <w:b w:val="0"/>
          <w:sz w:val="32"/>
        </w:rPr>
        <w:t>四、《财政拨款收入支出决算总表》</w:t>
      </w:r>
    </w:p>
    <w:p w14:paraId="74167C1F">
      <w:pPr>
        <w:spacing w:line="240" w:lineRule="auto"/>
        <w:ind w:firstLine="640"/>
        <w:jc w:val="both"/>
      </w:pPr>
      <w:r>
        <w:rPr>
          <w:rFonts w:ascii="仿宋_GB2312" w:hAnsi="仿宋_GB2312" w:eastAsia="仿宋_GB2312"/>
          <w:b w:val="0"/>
          <w:sz w:val="32"/>
        </w:rPr>
        <w:t>五、《一般公共预算财政拨款支出决算表》</w:t>
      </w:r>
    </w:p>
    <w:p w14:paraId="3F74BBC4">
      <w:pPr>
        <w:spacing w:line="240" w:lineRule="auto"/>
        <w:ind w:firstLine="640"/>
        <w:jc w:val="both"/>
      </w:pPr>
      <w:r>
        <w:rPr>
          <w:rFonts w:ascii="仿宋_GB2312" w:hAnsi="仿宋_GB2312" w:eastAsia="仿宋_GB2312"/>
          <w:b w:val="0"/>
          <w:sz w:val="32"/>
        </w:rPr>
        <w:t>六、《一般公共预算财政拨款基本支出决算表》</w:t>
      </w:r>
    </w:p>
    <w:p w14:paraId="76A4D943">
      <w:pPr>
        <w:spacing w:line="240" w:lineRule="auto"/>
        <w:ind w:firstLine="640"/>
        <w:jc w:val="both"/>
      </w:pPr>
      <w:r>
        <w:rPr>
          <w:rFonts w:ascii="仿宋_GB2312" w:hAnsi="仿宋_GB2312" w:eastAsia="仿宋_GB2312"/>
          <w:b w:val="0"/>
          <w:sz w:val="32"/>
        </w:rPr>
        <w:t>七、《政府性基金预算财政拨款收入支出决算表》</w:t>
      </w:r>
    </w:p>
    <w:p w14:paraId="3C0000A6">
      <w:pPr>
        <w:spacing w:line="240" w:lineRule="auto"/>
        <w:ind w:firstLine="640"/>
        <w:jc w:val="both"/>
      </w:pPr>
      <w:r>
        <w:rPr>
          <w:rFonts w:ascii="仿宋_GB2312" w:hAnsi="仿宋_GB2312" w:eastAsia="仿宋_GB2312"/>
          <w:b w:val="0"/>
          <w:sz w:val="32"/>
        </w:rPr>
        <w:t>八、《国有资本经营预算财政拨款收入支出决算表》</w:t>
      </w:r>
    </w:p>
    <w:p w14:paraId="0D333998">
      <w:pPr>
        <w:spacing w:line="240" w:lineRule="auto"/>
        <w:ind w:firstLine="640"/>
        <w:jc w:val="both"/>
      </w:pPr>
      <w:r>
        <w:rPr>
          <w:rFonts w:ascii="仿宋_GB2312" w:hAnsi="仿宋_GB2312" w:eastAsia="仿宋_GB2312"/>
          <w:b w:val="0"/>
          <w:sz w:val="32"/>
        </w:rPr>
        <w:t>九、《财政拨款“三公”经费支出决算表》</w:t>
      </w:r>
    </w:p>
    <w:p w14:paraId="28C9E133">
      <w:pPr>
        <w:spacing w:line="240" w:lineRule="auto"/>
        <w:ind w:firstLine="640"/>
        <w:jc w:val="both"/>
      </w:pPr>
    </w:p>
    <w:p w14:paraId="2AA7FDE4">
      <w:pPr>
        <w:spacing w:line="240" w:lineRule="auto"/>
        <w:ind w:firstLine="640"/>
        <w:jc w:val="both"/>
      </w:pPr>
    </w:p>
    <w:p w14:paraId="19FE8546">
      <w:pPr>
        <w:spacing w:line="240" w:lineRule="auto"/>
        <w:ind w:firstLine="640"/>
        <w:jc w:val="both"/>
      </w:pPr>
    </w:p>
    <w:p w14:paraId="49D137A4">
      <w:pPr>
        <w:spacing w:line="240" w:lineRule="auto"/>
        <w:ind w:firstLine="640"/>
        <w:jc w:val="both"/>
      </w:pPr>
    </w:p>
    <w:p w14:paraId="229601E9">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32F44D5"/>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6254</Words>
  <Characters>7173</Characters>
  <Lines>0</Lines>
  <Paragraphs>0</Paragraphs>
  <TotalTime>3</TotalTime>
  <ScaleCrop>false</ScaleCrop>
  <LinksUpToDate>false</LinksUpToDate>
  <CharactersWithSpaces>7182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2025-10-15T02:27:00Z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eyJoZGlkIjoiNTM1NjJiMTUwNmFhZWNlZmQwNDVjMDAxNDMwM2IwMDkiLCJ1c2VySWQiOiIzNzI2MDMzNTYifQ==</vt:lpwstr>
  </property>
</Properties>
</file>