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昌吉州林业和草原综合行政执法支队2024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CDA1121">
      <w:r>
        <w:br w:type="page"/>
      </w:r>
    </w:p>
    <w:p w14:paraId="29770ACB">
      <w:pPr>
        <w:spacing w:line="640" w:lineRule="exact"/>
        <w:jc w:val="center"/>
        <w:outlineLvl w:val="1"/>
      </w:pPr>
      <w:r>
        <w:rPr>
          <w:rFonts w:ascii="黑体" w:hAnsi="黑体" w:eastAsia="黑体"/>
          <w:sz w:val="32"/>
        </w:rPr>
        <w:t>第一部分 单位概况</w:t>
      </w:r>
    </w:p>
    <w:p w14:paraId="0B570A70">
      <w:pPr>
        <w:spacing w:line="640" w:lineRule="exact"/>
        <w:ind w:firstLine="640"/>
        <w:jc w:val="both"/>
        <w:outlineLvl w:val="2"/>
      </w:pPr>
      <w:r>
        <w:rPr>
          <w:rFonts w:ascii="黑体" w:hAnsi="黑体" w:eastAsia="黑体"/>
          <w:sz w:val="32"/>
        </w:rPr>
        <w:t>一、主要职能</w:t>
      </w:r>
    </w:p>
    <w:p w14:paraId="500D1FD8">
      <w:pPr>
        <w:spacing w:line="580" w:lineRule="exact"/>
        <w:ind w:firstLine="640"/>
        <w:jc w:val="both"/>
      </w:pPr>
      <w:r>
        <w:rPr>
          <w:rFonts w:ascii="仿宋_GB2312" w:hAnsi="仿宋_GB2312" w:eastAsia="仿宋_GB2312"/>
          <w:sz w:val="32"/>
        </w:rPr>
        <w:t>昌吉州林业和草原综合行政执法支队为全额拨款，副县级单位，在州林草局党组的正确领导下，紧紧围绕“十四五”工作规划和林草中心工作，结合行业职责，扎实落实各项任务，为林业和草原发展提供相关服务。一是指导县市林业植物检疫项目、林业植物及其产品检</w:t>
      </w:r>
      <w:r>
        <w:rPr>
          <w:rFonts w:hint="eastAsia" w:ascii="仿宋_GB2312" w:hAnsi="仿宋_GB2312" w:eastAsia="仿宋_GB2312"/>
          <w:sz w:val="32"/>
          <w:lang w:eastAsia="zh-CN"/>
        </w:rPr>
        <w:t>疫和</w:t>
      </w:r>
      <w:r>
        <w:rPr>
          <w:rFonts w:ascii="仿宋_GB2312" w:hAnsi="仿宋_GB2312" w:eastAsia="仿宋_GB2312"/>
          <w:sz w:val="32"/>
        </w:rPr>
        <w:t>林业有害生物防治,提升监测预警能力,认真做好常发性林业有害生物监测调查,加强林业有害生物防控能力建设</w:t>
      </w:r>
      <w:r>
        <w:rPr>
          <w:rFonts w:hint="eastAsia" w:ascii="仿宋_GB2312" w:hAnsi="仿宋_GB2312" w:eastAsia="仿宋_GB2312"/>
          <w:sz w:val="32"/>
          <w:lang w:eastAsia="zh-CN"/>
        </w:rPr>
        <w:t>；</w:t>
      </w:r>
      <w:r>
        <w:rPr>
          <w:rFonts w:ascii="仿宋_GB2312" w:hAnsi="仿宋_GB2312" w:eastAsia="仿宋_GB2312"/>
          <w:sz w:val="32"/>
        </w:rPr>
        <w:t>二是强化种苗检疫等行政事项监管，以林草重点工程使用的种苗为重点对象，聚焦重点区域、重点树种品种开展种苗质量抽检，严把造林绿化种苗质量关，规范苗木企业生产经营行为；三是草原法律法规执行情况监督检查、查处违反草原</w:t>
      </w:r>
      <w:r>
        <w:rPr>
          <w:rFonts w:hint="eastAsia" w:ascii="仿宋_GB2312" w:hAnsi="仿宋_GB2312" w:eastAsia="仿宋_GB2312"/>
          <w:sz w:val="32"/>
          <w:lang w:eastAsia="zh-CN"/>
        </w:rPr>
        <w:t>法律法规</w:t>
      </w:r>
      <w:r>
        <w:rPr>
          <w:rFonts w:ascii="仿宋_GB2312" w:hAnsi="仿宋_GB2312" w:eastAsia="仿宋_GB2312"/>
          <w:sz w:val="32"/>
        </w:rPr>
        <w:t>的行为、监督草畜平衡区和禁牧区管理。积极开展禁牧和草畜平衡管理工作，对各县市禁牧区及禁牧区管护站进行巡查，了解禁牧区域内放牧情况和管护站运行情况。</w:t>
      </w:r>
    </w:p>
    <w:p w14:paraId="5678E6DD">
      <w:pPr>
        <w:spacing w:line="640" w:lineRule="exact"/>
        <w:ind w:firstLine="640"/>
        <w:jc w:val="both"/>
        <w:outlineLvl w:val="2"/>
      </w:pPr>
      <w:r>
        <w:rPr>
          <w:rFonts w:ascii="黑体" w:hAnsi="黑体" w:eastAsia="黑体"/>
          <w:sz w:val="32"/>
        </w:rPr>
        <w:t>二、机构设置及人员情况</w:t>
      </w:r>
    </w:p>
    <w:p w14:paraId="317626D8">
      <w:pPr>
        <w:spacing w:line="580" w:lineRule="exact"/>
        <w:ind w:firstLine="640"/>
        <w:jc w:val="both"/>
      </w:pPr>
      <w:r>
        <w:rPr>
          <w:rFonts w:ascii="仿宋_GB2312" w:hAnsi="仿宋_GB2312" w:eastAsia="仿宋_GB2312"/>
          <w:sz w:val="32"/>
        </w:rPr>
        <w:t>昌吉州林业和草原综合行政执法支队2024年度，实有人数43人，其中：在职人员13人，增加0人；离休人员0人，增加0人；退休人员30人,增加9人。</w:t>
      </w:r>
    </w:p>
    <w:p w14:paraId="1DB84F8A">
      <w:pPr>
        <w:spacing w:line="580" w:lineRule="exact"/>
        <w:ind w:firstLine="640"/>
        <w:jc w:val="both"/>
      </w:pPr>
      <w:r>
        <w:rPr>
          <w:rFonts w:ascii="仿宋_GB2312" w:hAnsi="仿宋_GB2312" w:eastAsia="仿宋_GB2312"/>
          <w:sz w:val="32"/>
        </w:rPr>
        <w:t>昌吉州林业和草原综合行政执法支队无下属预算单位，下设6个科室，分别是：林业有害生物检疫执法大队（检疫科）、林业有害生物防治执法大队（测报防治科）、林木种苗执法大队（种苗管理科）、林业综合执法大队（法制科、质量监督检验科）、行政科。</w:t>
      </w:r>
    </w:p>
    <w:p w14:paraId="406332E0">
      <w:r>
        <w:br w:type="page"/>
      </w:r>
    </w:p>
    <w:p w14:paraId="6FE129BB">
      <w:pPr>
        <w:spacing w:line="240" w:lineRule="auto"/>
        <w:jc w:val="center"/>
        <w:outlineLvl w:val="1"/>
      </w:pPr>
      <w:r>
        <w:rPr>
          <w:rFonts w:ascii="黑体" w:hAnsi="黑体" w:eastAsia="黑体"/>
          <w:sz w:val="32"/>
        </w:rPr>
        <w:t>第二部分 部门决算情况说明</w:t>
      </w:r>
    </w:p>
    <w:p w14:paraId="5E804629">
      <w:pPr>
        <w:spacing w:line="640" w:lineRule="exact"/>
        <w:ind w:firstLine="640"/>
        <w:jc w:val="both"/>
        <w:outlineLvl w:val="2"/>
      </w:pPr>
      <w:r>
        <w:rPr>
          <w:rFonts w:ascii="黑体" w:hAnsi="黑体" w:eastAsia="黑体"/>
          <w:sz w:val="32"/>
        </w:rPr>
        <w:t>一、收入支出决算总体情况说明</w:t>
      </w:r>
    </w:p>
    <w:p w14:paraId="6B06DB81">
      <w:pPr>
        <w:spacing w:line="580" w:lineRule="exact"/>
        <w:ind w:firstLine="640"/>
        <w:jc w:val="both"/>
      </w:pPr>
      <w:r>
        <w:rPr>
          <w:rFonts w:ascii="仿宋_GB2312" w:hAnsi="仿宋_GB2312" w:eastAsia="仿宋_GB2312"/>
          <w:b/>
          <w:sz w:val="32"/>
        </w:rPr>
        <w:t>2024年度收入总计496.24万元，</w:t>
      </w:r>
      <w:r>
        <w:rPr>
          <w:rFonts w:ascii="仿宋_GB2312" w:hAnsi="仿宋_GB2312" w:eastAsia="仿宋_GB2312"/>
          <w:b w:val="0"/>
          <w:sz w:val="32"/>
        </w:rPr>
        <w:t>其中：本年收入合计494.59万元，使用非财政拨款结余（含专用结余）1.65万元，年初结转和结余0.00万元。</w:t>
      </w:r>
    </w:p>
    <w:p w14:paraId="693E8860">
      <w:pPr>
        <w:spacing w:line="580" w:lineRule="exact"/>
        <w:ind w:firstLine="640"/>
        <w:jc w:val="both"/>
      </w:pPr>
      <w:r>
        <w:rPr>
          <w:rFonts w:ascii="仿宋_GB2312" w:hAnsi="仿宋_GB2312" w:eastAsia="仿宋_GB2312"/>
          <w:b/>
          <w:sz w:val="32"/>
        </w:rPr>
        <w:t>2024年度支出总计496.24万元，</w:t>
      </w:r>
      <w:r>
        <w:rPr>
          <w:rFonts w:ascii="仿宋_GB2312" w:hAnsi="仿宋_GB2312" w:eastAsia="仿宋_GB2312"/>
          <w:b w:val="0"/>
          <w:sz w:val="32"/>
        </w:rPr>
        <w:t>其中：本年支出合计494.24万元，结余分配0.00万元，年末结转和结余2.00万元。</w:t>
      </w:r>
    </w:p>
    <w:p w14:paraId="18DC49FB">
      <w:pPr>
        <w:spacing w:line="580" w:lineRule="exact"/>
        <w:ind w:firstLine="640"/>
        <w:jc w:val="both"/>
      </w:pPr>
      <w:r>
        <w:rPr>
          <w:rFonts w:ascii="仿宋_GB2312" w:hAnsi="仿宋_GB2312" w:eastAsia="仿宋_GB2312"/>
          <w:b w:val="0"/>
          <w:sz w:val="32"/>
        </w:rPr>
        <w:t>收入支出总体与上年相比，减少55.31万元，下降10.03%，主要原因是：本年减少结转</w:t>
      </w:r>
      <w:r>
        <w:rPr>
          <w:rFonts w:hint="eastAsia" w:ascii="仿宋_GB2312" w:hAnsi="仿宋_GB2312" w:eastAsia="仿宋_GB2312"/>
          <w:b w:val="0"/>
          <w:sz w:val="32"/>
          <w:lang w:eastAsia="zh-CN"/>
        </w:rPr>
        <w:t>“</w:t>
      </w:r>
      <w:r>
        <w:rPr>
          <w:rFonts w:ascii="仿宋_GB2312" w:hAnsi="仿宋_GB2312" w:eastAsia="仿宋_GB2312"/>
          <w:b w:val="0"/>
          <w:sz w:val="32"/>
        </w:rPr>
        <w:t>昌吉州2022年林业有害生物防治项目</w:t>
      </w:r>
      <w:r>
        <w:rPr>
          <w:rFonts w:hint="eastAsia" w:ascii="仿宋_GB2312" w:hAnsi="仿宋_GB2312" w:eastAsia="仿宋_GB2312"/>
          <w:b w:val="0"/>
          <w:sz w:val="32"/>
          <w:lang w:eastAsia="zh-CN"/>
        </w:rPr>
        <w:t>”</w:t>
      </w:r>
      <w:r>
        <w:rPr>
          <w:rFonts w:ascii="仿宋_GB2312" w:hAnsi="仿宋_GB2312" w:eastAsia="仿宋_GB2312"/>
          <w:b w:val="0"/>
          <w:sz w:val="32"/>
        </w:rPr>
        <w:t>资金。</w:t>
      </w:r>
    </w:p>
    <w:p w14:paraId="4B3895E5">
      <w:pPr>
        <w:spacing w:line="640" w:lineRule="exact"/>
        <w:ind w:firstLine="640"/>
        <w:jc w:val="both"/>
        <w:outlineLvl w:val="2"/>
      </w:pPr>
      <w:r>
        <w:rPr>
          <w:rFonts w:ascii="黑体" w:hAnsi="黑体" w:eastAsia="黑体"/>
          <w:sz w:val="32"/>
        </w:rPr>
        <w:t>二、收入决算情况说明</w:t>
      </w:r>
    </w:p>
    <w:p w14:paraId="55FE650A">
      <w:pPr>
        <w:spacing w:line="580" w:lineRule="exact"/>
        <w:ind w:firstLine="640"/>
        <w:jc w:val="both"/>
      </w:pPr>
      <w:r>
        <w:rPr>
          <w:rFonts w:ascii="仿宋_GB2312" w:hAnsi="仿宋_GB2312" w:eastAsia="仿宋_GB2312"/>
          <w:b/>
          <w:sz w:val="32"/>
        </w:rPr>
        <w:t>本年收入494.59万元，</w:t>
      </w:r>
      <w:r>
        <w:rPr>
          <w:rFonts w:ascii="仿宋_GB2312" w:hAnsi="仿宋_GB2312" w:eastAsia="仿宋_GB2312"/>
          <w:b w:val="0"/>
          <w:sz w:val="32"/>
        </w:rPr>
        <w:t>其中：财政拨款收入492.43万元，占99.56%；上级补助收入0.00万元，占0.00%；事业收入0.00万元，占0.00%；经营收入0.00万元，占0.00%；附属单位上缴收入0.00万元，占0.00%；其他收入2.16万元，占0.44%。</w:t>
      </w:r>
    </w:p>
    <w:p w14:paraId="1EE71E37">
      <w:pPr>
        <w:spacing w:line="640" w:lineRule="exact"/>
        <w:ind w:firstLine="640"/>
        <w:jc w:val="both"/>
        <w:outlineLvl w:val="2"/>
      </w:pPr>
      <w:r>
        <w:rPr>
          <w:rFonts w:ascii="黑体" w:hAnsi="黑体" w:eastAsia="黑体"/>
          <w:sz w:val="32"/>
        </w:rPr>
        <w:t>三、支出决算情况说明</w:t>
      </w:r>
    </w:p>
    <w:p w14:paraId="5659D3ED">
      <w:pPr>
        <w:spacing w:line="580" w:lineRule="exact"/>
        <w:ind w:firstLine="640"/>
        <w:jc w:val="both"/>
      </w:pPr>
      <w:r>
        <w:rPr>
          <w:rFonts w:ascii="仿宋_GB2312" w:hAnsi="仿宋_GB2312" w:eastAsia="仿宋_GB2312"/>
          <w:b/>
          <w:sz w:val="32"/>
        </w:rPr>
        <w:t>本年支出494.24万元，</w:t>
      </w:r>
      <w:r>
        <w:rPr>
          <w:rFonts w:ascii="仿宋_GB2312" w:hAnsi="仿宋_GB2312" w:eastAsia="仿宋_GB2312"/>
          <w:b w:val="0"/>
          <w:sz w:val="32"/>
        </w:rPr>
        <w:t>其中：基本支出334.88万元，占67.76%；项目支出159.37万元，占32.25%；上缴上级支出0.00万元，占0.00%；经营支出0.00万元，占0.00%；对附属单位补助支出0.00万元，占0.00%。</w:t>
      </w:r>
    </w:p>
    <w:p w14:paraId="71BE448D">
      <w:pPr>
        <w:spacing w:line="640" w:lineRule="exact"/>
        <w:ind w:firstLine="640"/>
        <w:jc w:val="both"/>
        <w:outlineLvl w:val="2"/>
      </w:pPr>
      <w:r>
        <w:rPr>
          <w:rFonts w:ascii="黑体" w:hAnsi="黑体" w:eastAsia="黑体"/>
          <w:sz w:val="32"/>
        </w:rPr>
        <w:t>四、财政拨款收入支出决算总体情况说明</w:t>
      </w:r>
    </w:p>
    <w:p w14:paraId="033C3BBB">
      <w:pPr>
        <w:spacing w:line="580" w:lineRule="exact"/>
        <w:ind w:firstLine="640"/>
        <w:jc w:val="both"/>
      </w:pPr>
      <w:r>
        <w:rPr>
          <w:rFonts w:ascii="仿宋_GB2312" w:hAnsi="仿宋_GB2312" w:eastAsia="仿宋_GB2312"/>
          <w:b/>
          <w:sz w:val="32"/>
        </w:rPr>
        <w:t>2024年度财政拨款收入总计492.43万元，</w:t>
      </w:r>
      <w:r>
        <w:rPr>
          <w:rFonts w:ascii="仿宋_GB2312" w:hAnsi="仿宋_GB2312" w:eastAsia="仿宋_GB2312"/>
          <w:b w:val="0"/>
          <w:sz w:val="32"/>
        </w:rPr>
        <w:t>其中：年初财政拨款结转和结余0.00万元，本年财政拨款收入492.43万元。</w:t>
      </w:r>
      <w:r>
        <w:rPr>
          <w:rFonts w:ascii="仿宋_GB2312" w:hAnsi="仿宋_GB2312" w:eastAsia="仿宋_GB2312"/>
          <w:b/>
          <w:sz w:val="32"/>
        </w:rPr>
        <w:t>财政拨款支出总计492.43万元，</w:t>
      </w:r>
      <w:r>
        <w:rPr>
          <w:rFonts w:ascii="仿宋_GB2312" w:hAnsi="仿宋_GB2312" w:eastAsia="仿宋_GB2312"/>
          <w:b w:val="0"/>
          <w:sz w:val="32"/>
        </w:rPr>
        <w:t>其中：年末财政拨款结转和结余0.00万元，本年财政拨款支出492.43万元。</w:t>
      </w:r>
    </w:p>
    <w:p w14:paraId="2752C87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减少51.37万元，下降9.45%，主要原因是：本年减少林业和草原防灾减灾项目资金。</w:t>
      </w:r>
      <w:r>
        <w:rPr>
          <w:rFonts w:ascii="仿宋_GB2312" w:hAnsi="仿宋_GB2312" w:eastAsia="仿宋_GB2312"/>
          <w:b/>
          <w:sz w:val="32"/>
        </w:rPr>
        <w:t>与年初预算相比，</w:t>
      </w:r>
      <w:r>
        <w:rPr>
          <w:rFonts w:ascii="仿宋_GB2312" w:hAnsi="仿宋_GB2312" w:eastAsia="仿宋_GB2312"/>
          <w:b w:val="0"/>
          <w:sz w:val="32"/>
        </w:rPr>
        <w:t>年初预算数309.15万元，决算数492.43万元，预决算差异率59.29%，主要原因是：年中追加苗圃基地林业有害生物防治药剂补助项目资金、州林业和草原综合行政执法支队交通事故赔偿款、2024年自治区林草专项资金，导致预决算存在差异。</w:t>
      </w:r>
    </w:p>
    <w:p w14:paraId="22C41C5C">
      <w:pPr>
        <w:spacing w:line="640" w:lineRule="exact"/>
        <w:ind w:firstLine="640"/>
        <w:jc w:val="both"/>
        <w:outlineLvl w:val="2"/>
      </w:pPr>
      <w:r>
        <w:rPr>
          <w:rFonts w:ascii="黑体" w:hAnsi="黑体" w:eastAsia="黑体"/>
          <w:sz w:val="32"/>
        </w:rPr>
        <w:t>五、一般公共预算财政拨款支出决算情况说明</w:t>
      </w:r>
    </w:p>
    <w:p w14:paraId="552A1700">
      <w:pPr>
        <w:spacing w:line="640" w:lineRule="exact"/>
        <w:ind w:firstLine="640"/>
        <w:jc w:val="both"/>
        <w:outlineLvl w:val="3"/>
      </w:pPr>
      <w:r>
        <w:rPr>
          <w:rFonts w:ascii="楷体_GB2312" w:hAnsi="楷体_GB2312" w:eastAsia="楷体_GB2312"/>
          <w:b/>
          <w:sz w:val="32"/>
        </w:rPr>
        <w:t>（一）一般公共预算财政拨款支出决算总体情况</w:t>
      </w:r>
    </w:p>
    <w:p w14:paraId="1602BC1D">
      <w:pPr>
        <w:spacing w:line="580" w:lineRule="exact"/>
        <w:ind w:firstLine="640"/>
        <w:jc w:val="both"/>
      </w:pPr>
      <w:r>
        <w:rPr>
          <w:rFonts w:ascii="仿宋_GB2312" w:hAnsi="仿宋_GB2312" w:eastAsia="仿宋_GB2312"/>
          <w:b/>
          <w:sz w:val="32"/>
        </w:rPr>
        <w:t>2024年度一般公共预算财政拨款支出492.43万元，</w:t>
      </w:r>
      <w:r>
        <w:rPr>
          <w:rFonts w:ascii="仿宋_GB2312" w:hAnsi="仿宋_GB2312" w:eastAsia="仿宋_GB2312"/>
          <w:b w:val="0"/>
          <w:sz w:val="32"/>
        </w:rPr>
        <w:t>占本年支出合计的99.63%。</w:t>
      </w:r>
      <w:r>
        <w:rPr>
          <w:rFonts w:ascii="仿宋_GB2312" w:hAnsi="仿宋_GB2312" w:eastAsia="仿宋_GB2312"/>
          <w:b/>
          <w:sz w:val="32"/>
        </w:rPr>
        <w:t>与上年相比，</w:t>
      </w:r>
      <w:r>
        <w:rPr>
          <w:rFonts w:ascii="仿宋_GB2312" w:hAnsi="仿宋_GB2312" w:eastAsia="仿宋_GB2312"/>
          <w:b w:val="0"/>
          <w:sz w:val="32"/>
        </w:rPr>
        <w:t>减少51.37万元，下降9.45%，主要原因是：本年减少林业有害生物防治药剂购置费。</w:t>
      </w:r>
      <w:r>
        <w:rPr>
          <w:rFonts w:ascii="仿宋_GB2312" w:hAnsi="仿宋_GB2312" w:eastAsia="仿宋_GB2312"/>
          <w:b/>
          <w:sz w:val="32"/>
        </w:rPr>
        <w:t>与年初预算相比,</w:t>
      </w:r>
      <w:r>
        <w:rPr>
          <w:rFonts w:ascii="仿宋_GB2312" w:hAnsi="仿宋_GB2312" w:eastAsia="仿宋_GB2312"/>
          <w:b w:val="0"/>
          <w:sz w:val="32"/>
        </w:rPr>
        <w:t>年初预算数309.15万元，决算数492.43万元，预决算差异率59.29%，主要原因是：年中追加苗圃基地林业有害生物防治药剂补助项目资金、州林业和草原综合行政执法支队交通事故赔偿款、2024年自治区林草专项资金，导致预决算存在差异。</w:t>
      </w:r>
    </w:p>
    <w:p w14:paraId="415E420C">
      <w:pPr>
        <w:spacing w:line="640" w:lineRule="exact"/>
        <w:ind w:firstLine="640"/>
        <w:jc w:val="both"/>
        <w:outlineLvl w:val="3"/>
      </w:pPr>
      <w:r>
        <w:rPr>
          <w:rFonts w:ascii="楷体_GB2312" w:hAnsi="楷体_GB2312" w:eastAsia="楷体_GB2312"/>
          <w:b/>
          <w:sz w:val="32"/>
        </w:rPr>
        <w:t>（二）一般公共预算财政拨款支出决算结构情况</w:t>
      </w:r>
    </w:p>
    <w:p w14:paraId="2A95ADAA">
      <w:pPr>
        <w:spacing w:line="580" w:lineRule="exact"/>
        <w:ind w:firstLine="640"/>
        <w:jc w:val="both"/>
      </w:pPr>
      <w:r>
        <w:rPr>
          <w:rFonts w:ascii="仿宋_GB2312" w:hAnsi="仿宋_GB2312" w:eastAsia="仿宋_GB2312"/>
          <w:b w:val="0"/>
          <w:sz w:val="32"/>
        </w:rPr>
        <w:t>1.社会保障和就业支出(类)67.04万元,占13.61%。</w:t>
      </w:r>
    </w:p>
    <w:p w14:paraId="452C8E0E">
      <w:pPr>
        <w:spacing w:line="580" w:lineRule="exact"/>
        <w:ind w:firstLine="640"/>
        <w:jc w:val="both"/>
      </w:pPr>
      <w:r>
        <w:rPr>
          <w:rFonts w:ascii="仿宋_GB2312" w:hAnsi="仿宋_GB2312" w:eastAsia="仿宋_GB2312"/>
          <w:b w:val="0"/>
          <w:sz w:val="32"/>
        </w:rPr>
        <w:t>2.卫生健康支出(类)14.32万元,占2.91%。</w:t>
      </w:r>
    </w:p>
    <w:p w14:paraId="6210C7CA">
      <w:pPr>
        <w:spacing w:line="580" w:lineRule="exact"/>
        <w:ind w:firstLine="640"/>
        <w:jc w:val="both"/>
      </w:pPr>
      <w:r>
        <w:rPr>
          <w:rFonts w:ascii="仿宋_GB2312" w:hAnsi="仿宋_GB2312" w:eastAsia="仿宋_GB2312"/>
          <w:b w:val="0"/>
          <w:sz w:val="32"/>
        </w:rPr>
        <w:t>3.农林水支出(类)389.80万元,占79.16%。</w:t>
      </w:r>
    </w:p>
    <w:p w14:paraId="561F17A6">
      <w:pPr>
        <w:spacing w:line="580" w:lineRule="exact"/>
        <w:ind w:firstLine="640"/>
        <w:jc w:val="both"/>
      </w:pPr>
      <w:r>
        <w:rPr>
          <w:rFonts w:ascii="仿宋_GB2312" w:hAnsi="仿宋_GB2312" w:eastAsia="仿宋_GB2312"/>
          <w:b w:val="0"/>
          <w:sz w:val="32"/>
        </w:rPr>
        <w:t>4.住房保障支出(类)21.27万元,占4.32%。</w:t>
      </w:r>
    </w:p>
    <w:p w14:paraId="1A509CC1">
      <w:pPr>
        <w:spacing w:line="640" w:lineRule="exact"/>
        <w:ind w:firstLine="640"/>
        <w:jc w:val="both"/>
        <w:outlineLvl w:val="3"/>
      </w:pPr>
      <w:r>
        <w:rPr>
          <w:rFonts w:ascii="楷体_GB2312" w:hAnsi="楷体_GB2312" w:eastAsia="楷体_GB2312"/>
          <w:b/>
          <w:sz w:val="32"/>
        </w:rPr>
        <w:t>（三）一般公共预算财政拨款支出决算具体情况</w:t>
      </w:r>
    </w:p>
    <w:p w14:paraId="268767D2">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1.一般公共服务支出(类)统战事务(款)宗教事务(项):支出决算数为0.00万元，比上年决算减少0.72万元，下降100.00%,主要原因是：本年度未安排驻寺工作人员，导致经费减少。</w:t>
      </w:r>
    </w:p>
    <w:p w14:paraId="3198E1BA">
      <w:pPr>
        <w:spacing w:line="580" w:lineRule="exact"/>
        <w:ind w:firstLine="640"/>
        <w:jc w:val="both"/>
      </w:pPr>
      <w:r>
        <w:rPr>
          <w:rFonts w:ascii="仿宋_GB2312" w:hAnsi="仿宋_GB2312" w:eastAsia="仿宋_GB2312"/>
          <w:b w:val="0"/>
          <w:sz w:val="32"/>
        </w:rPr>
        <w:t>2.一般公共服务支出(类)统战事务(款)其他统战事务支出(项):支出决算数为0.00万元，比上年决算减少0.54万元，下</w:t>
      </w:r>
      <w:r>
        <w:rPr>
          <w:rFonts w:ascii="仿宋_GB2312" w:hAnsi="仿宋_GB2312" w:eastAsia="仿宋_GB2312"/>
          <w:b w:val="0"/>
          <w:spacing w:val="-6"/>
          <w:sz w:val="32"/>
        </w:rPr>
        <w:t>降100.00%,主要原因是：本年减少为民办实事人员伙食补助经费。</w:t>
      </w:r>
    </w:p>
    <w:p w14:paraId="1803AE93">
      <w:pPr>
        <w:spacing w:line="580" w:lineRule="exact"/>
        <w:ind w:firstLine="640"/>
        <w:jc w:val="both"/>
      </w:pPr>
      <w:r>
        <w:rPr>
          <w:rFonts w:ascii="仿宋_GB2312" w:hAnsi="仿宋_GB2312" w:eastAsia="仿宋_GB2312"/>
          <w:b w:val="0"/>
          <w:sz w:val="32"/>
        </w:rPr>
        <w:t>3.科学技术支出(类)技术研究与开发(款)科技成果转化与扩散(项):支出决算数为0.00万元，比上年决算减少1.50万元，下降100.00%,主要原因是：本年度未安排科学技术支出“天敌控制梭梭林鼠兔害技术示范”项目。</w:t>
      </w:r>
    </w:p>
    <w:p w14:paraId="2E2916F8">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4.社会保障和就业支出(类)行政事业单位养老支出(款)事业单位离退休(项):支出决算数为19.12万元，比上年决算增加9.50万元，增长98.75%,主要原因是：本年因机构改革，草原监理站合并至</w:t>
      </w:r>
      <w:r>
        <w:rPr>
          <w:rFonts w:hint="eastAsia" w:ascii="仿宋_GB2312" w:hAnsi="仿宋_GB2312" w:eastAsia="仿宋_GB2312"/>
          <w:b w:val="0"/>
          <w:sz w:val="32"/>
          <w:lang w:eastAsia="zh-CN"/>
        </w:rPr>
        <w:t>本单位</w:t>
      </w:r>
      <w:r>
        <w:rPr>
          <w:rFonts w:ascii="仿宋_GB2312" w:hAnsi="仿宋_GB2312" w:eastAsia="仿宋_GB2312"/>
          <w:b w:val="0"/>
          <w:sz w:val="32"/>
        </w:rPr>
        <w:t>，新增退休人员9人，发放退休人员基础性绩效奖金，退休费支出增加。</w:t>
      </w:r>
    </w:p>
    <w:p w14:paraId="63754AD4">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26.47万元，比上年决算增加4.21万元，增长18.91%,主要原因是：本年在职人员工资基数调增，养老缴费基数上涨，相应支出增加。</w:t>
      </w:r>
    </w:p>
    <w:p w14:paraId="319E9A5A">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21.45万元，比上年决算增加10.57万元，增长97.15%,主要原因是：本年新增退休人员，在职人员工资调增，导致职业年金缴费支出增加。</w:t>
      </w:r>
    </w:p>
    <w:p w14:paraId="236C8217">
      <w:pPr>
        <w:spacing w:line="580" w:lineRule="exact"/>
        <w:ind w:firstLine="640"/>
        <w:jc w:val="both"/>
      </w:pPr>
      <w:r>
        <w:rPr>
          <w:rFonts w:ascii="仿宋_GB2312" w:hAnsi="仿宋_GB2312" w:eastAsia="仿宋_GB2312"/>
          <w:b w:val="0"/>
          <w:sz w:val="32"/>
        </w:rPr>
        <w:t>7.卫生健康支出(类)行政事业单位医疗(款)行政单位医疗(项):支出决算数为7.96万元，比上年决算增加0.24万元，增长3.11%,主要原因是：本年在职人员工资基数调增，医疗缴费基数上涨，相应支出增加。</w:t>
      </w:r>
    </w:p>
    <w:p w14:paraId="68E5FB89">
      <w:pPr>
        <w:spacing w:line="580" w:lineRule="exact"/>
        <w:ind w:firstLine="640"/>
        <w:jc w:val="both"/>
      </w:pPr>
      <w:r>
        <w:rPr>
          <w:rFonts w:ascii="仿宋_GB2312" w:hAnsi="仿宋_GB2312" w:eastAsia="仿宋_GB2312"/>
          <w:b w:val="0"/>
          <w:sz w:val="32"/>
        </w:rPr>
        <w:t>8.卫生健康支出(类)行政事业单位医疗(款)事业单位医疗(项):支出决算数为5.27万元，比上年决算增加0.60万元，增长12.85%,主要原因是：本年在职人员工资基数调增，医疗缴费基数上涨，相应支出增加。</w:t>
      </w:r>
    </w:p>
    <w:p w14:paraId="79AA12F1">
      <w:pPr>
        <w:spacing w:line="580" w:lineRule="exact"/>
        <w:ind w:firstLine="640"/>
        <w:jc w:val="both"/>
      </w:pPr>
      <w:r>
        <w:rPr>
          <w:rFonts w:ascii="仿宋_GB2312" w:hAnsi="仿宋_GB2312" w:eastAsia="仿宋_GB2312"/>
          <w:b w:val="0"/>
          <w:sz w:val="32"/>
        </w:rPr>
        <w:t>9.卫生健康支出(类)行政事业单位医疗(款)公务员医疗补助(项):支出决算数为0.83万元，比上年决算增加0.11万元，增长15.28%,主要原因是：本年在职人员工资基数调增，医疗缴费基数上涨，相应支出增加。</w:t>
      </w:r>
    </w:p>
    <w:p w14:paraId="2DA47A69">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0.26万元，比上年决算增加0.06万元，增长30.00%,主要原因是：本年在职人员工资基数调增，医疗缴费基数上涨，相应支出增加。</w:t>
      </w:r>
    </w:p>
    <w:p w14:paraId="08AF57AC">
      <w:pPr>
        <w:spacing w:line="580" w:lineRule="exact"/>
        <w:ind w:firstLine="640"/>
        <w:jc w:val="both"/>
      </w:pPr>
      <w:r>
        <w:rPr>
          <w:rFonts w:ascii="仿宋_GB2312" w:hAnsi="仿宋_GB2312" w:eastAsia="仿宋_GB2312"/>
          <w:b w:val="0"/>
          <w:sz w:val="32"/>
        </w:rPr>
        <w:t>11.农林水支出(类)林业和草原(款)事业机构(项):支出决算数为232.24万元，比上年决算减少7.41万元，下降3.09%,主要原因是：本年在职人员调入，退休，人员职级不同，缴费基数不同，导致人员经费减少。</w:t>
      </w:r>
    </w:p>
    <w:p w14:paraId="0CD42FCF">
      <w:pPr>
        <w:spacing w:line="580" w:lineRule="exact"/>
        <w:ind w:firstLine="640"/>
        <w:jc w:val="both"/>
      </w:pPr>
      <w:r>
        <w:rPr>
          <w:rFonts w:ascii="仿宋_GB2312" w:hAnsi="仿宋_GB2312" w:eastAsia="仿宋_GB2312"/>
          <w:b w:val="0"/>
          <w:sz w:val="32"/>
        </w:rPr>
        <w:t>12.农林水支出(类)林业和草原(款)森林资源培育(项):支出决算数为12.63万元，比上年决算增加8.15万元，增长181.92%,主要原因是：本年增加森林资源培育项目资金。</w:t>
      </w:r>
    </w:p>
    <w:p w14:paraId="42B0CD5A">
      <w:pPr>
        <w:spacing w:line="580" w:lineRule="exact"/>
        <w:ind w:firstLine="640"/>
        <w:jc w:val="both"/>
      </w:pPr>
      <w:r>
        <w:rPr>
          <w:rFonts w:ascii="仿宋_GB2312" w:hAnsi="仿宋_GB2312" w:eastAsia="仿宋_GB2312"/>
          <w:b w:val="0"/>
          <w:sz w:val="32"/>
        </w:rPr>
        <w:t>13.农林水支出(类)林业和草原(款)林业草原防灾减灾(项):支出决算数为78.06万元，比上年决算增加78.06万元，增长100.00%,主要原因是：本年增加苗圃基地林业有害生物防治药剂补助项目资金支出。</w:t>
      </w:r>
    </w:p>
    <w:p w14:paraId="56C7EA72">
      <w:pPr>
        <w:spacing w:line="580" w:lineRule="exact"/>
        <w:ind w:firstLine="640"/>
        <w:jc w:val="both"/>
      </w:pPr>
      <w:r>
        <w:rPr>
          <w:rFonts w:ascii="仿宋_GB2312" w:hAnsi="仿宋_GB2312" w:eastAsia="仿宋_GB2312"/>
          <w:b w:val="0"/>
          <w:sz w:val="32"/>
        </w:rPr>
        <w:t>14.农林水支出(类)林业和草原(款)草原管理(项):支出决算数为9.00万元，比上年决算增加9.00万元，增长100.00%,主要原因是：本年增加2024年自治区林草专项资金。</w:t>
      </w:r>
    </w:p>
    <w:p w14:paraId="357335A1">
      <w:pPr>
        <w:spacing w:line="580" w:lineRule="exact"/>
        <w:ind w:firstLine="640"/>
        <w:jc w:val="both"/>
      </w:pPr>
      <w:r>
        <w:rPr>
          <w:rFonts w:ascii="仿宋_GB2312" w:hAnsi="仿宋_GB2312" w:eastAsia="仿宋_GB2312"/>
          <w:b w:val="0"/>
          <w:sz w:val="32"/>
        </w:rPr>
        <w:t>15.农林水支出(类)林业和草原(款)其他林业和草原支出(项):支出决算数为6.33万元，比上年决算减少215.58万元，下降97.15%,主要原因是：本年减少昌吉州2022年林业有害生</w:t>
      </w:r>
      <w:r>
        <w:rPr>
          <w:rFonts w:ascii="仿宋_GB2312" w:hAnsi="仿宋_GB2312" w:eastAsia="仿宋_GB2312"/>
          <w:b w:val="0"/>
          <w:spacing w:val="-6"/>
          <w:sz w:val="32"/>
        </w:rPr>
        <w:t>物防治项目、自治区利用天敌控制梭梭林鼠兔害技术示范项目支出。</w:t>
      </w:r>
    </w:p>
    <w:p w14:paraId="201B7799">
      <w:pPr>
        <w:spacing w:line="580" w:lineRule="exact"/>
        <w:ind w:firstLine="640"/>
        <w:jc w:val="both"/>
      </w:pPr>
      <w:r>
        <w:rPr>
          <w:rFonts w:ascii="仿宋_GB2312" w:hAnsi="仿宋_GB2312" w:eastAsia="仿宋_GB2312"/>
          <w:b w:val="0"/>
          <w:sz w:val="32"/>
        </w:rPr>
        <w:t>16.农林水支出(类)其他农林水支出(款)其他农林水支出(项):支出决算数为51.53万元，比上年决算增加51.53万元，增长100.00%,主要原因是：本年根据法院判决书申请交通事故赔偿款，导致经费增加。</w:t>
      </w:r>
    </w:p>
    <w:p w14:paraId="1DE10F0A">
      <w:pPr>
        <w:spacing w:line="580" w:lineRule="exact"/>
        <w:ind w:firstLine="640"/>
        <w:jc w:val="both"/>
      </w:pPr>
      <w:r>
        <w:rPr>
          <w:rFonts w:ascii="仿宋_GB2312" w:hAnsi="仿宋_GB2312" w:eastAsia="仿宋_GB2312"/>
          <w:b w:val="0"/>
          <w:sz w:val="32"/>
        </w:rPr>
        <w:t>17.住房保障支出(类)住房改革支出(款)住房公积金(项):支出决算数为21.27万元，比上年决算增加2.33万元，增长12.30%,主要原因是：本年在职人员工资基数调增，公积金缴费基数上涨，相应支出增加。</w:t>
      </w:r>
    </w:p>
    <w:p w14:paraId="464ECBA0">
      <w:pPr>
        <w:spacing w:line="640" w:lineRule="exact"/>
        <w:ind w:firstLine="640"/>
        <w:jc w:val="both"/>
        <w:outlineLvl w:val="2"/>
      </w:pPr>
      <w:r>
        <w:rPr>
          <w:rFonts w:ascii="黑体" w:hAnsi="黑体" w:eastAsia="黑体"/>
          <w:sz w:val="32"/>
        </w:rPr>
        <w:t>六、一般公共预算财政拨款基本支出决算情况说明</w:t>
      </w:r>
    </w:p>
    <w:p w14:paraId="2B57B1C2">
      <w:pPr>
        <w:spacing w:line="580" w:lineRule="exact"/>
        <w:ind w:firstLine="640"/>
        <w:jc w:val="both"/>
      </w:pPr>
      <w:r>
        <w:rPr>
          <w:rFonts w:ascii="仿宋_GB2312" w:hAnsi="仿宋_GB2312" w:eastAsia="仿宋_GB2312"/>
          <w:b w:val="0"/>
          <w:sz w:val="32"/>
        </w:rPr>
        <w:t>2024年度一般公共预算财政拨款基本支出334.88万元，其中：</w:t>
      </w:r>
      <w:r>
        <w:rPr>
          <w:rFonts w:ascii="仿宋_GB2312" w:hAnsi="仿宋_GB2312" w:eastAsia="仿宋_GB2312"/>
          <w:b/>
          <w:sz w:val="32"/>
        </w:rPr>
        <w:t>人员经费308.81万元，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285A72B0">
      <w:pPr>
        <w:spacing w:line="580" w:lineRule="exact"/>
        <w:ind w:firstLine="640"/>
        <w:jc w:val="both"/>
      </w:pPr>
      <w:r>
        <w:rPr>
          <w:rFonts w:ascii="仿宋_GB2312" w:hAnsi="仿宋_GB2312" w:eastAsia="仿宋_GB2312"/>
          <w:b/>
          <w:sz w:val="32"/>
        </w:rPr>
        <w:t>公用经费26.07万元，</w:t>
      </w:r>
      <w:r>
        <w:rPr>
          <w:rFonts w:ascii="仿宋_GB2312" w:hAnsi="仿宋_GB2312" w:eastAsia="仿宋_GB2312"/>
          <w:b w:val="0"/>
          <w:sz w:val="32"/>
        </w:rPr>
        <w:t>包括：办公费、邮电费、物业管理费、差旅费、委托业务费、工会经费、福利费、公务用车运行维护费、其他商品和服务支出。</w:t>
      </w:r>
    </w:p>
    <w:p w14:paraId="7AB67A0F">
      <w:pPr>
        <w:spacing w:line="640" w:lineRule="exact"/>
        <w:ind w:firstLine="640"/>
        <w:jc w:val="both"/>
        <w:outlineLvl w:val="2"/>
      </w:pPr>
      <w:r>
        <w:rPr>
          <w:rFonts w:ascii="黑体" w:hAnsi="黑体" w:eastAsia="黑体"/>
          <w:sz w:val="32"/>
        </w:rPr>
        <w:t>七、政府性基金预算财政拨款收入支出决算情况说明</w:t>
      </w:r>
    </w:p>
    <w:p w14:paraId="6D614D1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66DB7F8">
      <w:pPr>
        <w:spacing w:line="640" w:lineRule="exact"/>
        <w:ind w:firstLine="640"/>
        <w:jc w:val="both"/>
        <w:outlineLvl w:val="2"/>
      </w:pPr>
      <w:r>
        <w:rPr>
          <w:rFonts w:ascii="黑体" w:hAnsi="黑体" w:eastAsia="黑体"/>
          <w:sz w:val="32"/>
        </w:rPr>
        <w:t>八、国有资本经营预算财政拨款收入支出决算情况说明</w:t>
      </w:r>
    </w:p>
    <w:p w14:paraId="62762C8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CE8A5CB">
      <w:pPr>
        <w:spacing w:line="640" w:lineRule="exact"/>
        <w:ind w:firstLine="640"/>
        <w:jc w:val="both"/>
        <w:outlineLvl w:val="2"/>
      </w:pPr>
      <w:r>
        <w:rPr>
          <w:rFonts w:ascii="黑体" w:hAnsi="黑体" w:eastAsia="黑体"/>
          <w:sz w:val="32"/>
        </w:rPr>
        <w:t>九、财政拨款“三公”经费支出决算情况说明</w:t>
      </w:r>
    </w:p>
    <w:p w14:paraId="7AFA884D">
      <w:pPr>
        <w:spacing w:line="580" w:lineRule="exact"/>
        <w:ind w:firstLine="640"/>
        <w:jc w:val="both"/>
      </w:pPr>
      <w:r>
        <w:rPr>
          <w:rFonts w:ascii="仿宋_GB2312" w:hAnsi="仿宋_GB2312" w:eastAsia="仿宋_GB2312"/>
          <w:b/>
          <w:sz w:val="32"/>
        </w:rPr>
        <w:t>2024年度财政拨款“三公”经费支出3.00万元，</w:t>
      </w:r>
      <w:r>
        <w:rPr>
          <w:rFonts w:ascii="仿宋_GB2312" w:hAnsi="仿宋_GB2312" w:eastAsia="仿宋_GB2312"/>
          <w:b w:val="0"/>
          <w:sz w:val="32"/>
        </w:rPr>
        <w:t>比上年增加0.03万元，增长1.01%，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3.00万元，占100.00%，比上年增加0.03万元，增长1.01%，主要原因是：本年因业务需求，用车次数增加，燃油费增加，导致公务用车运行维护费较上年增加。公务接待费支出0.00万元，占0.00%，比上年增加0.00万元，增长0.00%，主要原因是：2023年与2024年均未安排公务接待费支出。</w:t>
      </w:r>
    </w:p>
    <w:p w14:paraId="418DB90C">
      <w:pPr>
        <w:spacing w:line="580" w:lineRule="exact"/>
        <w:ind w:firstLine="640"/>
        <w:jc w:val="both"/>
      </w:pPr>
      <w:r>
        <w:rPr>
          <w:rFonts w:ascii="仿宋_GB2312" w:hAnsi="仿宋_GB2312" w:eastAsia="仿宋_GB2312"/>
          <w:b/>
          <w:sz w:val="32"/>
        </w:rPr>
        <w:t>具体情况如下：</w:t>
      </w:r>
    </w:p>
    <w:p w14:paraId="1EEE10B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062DDE1">
      <w:pPr>
        <w:spacing w:line="580" w:lineRule="exact"/>
        <w:ind w:firstLine="640"/>
        <w:jc w:val="both"/>
      </w:pPr>
      <w:r>
        <w:rPr>
          <w:rFonts w:ascii="仿宋_GB2312" w:hAnsi="仿宋_GB2312" w:eastAsia="仿宋_GB2312"/>
          <w:b w:val="0"/>
          <w:sz w:val="32"/>
        </w:rPr>
        <w:t>公务用车购置及运行维护费3.00万元，其中：公务用车购置费0.00万元，公务用车运行维护费3.00万元。公务用车运行维护费开支内容包括车辆加油费、车辆保险费、车辆维修费、车辆过路费。公务用车购置数0辆，公务用车保有量6辆。国有资产占用情况中固定资产车辆6辆，与公务用车保有量差异原因是：本单位固定资产车辆与公务用车保有量一致无差异。</w:t>
      </w:r>
    </w:p>
    <w:p w14:paraId="1C39D01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53B082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3.00万元，决算数3.00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3.00万元，决算数3.00万元，预决算差异率0.00%，主要原因是：严格按照预算执行，预决算无差异。公务接待费全年预算数0.00万元，决算数0.00万元，预决算差异率0.00%，主要原因是：本单位无公务接待费。</w:t>
      </w:r>
    </w:p>
    <w:p w14:paraId="4750663E">
      <w:pPr>
        <w:spacing w:line="640" w:lineRule="exact"/>
        <w:ind w:firstLine="640"/>
        <w:jc w:val="both"/>
        <w:outlineLvl w:val="2"/>
      </w:pPr>
      <w:r>
        <w:rPr>
          <w:rFonts w:ascii="黑体" w:hAnsi="黑体" w:eastAsia="黑体"/>
          <w:sz w:val="32"/>
        </w:rPr>
        <w:t>十、其他重要事项的情况说明</w:t>
      </w:r>
    </w:p>
    <w:p w14:paraId="7B065527">
      <w:pPr>
        <w:spacing w:line="640" w:lineRule="exact"/>
        <w:ind w:firstLine="640"/>
        <w:jc w:val="both"/>
        <w:outlineLvl w:val="3"/>
      </w:pPr>
      <w:r>
        <w:rPr>
          <w:rFonts w:ascii="楷体_GB2312" w:hAnsi="楷体_GB2312" w:eastAsia="楷体_GB2312"/>
          <w:b/>
          <w:sz w:val="32"/>
        </w:rPr>
        <w:t>（一）机关运行经费及公用经费支出情况</w:t>
      </w:r>
    </w:p>
    <w:p w14:paraId="21EABC14">
      <w:pPr>
        <w:spacing w:line="580" w:lineRule="exact"/>
        <w:ind w:firstLine="640"/>
        <w:jc w:val="both"/>
      </w:pPr>
      <w:r>
        <w:rPr>
          <w:rFonts w:ascii="仿宋_GB2312" w:hAnsi="仿宋_GB2312" w:eastAsia="仿宋_GB2312"/>
          <w:b w:val="0"/>
          <w:sz w:val="32"/>
        </w:rPr>
        <w:t>2024年度昌吉州林业和草原综合行政执法支队（事业单位）公用经费支出26.07万元，比上年增加0.14万元，增长0.54%，主要原因是：本年办公费支出增加。</w:t>
      </w:r>
    </w:p>
    <w:p w14:paraId="2C4FFFB9">
      <w:pPr>
        <w:spacing w:line="640" w:lineRule="exact"/>
        <w:ind w:firstLine="640"/>
        <w:jc w:val="both"/>
        <w:outlineLvl w:val="3"/>
      </w:pPr>
      <w:r>
        <w:rPr>
          <w:rFonts w:ascii="楷体_GB2312" w:hAnsi="楷体_GB2312" w:eastAsia="楷体_GB2312"/>
          <w:b/>
          <w:sz w:val="32"/>
        </w:rPr>
        <w:t>（二）政府采购情况</w:t>
      </w:r>
    </w:p>
    <w:p w14:paraId="13298557">
      <w:pPr>
        <w:spacing w:line="580" w:lineRule="exact"/>
        <w:ind w:firstLine="640"/>
        <w:jc w:val="both"/>
      </w:pPr>
      <w:r>
        <w:rPr>
          <w:rFonts w:ascii="仿宋_GB2312" w:hAnsi="仿宋_GB2312" w:eastAsia="仿宋_GB2312"/>
          <w:b w:val="0"/>
          <w:sz w:val="32"/>
        </w:rPr>
        <w:t>2024年度政府采购支出总额76.42万元，其中：政府采购货物支出74.32万元、政府采购工程支出0.00万元、政府采购服务支出2.10万元。</w:t>
      </w:r>
    </w:p>
    <w:p w14:paraId="3D68A00A">
      <w:pPr>
        <w:spacing w:line="580" w:lineRule="exact"/>
        <w:ind w:firstLine="640"/>
        <w:jc w:val="both"/>
      </w:pPr>
      <w:r>
        <w:rPr>
          <w:rFonts w:ascii="仿宋_GB2312" w:hAnsi="仿宋_GB2312" w:eastAsia="仿宋_GB2312"/>
          <w:b w:val="0"/>
          <w:sz w:val="32"/>
        </w:rPr>
        <w:t>授予中小企业合同金额1.13万元，占政府采购支出总额的1.48%，其中：授予小微企业合同金额1.13万元，占政府采购支出总额的1.48%。</w:t>
      </w:r>
    </w:p>
    <w:p w14:paraId="16B51B78">
      <w:pPr>
        <w:spacing w:line="640" w:lineRule="exact"/>
        <w:ind w:firstLine="640"/>
        <w:jc w:val="both"/>
        <w:outlineLvl w:val="3"/>
      </w:pPr>
      <w:r>
        <w:rPr>
          <w:rFonts w:ascii="楷体_GB2312" w:hAnsi="楷体_GB2312" w:eastAsia="楷体_GB2312"/>
          <w:b/>
          <w:sz w:val="32"/>
        </w:rPr>
        <w:t>（三）国有资产占用情况说明</w:t>
      </w:r>
    </w:p>
    <w:p w14:paraId="236DF08B">
      <w:pPr>
        <w:spacing w:line="580" w:lineRule="exact"/>
        <w:ind w:firstLine="640"/>
        <w:jc w:val="both"/>
      </w:pPr>
      <w:r>
        <w:rPr>
          <w:rFonts w:ascii="仿宋_GB2312" w:hAnsi="仿宋_GB2312" w:eastAsia="仿宋_GB2312"/>
          <w:b w:val="0"/>
          <w:sz w:val="32"/>
        </w:rPr>
        <w:t>截至2024年12月31日，房屋0.00平方米，价值0.00万元。车辆6辆，价值126.43万元，其中：副部（省）级及以上领导用车0辆、主要负责人用车0辆、机要通信用车0辆、应急保障用车0辆、执法执勤用车0辆、特种专业技术用车4辆、离退休干部服务用车0辆、其他用车2辆，其他用车主要是：全州林业有害生物监测、检疫和防治工作车辆。单价100万元（含）以上设备（不含车辆）0台（套）。</w:t>
      </w:r>
    </w:p>
    <w:p w14:paraId="10F02C5F">
      <w:pPr>
        <w:spacing w:line="640" w:lineRule="exact"/>
        <w:ind w:firstLine="640"/>
        <w:jc w:val="both"/>
        <w:outlineLvl w:val="2"/>
      </w:pPr>
      <w:r>
        <w:rPr>
          <w:rFonts w:ascii="黑体" w:hAnsi="黑体" w:eastAsia="黑体"/>
          <w:sz w:val="32"/>
        </w:rPr>
        <w:t>十一、预算绩效的情况说明</w:t>
      </w:r>
    </w:p>
    <w:p w14:paraId="3453620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496.24万元，实际执行总额494.24万元；预算绩效评价项目7个，全年预算数108.20万元，全年执行数107.87万元。预算绩效管理取得的成效：一是绩效结果按照实施预算绩效管理要求，将项目绩效自评和重评按时报送，将绩效评价结果与预算安排挂钩，推动财政资金聚力增效；二是绩效评价质量不断提升。通过对绩效评价项目的分析以及指导，各部门高度重视，提高绩效评价质量，通过绩效评价，各部门逐步建立事前有评估、事中有监控、事后有评价以及结果运用的全方位绩效管理理念，将绩效理念逐步融入资金分配使用和具体实施全过程。发现的问题及原因：一是绩效目标设立不够明确、细化和量化。对绩效分析也不够透彻；二是在资金申请工作中要积极主动联系财政部门确保资金及时落实到位，进一步按照国家有关财务规章制度规定加强资金使用管理，确保资金用到实处，工作有序</w:t>
      </w:r>
      <w:r>
        <w:rPr>
          <w:rFonts w:hint="eastAsia" w:ascii="仿宋_GB2312" w:hAnsi="仿宋_GB2312" w:eastAsia="仿宋_GB2312"/>
          <w:b w:val="0"/>
          <w:sz w:val="32"/>
          <w:lang w:eastAsia="zh-CN"/>
        </w:rPr>
        <w:t>地</w:t>
      </w:r>
      <w:r>
        <w:rPr>
          <w:rFonts w:ascii="仿宋_GB2312" w:hAnsi="仿宋_GB2312" w:eastAsia="仿宋_GB2312"/>
          <w:b w:val="0"/>
          <w:sz w:val="32"/>
        </w:rPr>
        <w:t>开展，加强自身建设，提高服务能力。下一步改进措施：一是加强绩效目标编制培训，强化目标审核，加强预算绩效目标编制的培训学习。如：财政部《中央部门项目支出核心绩效目标和指标设臵及取值指引（试行）》（财预〔2021〕101号）、《自治区分行业分领域共性项目绩效指标体系（2021年度）》、2021年9月3日自治区财政厅绩效评价中心下发的《关于2022年度部门预算项目支出绩效目标设置及审核要求的提示通知》，提高绩效目标编制质量，确保绩效目标“够得着、能实现”；二是总结经验，加强资金使用管理，严格按照执行资金批准的使用计划和批复资料，认真执行资金管理和财务管理制度，严格执行国家有关财务规章制度规定的开支范围及开支标准，确保资金用到实处，发挥效益。提升履职效率，强化管理效能，优化服务效果，促进创新创优，推动政府执行力和公信力提升。具体附整体支出绩效自评表，项目支出绩效自评表和评价报告。</w:t>
      </w:r>
    </w:p>
    <w:p w14:paraId="5D54622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190E030">
        <w:tblPrEx>
          <w:tblCellMar>
            <w:top w:w="0" w:type="dxa"/>
            <w:left w:w="108" w:type="dxa"/>
            <w:bottom w:w="0" w:type="dxa"/>
            <w:right w:w="108" w:type="dxa"/>
          </w:tblCellMar>
        </w:tblPrEx>
        <w:tc>
          <w:tcPr>
            <w:tcW w:w="8847" w:type="dxa"/>
            <w:gridSpan w:val="9"/>
            <w:vAlign w:val="center"/>
          </w:tcPr>
          <w:p w14:paraId="3943A93B">
            <w:pPr>
              <w:jc w:val="center"/>
            </w:pPr>
            <w:r>
              <w:rPr>
                <w:rFonts w:ascii="宋体" w:hAnsi="宋体" w:eastAsia="宋体"/>
                <w:sz w:val="24"/>
              </w:rPr>
              <w:t>单位整体支出绩效自评表</w:t>
            </w:r>
          </w:p>
        </w:tc>
      </w:tr>
      <w:tr w14:paraId="5825FC27">
        <w:tblPrEx>
          <w:tblCellMar>
            <w:top w:w="0" w:type="dxa"/>
            <w:left w:w="108" w:type="dxa"/>
            <w:bottom w:w="0" w:type="dxa"/>
            <w:right w:w="108" w:type="dxa"/>
          </w:tblCellMar>
        </w:tblPrEx>
        <w:tc>
          <w:tcPr>
            <w:tcW w:w="8847" w:type="dxa"/>
            <w:gridSpan w:val="9"/>
            <w:vAlign w:val="center"/>
          </w:tcPr>
          <w:p w14:paraId="0E8253FA">
            <w:pPr>
              <w:jc w:val="center"/>
            </w:pPr>
            <w:r>
              <w:rPr>
                <w:rFonts w:ascii="宋体" w:hAnsi="宋体" w:eastAsia="宋体"/>
                <w:sz w:val="24"/>
              </w:rPr>
              <w:t>（2024年度）</w:t>
            </w:r>
          </w:p>
        </w:tc>
      </w:tr>
      <w:tr w14:paraId="53125BD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5C33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382BFFB">
            <w:pPr>
              <w:jc w:val="center"/>
            </w:pPr>
            <w:r>
              <w:rPr>
                <w:rFonts w:ascii="宋体" w:hAnsi="宋体" w:eastAsia="宋体"/>
                <w:sz w:val="16"/>
              </w:rPr>
              <w:t>昌吉州林业和草原综合行政执法支队</w:t>
            </w:r>
          </w:p>
        </w:tc>
      </w:tr>
      <w:tr w14:paraId="2D0313B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14099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0F20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6F4A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3ECE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F360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0C55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7716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DAE75">
            <w:pPr>
              <w:jc w:val="center"/>
            </w:pPr>
            <w:r>
              <w:rPr>
                <w:rFonts w:ascii="宋体" w:hAnsi="宋体" w:eastAsia="宋体"/>
                <w:sz w:val="16"/>
              </w:rPr>
              <w:t>得分</w:t>
            </w:r>
          </w:p>
        </w:tc>
      </w:tr>
      <w:tr w14:paraId="791A55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DB39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D5F5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CDD9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99EDA">
            <w:pPr>
              <w:jc w:val="center"/>
            </w:pPr>
            <w:r>
              <w:rPr>
                <w:rFonts w:ascii="宋体" w:hAnsi="宋体" w:eastAsia="宋体"/>
                <w:sz w:val="16"/>
              </w:rPr>
              <w:t>21.63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4CE65">
            <w:pPr>
              <w:jc w:val="center"/>
            </w:pPr>
            <w:r>
              <w:rPr>
                <w:rFonts w:ascii="宋体" w:hAnsi="宋体" w:eastAsia="宋体"/>
                <w:sz w:val="16"/>
              </w:rPr>
              <w:t>21.63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B0F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13C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C0D8C">
            <w:pPr>
              <w:jc w:val="center"/>
            </w:pPr>
            <w:r>
              <w:rPr>
                <w:rFonts w:ascii="宋体" w:hAnsi="宋体" w:eastAsia="宋体"/>
                <w:sz w:val="16"/>
              </w:rPr>
              <w:t>-</w:t>
            </w:r>
          </w:p>
        </w:tc>
      </w:tr>
      <w:tr w14:paraId="0C81C5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343C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80A5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7D674">
            <w:pPr>
              <w:jc w:val="center"/>
            </w:pPr>
            <w:r>
              <w:rPr>
                <w:rFonts w:ascii="宋体" w:hAnsi="宋体" w:eastAsia="宋体"/>
                <w:sz w:val="16"/>
              </w:rPr>
              <w:t>309.15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14A1F">
            <w:pPr>
              <w:jc w:val="center"/>
            </w:pPr>
            <w:r>
              <w:rPr>
                <w:rFonts w:ascii="宋体" w:hAnsi="宋体" w:eastAsia="宋体"/>
                <w:sz w:val="16"/>
              </w:rPr>
              <w:t>470.80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992EE">
            <w:pPr>
              <w:jc w:val="center"/>
            </w:pPr>
            <w:r>
              <w:rPr>
                <w:rFonts w:ascii="宋体" w:hAnsi="宋体" w:eastAsia="宋体"/>
                <w:sz w:val="16"/>
              </w:rPr>
              <w:t>470.80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440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C8D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BA485">
            <w:pPr>
              <w:jc w:val="center"/>
            </w:pPr>
            <w:r>
              <w:rPr>
                <w:rFonts w:ascii="宋体" w:hAnsi="宋体" w:eastAsia="宋体"/>
                <w:sz w:val="16"/>
              </w:rPr>
              <w:t>-</w:t>
            </w:r>
          </w:p>
        </w:tc>
      </w:tr>
      <w:tr w14:paraId="3C4E1A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E460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3F213">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BA62E">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EDB48">
            <w:pPr>
              <w:jc w:val="center"/>
            </w:pPr>
            <w:r>
              <w:rPr>
                <w:rFonts w:ascii="宋体" w:hAnsi="宋体" w:eastAsia="宋体"/>
                <w:sz w:val="16"/>
              </w:rPr>
              <w:t>3.81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A750C">
            <w:pPr>
              <w:jc w:val="center"/>
            </w:pPr>
            <w:r>
              <w:rPr>
                <w:rFonts w:ascii="宋体" w:hAnsi="宋体" w:eastAsia="宋体"/>
                <w:sz w:val="16"/>
              </w:rPr>
              <w:t>1.81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61B0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B741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704B2">
            <w:pPr>
              <w:jc w:val="center"/>
            </w:pPr>
            <w:r>
              <w:rPr>
                <w:rFonts w:ascii="宋体" w:hAnsi="宋体" w:eastAsia="宋体"/>
                <w:sz w:val="16"/>
              </w:rPr>
              <w:t>-</w:t>
            </w:r>
          </w:p>
        </w:tc>
      </w:tr>
      <w:tr w14:paraId="68BA06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4B0D6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2A29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D2CCF">
            <w:pPr>
              <w:jc w:val="center"/>
            </w:pPr>
            <w:r>
              <w:rPr>
                <w:rFonts w:ascii="宋体" w:hAnsi="宋体" w:eastAsia="宋体"/>
                <w:sz w:val="16"/>
              </w:rPr>
              <w:t>311.15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52215">
            <w:pPr>
              <w:jc w:val="center"/>
            </w:pPr>
            <w:r>
              <w:rPr>
                <w:rFonts w:ascii="宋体" w:hAnsi="宋体" w:eastAsia="宋体"/>
                <w:sz w:val="16"/>
              </w:rPr>
              <w:t>496.24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85D7C">
            <w:pPr>
              <w:jc w:val="center"/>
            </w:pPr>
            <w:r>
              <w:rPr>
                <w:rFonts w:ascii="宋体" w:hAnsi="宋体" w:eastAsia="宋体"/>
                <w:sz w:val="16"/>
              </w:rPr>
              <w:t>494.24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507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F250D">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CCB92">
            <w:pPr>
              <w:jc w:val="center"/>
            </w:pPr>
            <w:r>
              <w:rPr>
                <w:rFonts w:ascii="宋体" w:hAnsi="宋体" w:eastAsia="宋体"/>
                <w:sz w:val="16"/>
              </w:rPr>
              <w:t>9.96</w:t>
            </w:r>
          </w:p>
        </w:tc>
      </w:tr>
      <w:tr w14:paraId="2541342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7D752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6EFF9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7F2A55">
            <w:pPr>
              <w:jc w:val="center"/>
            </w:pPr>
            <w:r>
              <w:rPr>
                <w:rFonts w:ascii="宋体" w:hAnsi="宋体" w:eastAsia="宋体"/>
                <w:sz w:val="16"/>
              </w:rPr>
              <w:t>实际完成情况</w:t>
            </w:r>
          </w:p>
        </w:tc>
      </w:tr>
      <w:tr w14:paraId="420361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377C4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A552FC">
            <w:pPr>
              <w:jc w:val="both"/>
            </w:pPr>
            <w:r>
              <w:rPr>
                <w:rFonts w:ascii="宋体" w:hAnsi="宋体" w:eastAsia="宋体"/>
                <w:sz w:val="16"/>
              </w:rPr>
              <w:t>加强种苗质量监管，开展种苗质量抽查； 抓好10个良种苗木培育项目实施，并进行检查验收； 开展禁牧和草畜平衡抽查；开展草原监督管理工作，积极开展草原法律法规宣传教育，指导监督县市依法依规查处各类草原违法违规案件；形成2024年《执法监管专项报告</w:t>
            </w:r>
            <w:r>
              <w:rPr>
                <w:rFonts w:hint="eastAsia" w:ascii="宋体" w:hAnsi="宋体"/>
                <w:sz w:val="16"/>
                <w:lang w:eastAsia="zh-CN"/>
              </w:rPr>
              <w:t>》《</w:t>
            </w:r>
            <w:r>
              <w:rPr>
                <w:rFonts w:ascii="宋体" w:hAnsi="宋体" w:eastAsia="宋体"/>
                <w:sz w:val="16"/>
              </w:rPr>
              <w:t>禁牧和草畜平衡管理专项报告》；                                              指导县市做好全州林业植物检疫、有害生物监测预报、防治工作，确保全州林业有害生物成灾率控制在8.2‰以内； 服务指导县市按时完成全州重大林业有害生物专项调查；做好林业有害生物防治项目监管和技术服务，确保项目实施效果；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8DC8AD">
            <w:pPr>
              <w:jc w:val="both"/>
            </w:pPr>
            <w:r>
              <w:rPr>
                <w:rFonts w:ascii="宋体" w:hAnsi="宋体" w:eastAsia="宋体"/>
                <w:sz w:val="16"/>
              </w:rPr>
              <w:t>2024年初预算311.15万元，调整预算数496.24万元，预算执行数494.24万元，执行率99.60%。2024年</w:t>
            </w:r>
            <w:r>
              <w:rPr>
                <w:rFonts w:hint="eastAsia" w:ascii="宋体" w:hAnsi="宋体"/>
                <w:sz w:val="16"/>
                <w:lang w:eastAsia="zh-CN"/>
              </w:rPr>
              <w:t>本单位</w:t>
            </w:r>
            <w:r>
              <w:rPr>
                <w:rFonts w:ascii="宋体" w:hAnsi="宋体" w:eastAsia="宋体"/>
                <w:sz w:val="16"/>
              </w:rPr>
              <w:t>完成以下工作内容 1.入户10户牧民家，开展禁牧和草畜平衡、草原监督管理工作，指导监督县市依法依规查处各类草原违法违规案件； 2.种苗质量监管，开展种苗质量抽查8个批次， 指导县市完成10个良种苗木培育项目的实施，配合自治区对项目实施情况进行检查验收；3.指导县市做好有害生物监测预报、防治工作，开展重大林业有害生物7个种类的专项调查，完成林业有害生物防治面积1.225万亩；4.做好林业有害生物防治项目监管和技术服务，完成2024年度监测预报工作历和实施方案编制工作；5.全州林业有害生物成灾率为零；通过以上工作的实施，持续做好产地检疫、调运检疫、复检等工作，不断提升全州林业有害生物监测能力，扎实落实林木病虫害防治措施；做好种苗项目管理工作，提升种苗监督管理水平。</w:t>
            </w:r>
          </w:p>
        </w:tc>
      </w:tr>
      <w:tr w14:paraId="0645D4B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44AF2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48A0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ED3D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CB7E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E501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5615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CF06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F6DCF">
            <w:pPr>
              <w:jc w:val="center"/>
            </w:pPr>
            <w:r>
              <w:rPr>
                <w:rFonts w:ascii="宋体" w:hAnsi="宋体" w:eastAsia="宋体"/>
                <w:sz w:val="16"/>
              </w:rPr>
              <w:t>得分</w:t>
            </w:r>
          </w:p>
        </w:tc>
      </w:tr>
      <w:tr w14:paraId="201CF7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EDF6F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1FB4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16727">
            <w:pPr>
              <w:jc w:val="center"/>
            </w:pPr>
            <w:r>
              <w:rPr>
                <w:rFonts w:ascii="宋体" w:hAnsi="宋体" w:eastAsia="宋体"/>
                <w:sz w:val="16"/>
              </w:rPr>
              <w:t>开展禁牧和草畜平衡抽查；开展草原监督管理工作，积极开展草原法律法规宣传教育，指导监督县市依法依规查处各类草原违法违规案件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82549">
            <w:pPr>
              <w:jc w:val="center"/>
            </w:pPr>
            <w:r>
              <w:rPr>
                <w:rFonts w:ascii="宋体" w:hAnsi="宋体" w:eastAsia="宋体"/>
                <w:sz w:val="16"/>
              </w:rPr>
              <w:t>=10户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A658F">
            <w:pPr>
              <w:jc w:val="center"/>
            </w:pPr>
            <w:r>
              <w:rPr>
                <w:rFonts w:ascii="宋体" w:hAnsi="宋体" w:eastAsia="宋体"/>
                <w:sz w:val="16"/>
              </w:rPr>
              <w:t>昌州财建</w:t>
            </w:r>
            <w:r>
              <w:rPr>
                <w:rFonts w:hint="eastAsia" w:ascii="宋体" w:hAnsi="宋体"/>
                <w:sz w:val="16"/>
                <w:lang w:eastAsia="zh-CN"/>
              </w:rPr>
              <w:t>〔2023〕147号</w:t>
            </w:r>
            <w:r>
              <w:rPr>
                <w:rFonts w:ascii="宋体" w:hAnsi="宋体" w:eastAsia="宋体"/>
                <w:sz w:val="16"/>
              </w:rPr>
              <w:t>—关于提前下达2024年自治区林草专项资金预算的通知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047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BA948">
            <w:pPr>
              <w:jc w:val="center"/>
            </w:pPr>
            <w:r>
              <w:rPr>
                <w:rFonts w:ascii="宋体" w:hAnsi="宋体" w:eastAsia="宋体"/>
                <w:sz w:val="16"/>
              </w:rPr>
              <w:t>=10户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1433C">
            <w:pPr>
              <w:jc w:val="center"/>
            </w:pPr>
            <w:r>
              <w:rPr>
                <w:rFonts w:ascii="宋体" w:hAnsi="宋体" w:eastAsia="宋体"/>
                <w:sz w:val="16"/>
              </w:rPr>
              <w:t>10</w:t>
            </w:r>
          </w:p>
        </w:tc>
      </w:tr>
      <w:tr w14:paraId="27D156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9543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4A566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66091">
            <w:pPr>
              <w:jc w:val="center"/>
            </w:pPr>
            <w:r>
              <w:rPr>
                <w:rFonts w:ascii="宋体" w:hAnsi="宋体" w:eastAsia="宋体"/>
                <w:sz w:val="16"/>
              </w:rPr>
              <w:t>加强种苗质量监管，开展种苗质量抽检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6FC2B">
            <w:pPr>
              <w:jc w:val="center"/>
            </w:pPr>
            <w:r>
              <w:rPr>
                <w:rFonts w:ascii="宋体" w:hAnsi="宋体" w:eastAsia="宋体"/>
                <w:sz w:val="16"/>
              </w:rPr>
              <w:t>=6批次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6FDFF">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20B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96394">
            <w:pPr>
              <w:jc w:val="center"/>
            </w:pPr>
            <w:r>
              <w:rPr>
                <w:rFonts w:ascii="宋体" w:hAnsi="宋体" w:eastAsia="宋体"/>
                <w:sz w:val="16"/>
              </w:rPr>
              <w:t>=8批次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3CC39">
            <w:pPr>
              <w:jc w:val="center"/>
            </w:pPr>
            <w:r>
              <w:rPr>
                <w:rFonts w:ascii="宋体" w:hAnsi="宋体" w:eastAsia="宋体"/>
                <w:sz w:val="16"/>
              </w:rPr>
              <w:t>10</w:t>
            </w:r>
          </w:p>
        </w:tc>
      </w:tr>
      <w:tr w14:paraId="6B9AF8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8775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6BF8D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2EF5F">
            <w:pPr>
              <w:jc w:val="center"/>
            </w:pPr>
            <w:r>
              <w:rPr>
                <w:rFonts w:ascii="宋体" w:hAnsi="宋体" w:eastAsia="宋体"/>
                <w:sz w:val="16"/>
              </w:rPr>
              <w:t>指导县市实施林木良种培育项目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F1F3C">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796D3">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8B3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855EF">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81F24">
            <w:pPr>
              <w:jc w:val="center"/>
            </w:pPr>
            <w:r>
              <w:rPr>
                <w:rFonts w:ascii="宋体" w:hAnsi="宋体" w:eastAsia="宋体"/>
                <w:sz w:val="16"/>
              </w:rPr>
              <w:t>10</w:t>
            </w:r>
          </w:p>
        </w:tc>
      </w:tr>
      <w:tr w14:paraId="41B787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49B86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4B3D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8E946">
            <w:pPr>
              <w:jc w:val="center"/>
            </w:pPr>
            <w:r>
              <w:rPr>
                <w:rFonts w:ascii="宋体" w:hAnsi="宋体" w:eastAsia="宋体"/>
                <w:sz w:val="16"/>
              </w:rPr>
              <w:t>开展重大林业有害生物专项调查种类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0D5C1">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B1DE0">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7F66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0B1FE">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96335">
            <w:pPr>
              <w:jc w:val="center"/>
            </w:pPr>
            <w:r>
              <w:rPr>
                <w:rFonts w:ascii="宋体" w:hAnsi="宋体" w:eastAsia="宋体"/>
                <w:sz w:val="16"/>
              </w:rPr>
              <w:t>15</w:t>
            </w:r>
          </w:p>
        </w:tc>
      </w:tr>
      <w:tr w14:paraId="59A9F4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5477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68D1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55B08">
            <w:pPr>
              <w:jc w:val="center"/>
            </w:pPr>
            <w:r>
              <w:rPr>
                <w:rFonts w:ascii="宋体" w:hAnsi="宋体" w:eastAsia="宋体"/>
                <w:sz w:val="16"/>
              </w:rPr>
              <w:t>指导各县市完成林业有害生物防治面积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57721">
            <w:pPr>
              <w:jc w:val="center"/>
            </w:pPr>
            <w:r>
              <w:rPr>
                <w:rFonts w:ascii="宋体" w:hAnsi="宋体" w:eastAsia="宋体"/>
                <w:sz w:val="16"/>
              </w:rPr>
              <w:t>=1.225万亩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4E001">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1579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0FAD8">
            <w:pPr>
              <w:jc w:val="center"/>
            </w:pPr>
            <w:r>
              <w:rPr>
                <w:rFonts w:ascii="宋体" w:hAnsi="宋体" w:eastAsia="宋体"/>
                <w:sz w:val="16"/>
              </w:rPr>
              <w:t>=1.225万亩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98036">
            <w:pPr>
              <w:jc w:val="center"/>
            </w:pPr>
            <w:r>
              <w:rPr>
                <w:rFonts w:ascii="宋体" w:hAnsi="宋体" w:eastAsia="宋体"/>
                <w:sz w:val="16"/>
              </w:rPr>
              <w:t>15</w:t>
            </w:r>
          </w:p>
        </w:tc>
      </w:tr>
      <w:tr w14:paraId="3342D9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68C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6329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B5A82">
            <w:pPr>
              <w:jc w:val="center"/>
            </w:pPr>
            <w:r>
              <w:rPr>
                <w:rFonts w:ascii="宋体" w:hAnsi="宋体" w:eastAsia="宋体"/>
                <w:sz w:val="16"/>
              </w:rPr>
              <w:t>完成2024年度监测预报工作历和实施方案编制工作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1474C">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7F692">
            <w:pPr>
              <w:jc w:val="center"/>
            </w:pPr>
            <w:r>
              <w:rPr>
                <w:rFonts w:ascii="宋体" w:hAnsi="宋体" w:eastAsia="宋体"/>
                <w:sz w:val="16"/>
              </w:rPr>
              <w:t>2024年绩效考核指标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943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70A17">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E3B94">
            <w:pPr>
              <w:jc w:val="center"/>
            </w:pPr>
            <w:r>
              <w:rPr>
                <w:rFonts w:ascii="宋体" w:hAnsi="宋体" w:eastAsia="宋体"/>
                <w:sz w:val="16"/>
              </w:rPr>
              <w:t>10</w:t>
            </w:r>
          </w:p>
        </w:tc>
      </w:tr>
      <w:tr w14:paraId="2E298F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4AA9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FCED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25B4B">
            <w:pPr>
              <w:jc w:val="center"/>
            </w:pPr>
            <w:r>
              <w:rPr>
                <w:rFonts w:ascii="宋体" w:hAnsi="宋体" w:eastAsia="宋体"/>
                <w:sz w:val="16"/>
              </w:rPr>
              <w:t>全州林业有害生物成灾率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C9BFE">
            <w:pPr>
              <w:jc w:val="center"/>
            </w:pPr>
            <w:r>
              <w:rPr>
                <w:rFonts w:ascii="宋体" w:hAnsi="宋体" w:eastAsia="宋体"/>
                <w:sz w:val="16"/>
              </w:rPr>
              <w:t>&lt;=8.2‰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FD997">
            <w:pPr>
              <w:jc w:val="center"/>
            </w:pPr>
            <w:r>
              <w:rPr>
                <w:rFonts w:ascii="宋体" w:hAnsi="宋体" w:eastAsia="宋体"/>
                <w:sz w:val="16"/>
              </w:rPr>
              <w:t>林草</w:t>
            </w:r>
            <w:r>
              <w:rPr>
                <w:rFonts w:hint="eastAsia" w:ascii="宋体" w:hAnsi="宋体"/>
                <w:sz w:val="16"/>
                <w:lang w:eastAsia="zh-CN"/>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7F89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9304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3BE0B">
            <w:pPr>
              <w:jc w:val="center"/>
            </w:pPr>
            <w:r>
              <w:rPr>
                <w:rFonts w:ascii="宋体" w:hAnsi="宋体" w:eastAsia="宋体"/>
                <w:sz w:val="16"/>
              </w:rPr>
              <w:t>20</w:t>
            </w:r>
          </w:p>
        </w:tc>
      </w:tr>
    </w:tbl>
    <w:p w14:paraId="7EABC7E2">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625"/>
        <w:gridCol w:w="856"/>
        <w:gridCol w:w="631"/>
        <w:gridCol w:w="628"/>
        <w:gridCol w:w="696"/>
        <w:gridCol w:w="622"/>
        <w:gridCol w:w="622"/>
        <w:gridCol w:w="624"/>
        <w:gridCol w:w="624"/>
        <w:gridCol w:w="632"/>
      </w:tblGrid>
      <w:tr w14:paraId="0EF22DAE">
        <w:tblPrEx>
          <w:tblCellMar>
            <w:top w:w="0" w:type="dxa"/>
            <w:left w:w="108" w:type="dxa"/>
            <w:bottom w:w="0" w:type="dxa"/>
            <w:right w:w="108" w:type="dxa"/>
          </w:tblCellMar>
        </w:tblPrEx>
        <w:tc>
          <w:tcPr>
            <w:tcW w:w="9060" w:type="dxa"/>
            <w:gridSpan w:val="14"/>
            <w:vAlign w:val="center"/>
          </w:tcPr>
          <w:p w14:paraId="5883E0F4">
            <w:pPr>
              <w:jc w:val="center"/>
            </w:pPr>
            <w:r>
              <w:rPr>
                <w:rFonts w:ascii="宋体" w:hAnsi="宋体" w:eastAsia="宋体"/>
                <w:sz w:val="24"/>
              </w:rPr>
              <w:t>项目支出绩效自评表</w:t>
            </w:r>
          </w:p>
        </w:tc>
      </w:tr>
      <w:tr w14:paraId="3FC5DB60">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C7D2B5">
            <w:pPr>
              <w:jc w:val="center"/>
            </w:pPr>
            <w:r>
              <w:rPr>
                <w:rFonts w:ascii="宋体" w:hAnsi="宋体" w:eastAsia="宋体"/>
                <w:sz w:val="24"/>
              </w:rPr>
              <w:t>(2024年度)</w:t>
            </w:r>
          </w:p>
        </w:tc>
      </w:tr>
      <w:tr w14:paraId="6FAAA476">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8880EF9">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B9AF18">
            <w:pPr>
              <w:jc w:val="center"/>
            </w:pPr>
            <w:r>
              <w:rPr>
                <w:rFonts w:ascii="宋体" w:hAnsi="宋体" w:eastAsia="宋体"/>
                <w:sz w:val="16"/>
              </w:rPr>
              <w:t>2024年昌吉州林业和草原</w:t>
            </w:r>
            <w:r>
              <w:rPr>
                <w:rFonts w:hint="eastAsia" w:ascii="宋体" w:hAnsi="宋体"/>
                <w:sz w:val="16"/>
                <w:lang w:eastAsia="zh-CN"/>
              </w:rPr>
              <w:t>综合行政执法</w:t>
            </w:r>
            <w:r>
              <w:rPr>
                <w:rFonts w:ascii="宋体" w:hAnsi="宋体" w:eastAsia="宋体"/>
                <w:sz w:val="16"/>
              </w:rPr>
              <w:t>专项业务经费</w:t>
            </w:r>
          </w:p>
        </w:tc>
      </w:tr>
      <w:tr w14:paraId="76B11BB4">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0F91BE0">
            <w:pPr>
              <w:jc w:val="center"/>
            </w:pPr>
            <w:r>
              <w:rPr>
                <w:rFonts w:ascii="宋体" w:hAnsi="宋体" w:eastAsia="宋体"/>
                <w:sz w:val="16"/>
              </w:rPr>
              <w:t>主管部门</w:t>
            </w:r>
          </w:p>
        </w:tc>
        <w:tc>
          <w:tcPr>
            <w:tcW w:w="46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3517C9">
            <w:pPr>
              <w:jc w:val="center"/>
            </w:pPr>
            <w:r>
              <w:rPr>
                <w:rFonts w:ascii="宋体" w:hAnsi="宋体" w:eastAsia="宋体"/>
                <w:sz w:val="16"/>
              </w:rPr>
              <w:t>昌吉州林业和草原局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528619">
            <w:pPr>
              <w:jc w:val="center"/>
            </w:pPr>
            <w:r>
              <w:rPr>
                <w:rFonts w:ascii="宋体" w:hAnsi="宋体" w:eastAsia="宋体"/>
                <w:sz w:val="16"/>
              </w:rPr>
              <w:t>实施单位</w:t>
            </w:r>
          </w:p>
        </w:tc>
        <w:tc>
          <w:tcPr>
            <w:tcW w:w="31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2E3F49">
            <w:pPr>
              <w:jc w:val="center"/>
            </w:pPr>
            <w:r>
              <w:rPr>
                <w:rFonts w:ascii="宋体" w:hAnsi="宋体" w:eastAsia="宋体"/>
                <w:sz w:val="16"/>
              </w:rPr>
              <w:t>昌吉回族自治州林业和草原综合行政执法支队</w:t>
            </w:r>
          </w:p>
        </w:tc>
      </w:tr>
      <w:tr w14:paraId="0B482945">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55B91">
            <w:pPr>
              <w:jc w:val="center"/>
            </w:pPr>
            <w:r>
              <w:rPr>
                <w:rFonts w:ascii="宋体" w:hAnsi="宋体" w:eastAsia="宋体"/>
                <w:sz w:val="16"/>
              </w:rPr>
              <w:t>项目资金（万元）</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D0A7D">
            <w:pPr>
              <w:jc w:val="center"/>
            </w:pP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023BA">
            <w:pPr>
              <w:jc w:val="center"/>
            </w:pPr>
            <w:r>
              <w:rPr>
                <w:rFonts w:ascii="宋体" w:hAnsi="宋体" w:eastAsia="宋体"/>
                <w:sz w:val="16"/>
              </w:rPr>
              <w:t>年初预算数</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1551E">
            <w:pPr>
              <w:jc w:val="center"/>
            </w:pPr>
            <w:r>
              <w:rPr>
                <w:rFonts w:ascii="宋体" w:hAnsi="宋体" w:eastAsia="宋体"/>
                <w:sz w:val="16"/>
              </w:rPr>
              <w:t>全年预算数</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AC6C6">
            <w:pPr>
              <w:jc w:val="center"/>
            </w:pPr>
            <w:r>
              <w:rPr>
                <w:rFonts w:ascii="宋体" w:hAnsi="宋体" w:eastAsia="宋体"/>
                <w:sz w:val="16"/>
              </w:rPr>
              <w:t>全年执行数</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C5BA4">
            <w:pPr>
              <w:jc w:val="center"/>
            </w:pPr>
            <w:r>
              <w:rPr>
                <w:rFonts w:ascii="宋体" w:hAnsi="宋体" w:eastAsia="宋体"/>
                <w:sz w:val="16"/>
              </w:rPr>
              <w:t>分值</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FEAB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789C9">
            <w:pPr>
              <w:jc w:val="center"/>
            </w:pPr>
            <w:r>
              <w:rPr>
                <w:rFonts w:ascii="宋体" w:hAnsi="宋体" w:eastAsia="宋体"/>
                <w:sz w:val="16"/>
              </w:rPr>
              <w:t>得分</w:t>
            </w:r>
          </w:p>
        </w:tc>
      </w:tr>
      <w:tr w14:paraId="07B74535">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BDD6D7E"/>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2431C">
            <w:pPr>
              <w:jc w:val="center"/>
            </w:pPr>
            <w:r>
              <w:rPr>
                <w:rFonts w:ascii="宋体" w:hAnsi="宋体" w:eastAsia="宋体"/>
                <w:sz w:val="16"/>
              </w:rPr>
              <w:t>年度资金总额</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D1D88">
            <w:pPr>
              <w:jc w:val="center"/>
            </w:pPr>
            <w:r>
              <w:rPr>
                <w:rFonts w:ascii="宋体" w:hAnsi="宋体" w:eastAsia="宋体"/>
                <w:sz w:val="16"/>
              </w:rPr>
              <w:t>10.00</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3A151">
            <w:pPr>
              <w:jc w:val="center"/>
            </w:pPr>
            <w:r>
              <w:rPr>
                <w:rFonts w:ascii="宋体" w:hAnsi="宋体" w:eastAsia="宋体"/>
                <w:sz w:val="16"/>
              </w:rPr>
              <w:t>6.33</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78CB5">
            <w:pPr>
              <w:jc w:val="center"/>
            </w:pPr>
            <w:r>
              <w:rPr>
                <w:rFonts w:ascii="宋体" w:hAnsi="宋体" w:eastAsia="宋体"/>
                <w:sz w:val="16"/>
              </w:rPr>
              <w:t>6.33</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0AF7A">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E76E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F52D">
            <w:pPr>
              <w:jc w:val="center"/>
            </w:pPr>
            <w:r>
              <w:rPr>
                <w:rFonts w:ascii="宋体" w:hAnsi="宋体" w:eastAsia="宋体"/>
                <w:sz w:val="16"/>
              </w:rPr>
              <w:t>10.00</w:t>
            </w:r>
          </w:p>
        </w:tc>
      </w:tr>
      <w:tr w14:paraId="281E58F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EB70EED"/>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77917">
            <w:pPr>
              <w:jc w:val="center"/>
            </w:pPr>
            <w:r>
              <w:rPr>
                <w:rFonts w:ascii="宋体" w:hAnsi="宋体" w:eastAsia="宋体"/>
                <w:sz w:val="16"/>
              </w:rPr>
              <w:t>其中：当年财政拨款</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1CC5D">
            <w:pPr>
              <w:jc w:val="center"/>
            </w:pPr>
            <w:r>
              <w:rPr>
                <w:rFonts w:ascii="宋体" w:hAnsi="宋体" w:eastAsia="宋体"/>
                <w:sz w:val="16"/>
              </w:rPr>
              <w:t>10.00</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B77CF">
            <w:pPr>
              <w:jc w:val="center"/>
            </w:pPr>
            <w:r>
              <w:rPr>
                <w:rFonts w:ascii="宋体" w:hAnsi="宋体" w:eastAsia="宋体"/>
                <w:sz w:val="16"/>
              </w:rPr>
              <w:t>6.33</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FE182">
            <w:pPr>
              <w:jc w:val="center"/>
            </w:pPr>
            <w:r>
              <w:rPr>
                <w:rFonts w:ascii="宋体" w:hAnsi="宋体" w:eastAsia="宋体"/>
                <w:sz w:val="16"/>
              </w:rPr>
              <w:t>6.33</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900F8">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97A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A0C8E">
            <w:pPr>
              <w:jc w:val="center"/>
            </w:pPr>
            <w:r>
              <w:rPr>
                <w:rFonts w:ascii="宋体" w:hAnsi="宋体" w:eastAsia="宋体"/>
                <w:sz w:val="16"/>
              </w:rPr>
              <w:t>—</w:t>
            </w:r>
          </w:p>
        </w:tc>
      </w:tr>
      <w:tr w14:paraId="100046BD">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9558ED1"/>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54652">
            <w:pPr>
              <w:jc w:val="center"/>
            </w:pPr>
            <w:r>
              <w:rPr>
                <w:rFonts w:ascii="宋体" w:hAnsi="宋体" w:eastAsia="宋体"/>
                <w:sz w:val="16"/>
              </w:rPr>
              <w:t xml:space="preserve">  其他资金</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861C1">
            <w:pPr>
              <w:jc w:val="center"/>
            </w:pPr>
            <w:r>
              <w:rPr>
                <w:rFonts w:ascii="宋体" w:hAnsi="宋体" w:eastAsia="宋体"/>
                <w:sz w:val="16"/>
              </w:rPr>
              <w:t>0.00</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C00AF">
            <w:pPr>
              <w:jc w:val="center"/>
            </w:pPr>
            <w:r>
              <w:rPr>
                <w:rFonts w:ascii="宋体" w:hAnsi="宋体" w:eastAsia="宋体"/>
                <w:sz w:val="16"/>
              </w:rPr>
              <w:t>0.00</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F2C03">
            <w:pPr>
              <w:jc w:val="center"/>
            </w:pPr>
            <w:r>
              <w:rPr>
                <w:rFonts w:ascii="宋体" w:hAnsi="宋体" w:eastAsia="宋体"/>
                <w:sz w:val="16"/>
              </w:rPr>
              <w:t>0.00</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5998D">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CE4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A741D">
            <w:pPr>
              <w:jc w:val="center"/>
            </w:pPr>
            <w:r>
              <w:rPr>
                <w:rFonts w:ascii="宋体" w:hAnsi="宋体" w:eastAsia="宋体"/>
                <w:sz w:val="16"/>
              </w:rPr>
              <w:t>—</w:t>
            </w:r>
          </w:p>
        </w:tc>
      </w:tr>
      <w:tr w14:paraId="727B47DE">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484F0D">
            <w:pPr>
              <w:jc w:val="center"/>
            </w:pPr>
            <w:r>
              <w:rPr>
                <w:rFonts w:ascii="宋体" w:hAnsi="宋体" w:eastAsia="宋体"/>
                <w:sz w:val="16"/>
              </w:rPr>
              <w:t>年度总体目标</w:t>
            </w:r>
          </w:p>
        </w:tc>
        <w:tc>
          <w:tcPr>
            <w:tcW w:w="335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6D30E5">
            <w:pPr>
              <w:jc w:val="center"/>
            </w:pPr>
            <w:r>
              <w:rPr>
                <w:rFonts w:ascii="宋体" w:hAnsi="宋体" w:eastAsia="宋体"/>
                <w:sz w:val="16"/>
              </w:rPr>
              <w:t>预期目标</w:t>
            </w:r>
          </w:p>
        </w:tc>
        <w:tc>
          <w:tcPr>
            <w:tcW w:w="5079"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DF8B7FA">
            <w:pPr>
              <w:jc w:val="center"/>
            </w:pPr>
            <w:r>
              <w:rPr>
                <w:rFonts w:ascii="宋体" w:hAnsi="宋体" w:eastAsia="宋体"/>
                <w:sz w:val="16"/>
              </w:rPr>
              <w:t>实际完成情况</w:t>
            </w:r>
          </w:p>
        </w:tc>
      </w:tr>
      <w:tr w14:paraId="4EC22B8E">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C3AE8D9"/>
        </w:tc>
        <w:tc>
          <w:tcPr>
            <w:tcW w:w="335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5F1C4B">
            <w:pPr>
              <w:jc w:val="both"/>
            </w:pPr>
            <w:r>
              <w:rPr>
                <w:rFonts w:ascii="宋体" w:hAnsi="宋体" w:eastAsia="宋体"/>
                <w:sz w:val="16"/>
              </w:rPr>
              <w:t>1.指导各县市开展林业植物检疫、有害生物监测预报和防治工作，采购监测耗材1批，用于各县市重大林业有害生物监测，及时开展技术指导和项目验收，确保全州林业有害生物成灾率控制在≤8.2‰；2.开展业务档案整理、审计和资产清查工作，单位合并后，保障单位正常运转。</w:t>
            </w:r>
          </w:p>
        </w:tc>
        <w:tc>
          <w:tcPr>
            <w:tcW w:w="5079"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FD6F437">
            <w:pPr>
              <w:jc w:val="both"/>
            </w:pPr>
            <w:r>
              <w:rPr>
                <w:rFonts w:hint="eastAsia" w:ascii="宋体" w:hAnsi="宋体"/>
                <w:sz w:val="16"/>
                <w:lang w:eastAsia="zh-CN"/>
              </w:rPr>
              <w:t>截至2024</w:t>
            </w:r>
            <w:r>
              <w:rPr>
                <w:rFonts w:ascii="宋体" w:hAnsi="宋体" w:eastAsia="宋体"/>
                <w:sz w:val="16"/>
              </w:rPr>
              <w:t>年12月31日，该项目实际完成：指导7个县市、开展7次有害生物监测预报和林业有害生物防治技术指导工作，开展技术指导及时率100%，采购监测耗材1批，开展业务档案整理、审计和资产清查3项工作，支付委托业务费3.5万元，差旅费0.44万元，支付其他交通费1.89万元，支付专用材料费0.50万元。通过该项目的实施，提高基层业务人员专业技术服务水平，提高业务开展效率，提升公共服务能力，保障单位正常运转。</w:t>
            </w:r>
          </w:p>
        </w:tc>
      </w:tr>
      <w:tr w14:paraId="621FFCAF">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647A9E7F"/>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7FB00F5">
            <w:pPr>
              <w:jc w:val="center"/>
            </w:pPr>
            <w:r>
              <w:rPr>
                <w:rFonts w:ascii="宋体" w:hAnsi="宋体" w:eastAsia="宋体"/>
                <w:sz w:val="16"/>
              </w:rPr>
              <w:t>一级指标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0EB8D78">
            <w:pPr>
              <w:jc w:val="center"/>
            </w:pPr>
            <w:r>
              <w:rPr>
                <w:rFonts w:ascii="宋体" w:hAnsi="宋体" w:eastAsia="宋体"/>
                <w:sz w:val="16"/>
              </w:rPr>
              <w:t>二级指标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DCCDDBD">
            <w:pPr>
              <w:jc w:val="center"/>
            </w:pPr>
            <w:r>
              <w:rPr>
                <w:rFonts w:ascii="宋体" w:hAnsi="宋体" w:eastAsia="宋体"/>
                <w:sz w:val="16"/>
              </w:rPr>
              <w:t>三级指标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A8562F7">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F55B572">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B7E536">
            <w:pPr>
              <w:jc w:val="center"/>
            </w:pPr>
            <w:r>
              <w:rPr>
                <w:rFonts w:ascii="宋体" w:hAnsi="宋体" w:eastAsia="宋体"/>
                <w:sz w:val="16"/>
              </w:rPr>
              <w:t>业绩值</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ABDCC48">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2EF3BE">
            <w:pPr>
              <w:jc w:val="center"/>
            </w:pPr>
            <w:r>
              <w:rPr>
                <w:rFonts w:ascii="宋体" w:hAnsi="宋体" w:eastAsia="宋体"/>
                <w:sz w:val="16"/>
              </w:rPr>
              <w:t>指标得分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CE7ECFB">
            <w:pPr>
              <w:jc w:val="center"/>
            </w:pPr>
            <w:r>
              <w:rPr>
                <w:rFonts w:ascii="宋体" w:hAnsi="宋体" w:eastAsia="宋体"/>
                <w:sz w:val="16"/>
              </w:rPr>
              <w:t>指标值设定依据</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8053C7B">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FFEA5FC">
            <w:pPr>
              <w:jc w:val="center"/>
            </w:pPr>
            <w:r>
              <w:rPr>
                <w:rFonts w:ascii="宋体" w:hAnsi="宋体" w:eastAsia="宋体"/>
                <w:sz w:val="16"/>
              </w:rPr>
              <w:t>赋分规则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4AA931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9B43F">
            <w:pPr>
              <w:jc w:val="center"/>
            </w:pPr>
            <w:r>
              <w:rPr>
                <w:rFonts w:ascii="宋体" w:hAnsi="宋体" w:eastAsia="宋体"/>
                <w:sz w:val="16"/>
              </w:rPr>
              <w:t>偏差原因分析及改进措施</w:t>
            </w:r>
          </w:p>
        </w:tc>
      </w:tr>
      <w:tr w14:paraId="391528C5">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43217E">
            <w:pPr>
              <w:jc w:val="center"/>
            </w:pPr>
            <w:r>
              <w:rPr>
                <w:rFonts w:ascii="宋体" w:hAnsi="宋体" w:eastAsia="宋体"/>
                <w:sz w:val="16"/>
              </w:rPr>
              <w:t>年度绩效指标完成情况</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B1134">
            <w:pPr>
              <w:jc w:val="center"/>
            </w:pPr>
            <w:r>
              <w:rPr>
                <w:rFonts w:ascii="宋体" w:hAnsi="宋体" w:eastAsia="宋体"/>
                <w:sz w:val="16"/>
              </w:rPr>
              <w:t>产出指标</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B7D47">
            <w:pPr>
              <w:jc w:val="center"/>
            </w:pPr>
            <w:r>
              <w:rPr>
                <w:rFonts w:ascii="宋体" w:hAnsi="宋体" w:eastAsia="宋体"/>
                <w:sz w:val="16"/>
              </w:rPr>
              <w:t>数量指标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C942611">
            <w:pPr>
              <w:jc w:val="center"/>
            </w:pPr>
            <w:r>
              <w:rPr>
                <w:rFonts w:ascii="宋体" w:hAnsi="宋体" w:eastAsia="宋体"/>
                <w:sz w:val="16"/>
              </w:rPr>
              <w:t>专业技术指导服务县市范围</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34A8881">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880BC8A">
            <w:pPr>
              <w:jc w:val="center"/>
            </w:pPr>
            <w:r>
              <w:rPr>
                <w:rFonts w:ascii="宋体" w:hAnsi="宋体" w:eastAsia="宋体"/>
                <w:sz w:val="16"/>
              </w:rPr>
              <w:t>=7个</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A9B099">
            <w:pPr>
              <w:jc w:val="center"/>
            </w:pPr>
            <w:r>
              <w:rPr>
                <w:rFonts w:ascii="宋体" w:hAnsi="宋体" w:eastAsia="宋体"/>
                <w:sz w:val="16"/>
              </w:rPr>
              <w:t>=7个</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7FA324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F9C5AA">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F510AE5">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DAFC355">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86E9B92">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0A0C8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67195">
            <w:pPr>
              <w:jc w:val="center"/>
            </w:pPr>
          </w:p>
        </w:tc>
      </w:tr>
      <w:tr w14:paraId="3544AD2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0C10570"/>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FDEF2B2"/>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F58A3F3"/>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878FDF9">
            <w:pPr>
              <w:jc w:val="center"/>
            </w:pPr>
            <w:r>
              <w:rPr>
                <w:rFonts w:ascii="宋体" w:hAnsi="宋体" w:eastAsia="宋体"/>
                <w:sz w:val="16"/>
              </w:rPr>
              <w:t>购置监测耗材</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AE0CC68">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08B955F">
            <w:pPr>
              <w:jc w:val="center"/>
            </w:pPr>
            <w:r>
              <w:rPr>
                <w:rFonts w:ascii="宋体" w:hAnsi="宋体" w:eastAsia="宋体"/>
                <w:sz w:val="16"/>
              </w:rPr>
              <w:t>=1批</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A46EFC">
            <w:pPr>
              <w:jc w:val="center"/>
            </w:pPr>
            <w:r>
              <w:rPr>
                <w:rFonts w:ascii="宋体" w:hAnsi="宋体" w:eastAsia="宋体"/>
                <w:sz w:val="16"/>
              </w:rPr>
              <w:t>=1批</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081FCC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A12693">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8DE5EBB">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91D2D0C">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49F90C">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45DE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7AB6">
            <w:pPr>
              <w:jc w:val="center"/>
            </w:pPr>
          </w:p>
        </w:tc>
      </w:tr>
      <w:tr w14:paraId="6419AAAD">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89DAE5B"/>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6174C13"/>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F272D51"/>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D201F2B">
            <w:pPr>
              <w:jc w:val="center"/>
            </w:pPr>
            <w:r>
              <w:rPr>
                <w:rFonts w:ascii="宋体" w:hAnsi="宋体" w:eastAsia="宋体"/>
                <w:sz w:val="16"/>
              </w:rPr>
              <w:t>现场技术指导次数</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371FF4D">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19278B0">
            <w:pPr>
              <w:jc w:val="center"/>
            </w:pPr>
            <w:r>
              <w:rPr>
                <w:rFonts w:ascii="宋体" w:hAnsi="宋体" w:eastAsia="宋体"/>
                <w:sz w:val="16"/>
              </w:rPr>
              <w:t>&gt;=7个</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D32019D">
            <w:pPr>
              <w:jc w:val="center"/>
            </w:pPr>
            <w:r>
              <w:rPr>
                <w:rFonts w:ascii="宋体" w:hAnsi="宋体" w:eastAsia="宋体"/>
                <w:sz w:val="16"/>
              </w:rPr>
              <w:t>=7个</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D61902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A2382D">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CC3F868">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A9EE118">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F88B9DC">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ABC2E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A83D">
            <w:pPr>
              <w:jc w:val="center"/>
            </w:pPr>
          </w:p>
        </w:tc>
      </w:tr>
      <w:tr w14:paraId="4A5914E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3222EA9"/>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CC37AF7"/>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5E6DB94"/>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780620F">
            <w:pPr>
              <w:jc w:val="center"/>
            </w:pPr>
            <w:r>
              <w:rPr>
                <w:rFonts w:ascii="宋体" w:hAnsi="宋体" w:eastAsia="宋体"/>
                <w:sz w:val="16"/>
              </w:rPr>
              <w:t>开展档案整理、审计、资产清查工作</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0EE3F47">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57CB5D0">
            <w:pPr>
              <w:jc w:val="center"/>
            </w:pPr>
            <w:r>
              <w:rPr>
                <w:rFonts w:ascii="宋体" w:hAnsi="宋体" w:eastAsia="宋体"/>
                <w:sz w:val="16"/>
              </w:rPr>
              <w:t>=3项</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E85B4F">
            <w:pPr>
              <w:jc w:val="center"/>
            </w:pPr>
            <w:r>
              <w:rPr>
                <w:rFonts w:ascii="宋体" w:hAnsi="宋体" w:eastAsia="宋体"/>
                <w:sz w:val="16"/>
              </w:rPr>
              <w:t>=3项</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11A355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619526">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34DD6DB">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54B3B5C">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4D5CF2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77B0A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8B34B">
            <w:pPr>
              <w:jc w:val="center"/>
            </w:pPr>
          </w:p>
        </w:tc>
      </w:tr>
      <w:tr w14:paraId="6201872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694A7D0"/>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C4452B2"/>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0B89026">
            <w:pPr>
              <w:jc w:val="center"/>
            </w:pPr>
            <w:r>
              <w:rPr>
                <w:rFonts w:ascii="宋体" w:hAnsi="宋体" w:eastAsia="宋体"/>
                <w:sz w:val="16"/>
              </w:rPr>
              <w:t>质量指标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22F30F2">
            <w:pPr>
              <w:jc w:val="center"/>
            </w:pPr>
            <w:r>
              <w:rPr>
                <w:rFonts w:ascii="宋体" w:hAnsi="宋体" w:eastAsia="宋体"/>
                <w:sz w:val="16"/>
              </w:rPr>
              <w:t>开展技术指导及时率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8FF0DF1">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38DD34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62B8F8D">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EA2EAF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ABB933">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CC94943">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4768BDD">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B7677E">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0E0ED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677F">
            <w:pPr>
              <w:jc w:val="center"/>
            </w:pPr>
          </w:p>
        </w:tc>
      </w:tr>
      <w:tr w14:paraId="5273B1C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8370878"/>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F77CBC7"/>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08DAE6D">
            <w:pPr>
              <w:jc w:val="center"/>
            </w:pPr>
            <w:r>
              <w:rPr>
                <w:rFonts w:ascii="宋体" w:hAnsi="宋体" w:eastAsia="宋体"/>
                <w:sz w:val="16"/>
              </w:rPr>
              <w:t>时效指标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03B0197">
            <w:pPr>
              <w:jc w:val="center"/>
            </w:pPr>
            <w:r>
              <w:rPr>
                <w:rFonts w:ascii="宋体" w:hAnsi="宋体" w:eastAsia="宋体"/>
                <w:sz w:val="16"/>
              </w:rPr>
              <w:t>项目完成时限</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0543FE6">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6554CCD">
            <w:pPr>
              <w:jc w:val="center"/>
            </w:pPr>
            <w:r>
              <w:rPr>
                <w:rFonts w:ascii="宋体" w:hAnsi="宋体" w:eastAsia="宋体"/>
                <w:sz w:val="16"/>
              </w:rPr>
              <w:t>2024年12月15日</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2FBBF3">
            <w:pPr>
              <w:jc w:val="center"/>
            </w:pPr>
            <w:r>
              <w:rPr>
                <w:rFonts w:ascii="宋体" w:hAnsi="宋体" w:eastAsia="宋体"/>
                <w:sz w:val="16"/>
              </w:rPr>
              <w:t>2024年12月31日</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65AC68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63FD1F">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0CB6587">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1BB6CAA">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DBDD19">
            <w:pPr>
              <w:jc w:val="center"/>
            </w:pPr>
            <w:r>
              <w:rPr>
                <w:rFonts w:ascii="宋体" w:hAnsi="宋体" w:eastAsia="宋体"/>
                <w:sz w:val="16"/>
              </w:rPr>
              <w:t>直接赋分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A322F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CF94">
            <w:pPr>
              <w:jc w:val="center"/>
            </w:pPr>
          </w:p>
        </w:tc>
      </w:tr>
      <w:tr w14:paraId="47E7589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48054C5"/>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6331D3">
            <w:pPr>
              <w:jc w:val="center"/>
            </w:pPr>
            <w:r>
              <w:rPr>
                <w:rFonts w:ascii="宋体" w:hAnsi="宋体" w:eastAsia="宋体"/>
                <w:sz w:val="16"/>
              </w:rPr>
              <w:t>成本指标</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8D2D1">
            <w:pPr>
              <w:jc w:val="center"/>
            </w:pPr>
            <w:r>
              <w:rPr>
                <w:rFonts w:ascii="宋体" w:hAnsi="宋体" w:eastAsia="宋体"/>
                <w:sz w:val="16"/>
              </w:rPr>
              <w:t>经济成本指标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F9C3CFB">
            <w:pPr>
              <w:jc w:val="center"/>
            </w:pPr>
            <w:r>
              <w:rPr>
                <w:rFonts w:ascii="宋体" w:hAnsi="宋体" w:eastAsia="宋体"/>
                <w:sz w:val="16"/>
              </w:rPr>
              <w:t>委托业务费</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431D44E">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409B867">
            <w:pPr>
              <w:jc w:val="center"/>
            </w:pPr>
            <w:r>
              <w:rPr>
                <w:rFonts w:ascii="宋体" w:hAnsi="宋体" w:eastAsia="宋体"/>
                <w:sz w:val="16"/>
              </w:rPr>
              <w:t>&lt;=3.50万元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F1EAA54">
            <w:pPr>
              <w:jc w:val="center"/>
            </w:pPr>
            <w:r>
              <w:rPr>
                <w:rFonts w:ascii="宋体" w:hAnsi="宋体" w:eastAsia="宋体"/>
                <w:sz w:val="16"/>
              </w:rPr>
              <w:t>=3.5万元</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57E958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B6BDBA">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C0BE38C">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6CCD609">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127443E">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C8309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E26A">
            <w:pPr>
              <w:jc w:val="center"/>
            </w:pPr>
          </w:p>
        </w:tc>
      </w:tr>
      <w:tr w14:paraId="5145D72F">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5D9F315"/>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FEF3F1E"/>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3AC01D4"/>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CAA0818">
            <w:pPr>
              <w:jc w:val="center"/>
            </w:pPr>
            <w:r>
              <w:rPr>
                <w:rFonts w:ascii="宋体" w:hAnsi="宋体" w:eastAsia="宋体"/>
                <w:sz w:val="16"/>
              </w:rPr>
              <w:t>差旅费</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2B5F26F">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EFAF306">
            <w:pPr>
              <w:jc w:val="center"/>
            </w:pPr>
            <w:r>
              <w:rPr>
                <w:rFonts w:ascii="宋体" w:hAnsi="宋体" w:eastAsia="宋体"/>
                <w:sz w:val="16"/>
              </w:rPr>
              <w:t>&lt;=0.44万元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7083331">
            <w:pPr>
              <w:jc w:val="center"/>
            </w:pPr>
            <w:r>
              <w:rPr>
                <w:rFonts w:ascii="宋体" w:hAnsi="宋体" w:eastAsia="宋体"/>
                <w:sz w:val="16"/>
              </w:rPr>
              <w:t>=0.44万元</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73CC29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939298">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3DB1B1D">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296473B">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9907655">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EEDE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8BF0B">
            <w:pPr>
              <w:jc w:val="center"/>
            </w:pPr>
          </w:p>
        </w:tc>
      </w:tr>
      <w:tr w14:paraId="140A3C8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4CEE071"/>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EDE1037"/>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EF06BBB"/>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CAF7602">
            <w:pPr>
              <w:jc w:val="center"/>
            </w:pPr>
            <w:r>
              <w:rPr>
                <w:rFonts w:ascii="宋体" w:hAnsi="宋体" w:eastAsia="宋体"/>
                <w:sz w:val="16"/>
              </w:rPr>
              <w:t>其他交通费</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54CE70F">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34D3277">
            <w:pPr>
              <w:jc w:val="center"/>
            </w:pPr>
            <w:r>
              <w:rPr>
                <w:rFonts w:ascii="宋体" w:hAnsi="宋体" w:eastAsia="宋体"/>
                <w:sz w:val="16"/>
              </w:rPr>
              <w:t>&lt;=1.89万元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C52B76">
            <w:pPr>
              <w:jc w:val="center"/>
            </w:pPr>
            <w:r>
              <w:rPr>
                <w:rFonts w:ascii="宋体" w:hAnsi="宋体" w:eastAsia="宋体"/>
                <w:sz w:val="16"/>
              </w:rPr>
              <w:t>=1.89万元</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16E3E6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5E3347">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8714450">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BE27F59">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7956BB">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267B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7B748">
            <w:pPr>
              <w:jc w:val="center"/>
            </w:pPr>
          </w:p>
        </w:tc>
      </w:tr>
      <w:tr w14:paraId="44B1C3CD">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D45669E"/>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B69F272"/>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1026A0A"/>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2E523D4">
            <w:pPr>
              <w:jc w:val="center"/>
            </w:pPr>
            <w:r>
              <w:rPr>
                <w:rFonts w:ascii="宋体" w:hAnsi="宋体" w:eastAsia="宋体"/>
                <w:sz w:val="16"/>
              </w:rPr>
              <w:t>专用材料费</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ECA3899">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78E4B04">
            <w:pPr>
              <w:jc w:val="center"/>
            </w:pPr>
            <w:r>
              <w:rPr>
                <w:rFonts w:ascii="宋体" w:hAnsi="宋体" w:eastAsia="宋体"/>
                <w:sz w:val="16"/>
              </w:rPr>
              <w:t>&lt;=0.50万元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202E811">
            <w:pPr>
              <w:jc w:val="center"/>
            </w:pPr>
            <w:r>
              <w:rPr>
                <w:rFonts w:ascii="宋体" w:hAnsi="宋体" w:eastAsia="宋体"/>
                <w:sz w:val="16"/>
              </w:rPr>
              <w:t>=0.5万元</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8ADD65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ACEEC1">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F673D00">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D93E42C">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B16A59A">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F83BA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C42EC">
            <w:pPr>
              <w:jc w:val="center"/>
            </w:pPr>
          </w:p>
        </w:tc>
      </w:tr>
      <w:tr w14:paraId="680B42D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D4EC71A"/>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C27B9DC">
            <w:pPr>
              <w:jc w:val="center"/>
            </w:pPr>
            <w:r>
              <w:rPr>
                <w:rFonts w:ascii="宋体" w:hAnsi="宋体" w:eastAsia="宋体"/>
                <w:sz w:val="16"/>
              </w:rPr>
              <w:t>效益指标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F047CA9">
            <w:pPr>
              <w:jc w:val="center"/>
            </w:pPr>
            <w:r>
              <w:rPr>
                <w:rFonts w:ascii="宋体" w:hAnsi="宋体" w:eastAsia="宋体"/>
                <w:sz w:val="16"/>
              </w:rPr>
              <w:t>生态效益指标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5EA1BCD">
            <w:pPr>
              <w:jc w:val="center"/>
            </w:pPr>
            <w:r>
              <w:rPr>
                <w:rFonts w:ascii="宋体" w:hAnsi="宋体" w:eastAsia="宋体"/>
                <w:sz w:val="16"/>
              </w:rPr>
              <w:t>林业有害生物成灾率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D60DC37">
            <w:pPr>
              <w:jc w:val="center"/>
            </w:pPr>
            <w:r>
              <w:rPr>
                <w:rFonts w:ascii="宋体" w:hAnsi="宋体" w:eastAsia="宋体"/>
                <w:sz w:val="16"/>
              </w:rPr>
              <w:t>30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8417ADF">
            <w:pPr>
              <w:jc w:val="center"/>
            </w:pPr>
            <w:r>
              <w:rPr>
                <w:rFonts w:ascii="宋体" w:hAnsi="宋体" w:eastAsia="宋体"/>
                <w:sz w:val="16"/>
              </w:rPr>
              <w:t>&lt;=8.20‰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F005579">
            <w:pPr>
              <w:jc w:val="center"/>
            </w:pPr>
            <w:r>
              <w:rPr>
                <w:rFonts w:ascii="宋体" w:hAnsi="宋体" w:eastAsia="宋体"/>
                <w:sz w:val="16"/>
              </w:rPr>
              <w:t>=0‰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CB51AD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D19210">
            <w:pPr>
              <w:jc w:val="center"/>
            </w:pPr>
            <w:r>
              <w:rPr>
                <w:rFonts w:ascii="宋体" w:hAnsi="宋体" w:eastAsia="宋体"/>
                <w:sz w:val="16"/>
              </w:rPr>
              <w:t>30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0E726C4">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15825E4">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F5F06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F00BE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8BF4A">
            <w:pPr>
              <w:jc w:val="center"/>
            </w:pPr>
          </w:p>
        </w:tc>
      </w:tr>
      <w:tr w14:paraId="06ED6CF4">
        <w:tblPrEx>
          <w:tblCellMar>
            <w:top w:w="0" w:type="dxa"/>
            <w:left w:w="108" w:type="dxa"/>
            <w:bottom w:w="0" w:type="dxa"/>
            <w:right w:w="108" w:type="dxa"/>
          </w:tblCellMar>
        </w:tblPrEx>
        <w:tc>
          <w:tcPr>
            <w:tcW w:w="250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DCD399">
            <w:pPr>
              <w:jc w:val="center"/>
            </w:pPr>
            <w:r>
              <w:rPr>
                <w:rFonts w:ascii="宋体" w:hAnsi="宋体" w:eastAsia="宋体"/>
                <w:sz w:val="16"/>
              </w:rPr>
              <w:t>总分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580BD4C">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44E5A5A6"/>
        </w:tc>
        <w:tc>
          <w:tcPr>
            <w:tcW w:w="631" w:type="dxa"/>
            <w:tcBorders>
              <w:top w:val="single" w:color="auto" w:sz="10" w:space="0"/>
              <w:left w:val="single" w:color="auto" w:sz="10" w:space="0"/>
              <w:bottom w:val="single" w:color="auto" w:sz="10" w:space="0"/>
              <w:right w:val="single" w:color="auto" w:sz="10" w:space="0"/>
              <w:insideV w:val="single" w:sz="10" w:space="0"/>
            </w:tcBorders>
          </w:tcPr>
          <w:p w14:paraId="08E53AD4"/>
        </w:tc>
        <w:tc>
          <w:tcPr>
            <w:tcW w:w="628" w:type="dxa"/>
            <w:tcBorders>
              <w:top w:val="single" w:color="auto" w:sz="10" w:space="0"/>
              <w:left w:val="single" w:color="auto" w:sz="10" w:space="0"/>
              <w:bottom w:val="single" w:color="auto" w:sz="10" w:space="0"/>
              <w:right w:val="single" w:color="auto" w:sz="10" w:space="0"/>
              <w:insideV w:val="single" w:sz="10" w:space="0"/>
            </w:tcBorders>
          </w:tcPr>
          <w:p w14:paraId="26AE2A8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CB5ECC">
            <w:pPr>
              <w:jc w:val="center"/>
            </w:pPr>
            <w:r>
              <w:rPr>
                <w:rFonts w:ascii="宋体" w:hAnsi="宋体" w:eastAsia="宋体"/>
                <w:sz w:val="16"/>
              </w:rPr>
              <w:t>100.00分</w:t>
            </w:r>
          </w:p>
        </w:tc>
        <w:tc>
          <w:tcPr>
            <w:tcW w:w="622" w:type="dxa"/>
            <w:tcBorders>
              <w:top w:val="single" w:color="auto" w:sz="10" w:space="0"/>
              <w:left w:val="single" w:color="auto" w:sz="10" w:space="0"/>
              <w:bottom w:val="single" w:color="auto" w:sz="10" w:space="0"/>
              <w:right w:val="single" w:color="auto" w:sz="10" w:space="0"/>
              <w:insideV w:val="single" w:sz="10" w:space="0"/>
            </w:tcBorders>
          </w:tcPr>
          <w:p w14:paraId="355B2AD8"/>
        </w:tc>
        <w:tc>
          <w:tcPr>
            <w:tcW w:w="622" w:type="dxa"/>
            <w:tcBorders>
              <w:top w:val="single" w:color="auto" w:sz="10" w:space="0"/>
              <w:left w:val="single" w:color="auto" w:sz="10" w:space="0"/>
              <w:bottom w:val="single" w:color="auto" w:sz="10" w:space="0"/>
              <w:right w:val="single" w:color="auto" w:sz="10" w:space="0"/>
              <w:insideV w:val="single" w:sz="10" w:space="0"/>
            </w:tcBorders>
          </w:tcPr>
          <w:p w14:paraId="7BE3A26F"/>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7CEB6BE"/>
        </w:tc>
        <w:tc>
          <w:tcPr>
            <w:tcW w:w="624" w:type="dxa"/>
            <w:tcBorders>
              <w:top w:val="single" w:color="auto" w:sz="10" w:space="0"/>
              <w:left w:val="single" w:color="auto" w:sz="10" w:space="0"/>
              <w:bottom w:val="single" w:color="auto" w:sz="10" w:space="0"/>
              <w:right w:val="single" w:color="auto" w:sz="10" w:space="0"/>
              <w:insideV w:val="single" w:sz="10" w:space="0"/>
            </w:tcBorders>
          </w:tcPr>
          <w:p w14:paraId="0BDEB6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A5E00"/>
        </w:tc>
      </w:tr>
    </w:tbl>
    <w:p w14:paraId="05DBCAA4">
      <w:r>
        <w:br w:type="page"/>
      </w:r>
    </w:p>
    <w:tbl>
      <w:tblPr>
        <w:tblStyle w:val="9"/>
        <w:tblW w:w="0" w:type="auto"/>
        <w:tblInd w:w="0" w:type="dxa"/>
        <w:tblLayout w:type="autofit"/>
        <w:tblCellMar>
          <w:top w:w="0" w:type="dxa"/>
          <w:left w:w="108" w:type="dxa"/>
          <w:bottom w:w="0" w:type="dxa"/>
          <w:right w:w="108" w:type="dxa"/>
        </w:tblCellMar>
      </w:tblPr>
      <w:tblGrid>
        <w:gridCol w:w="625"/>
        <w:gridCol w:w="617"/>
        <w:gridCol w:w="617"/>
        <w:gridCol w:w="617"/>
        <w:gridCol w:w="621"/>
        <w:gridCol w:w="696"/>
        <w:gridCol w:w="631"/>
        <w:gridCol w:w="776"/>
        <w:gridCol w:w="696"/>
        <w:gridCol w:w="617"/>
        <w:gridCol w:w="617"/>
        <w:gridCol w:w="617"/>
        <w:gridCol w:w="617"/>
        <w:gridCol w:w="696"/>
      </w:tblGrid>
      <w:tr w14:paraId="035CC581">
        <w:tblPrEx>
          <w:tblCellMar>
            <w:top w:w="0" w:type="dxa"/>
            <w:left w:w="108" w:type="dxa"/>
            <w:bottom w:w="0" w:type="dxa"/>
            <w:right w:w="108" w:type="dxa"/>
          </w:tblCellMar>
        </w:tblPrEx>
        <w:tc>
          <w:tcPr>
            <w:tcW w:w="8848" w:type="dxa"/>
            <w:gridSpan w:val="14"/>
            <w:vAlign w:val="center"/>
          </w:tcPr>
          <w:p w14:paraId="0AB266C9">
            <w:pPr>
              <w:jc w:val="center"/>
            </w:pPr>
            <w:r>
              <w:rPr>
                <w:rFonts w:ascii="宋体" w:hAnsi="宋体" w:eastAsia="宋体"/>
                <w:sz w:val="24"/>
              </w:rPr>
              <w:t>项目支出绩效自评表</w:t>
            </w:r>
          </w:p>
        </w:tc>
      </w:tr>
      <w:tr w14:paraId="0274E1E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5116BE">
            <w:pPr>
              <w:jc w:val="center"/>
            </w:pPr>
            <w:r>
              <w:rPr>
                <w:rFonts w:ascii="宋体" w:hAnsi="宋体" w:eastAsia="宋体"/>
                <w:sz w:val="24"/>
              </w:rPr>
              <w:t>(2024年度)</w:t>
            </w:r>
          </w:p>
        </w:tc>
      </w:tr>
      <w:tr w14:paraId="6DAE8A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1E66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DFD6F5">
            <w:pPr>
              <w:jc w:val="center"/>
            </w:pPr>
            <w:r>
              <w:rPr>
                <w:rFonts w:ascii="宋体" w:hAnsi="宋体" w:eastAsia="宋体"/>
                <w:sz w:val="16"/>
              </w:rPr>
              <w:t>2024年自治区林草专项资金</w:t>
            </w:r>
          </w:p>
        </w:tc>
      </w:tr>
      <w:tr w14:paraId="7CAFB6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344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32A858">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A3DC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DDC29F">
            <w:pPr>
              <w:jc w:val="center"/>
            </w:pPr>
            <w:r>
              <w:rPr>
                <w:rFonts w:ascii="宋体" w:hAnsi="宋体" w:eastAsia="宋体"/>
                <w:sz w:val="16"/>
              </w:rPr>
              <w:t>昌吉回族自治州林业和草原综合行政执法支队</w:t>
            </w:r>
          </w:p>
        </w:tc>
      </w:tr>
      <w:tr w14:paraId="70F352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219F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2D31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89FA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444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1F57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4ADD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C1B3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6C5D">
            <w:pPr>
              <w:jc w:val="center"/>
            </w:pPr>
            <w:r>
              <w:rPr>
                <w:rFonts w:ascii="宋体" w:hAnsi="宋体" w:eastAsia="宋体"/>
                <w:sz w:val="16"/>
              </w:rPr>
              <w:t>得分</w:t>
            </w:r>
          </w:p>
        </w:tc>
      </w:tr>
      <w:tr w14:paraId="5CFCE8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5B0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3240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096C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E63E3">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2D1F4">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785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6472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A5210">
            <w:pPr>
              <w:jc w:val="center"/>
            </w:pPr>
            <w:r>
              <w:rPr>
                <w:rFonts w:ascii="宋体" w:hAnsi="宋体" w:eastAsia="宋体"/>
                <w:sz w:val="16"/>
              </w:rPr>
              <w:t>10.00</w:t>
            </w:r>
          </w:p>
        </w:tc>
      </w:tr>
      <w:tr w14:paraId="63E45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6B5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8D6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F735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E4549">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95F80">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680B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A27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AC62">
            <w:pPr>
              <w:jc w:val="center"/>
            </w:pPr>
            <w:r>
              <w:rPr>
                <w:rFonts w:ascii="宋体" w:hAnsi="宋体" w:eastAsia="宋体"/>
                <w:sz w:val="16"/>
              </w:rPr>
              <w:t>—</w:t>
            </w:r>
          </w:p>
        </w:tc>
      </w:tr>
      <w:tr w14:paraId="3529F1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DE7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5815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9A2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934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7F5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F1E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FA4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1F78A">
            <w:pPr>
              <w:jc w:val="center"/>
            </w:pPr>
            <w:r>
              <w:rPr>
                <w:rFonts w:ascii="宋体" w:hAnsi="宋体" w:eastAsia="宋体"/>
                <w:sz w:val="16"/>
              </w:rPr>
              <w:t>—</w:t>
            </w:r>
          </w:p>
        </w:tc>
      </w:tr>
      <w:tr w14:paraId="746AC1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F74A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39F00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50E271">
            <w:pPr>
              <w:jc w:val="center"/>
            </w:pPr>
            <w:r>
              <w:rPr>
                <w:rFonts w:ascii="宋体" w:hAnsi="宋体" w:eastAsia="宋体"/>
                <w:sz w:val="16"/>
              </w:rPr>
              <w:t>实际完成情况</w:t>
            </w:r>
          </w:p>
        </w:tc>
      </w:tr>
      <w:tr w14:paraId="4D5C33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D3ED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07453F">
            <w:pPr>
              <w:jc w:val="both"/>
            </w:pPr>
            <w:r>
              <w:rPr>
                <w:rFonts w:ascii="宋体" w:hAnsi="宋体" w:eastAsia="宋体"/>
                <w:sz w:val="16"/>
              </w:rPr>
              <w:t>开展禁牧和草畜平衡管理和草原执法监管工作，进一步提升群众认识草原、了解草原、保护草原意识，提高农牧民群众对草原保护的思想认识，切实有效维护草原生态资源安全。编制2024年执法监管专项报告、禁牧和草畜平衡管理专项报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B671CD">
            <w:pPr>
              <w:jc w:val="both"/>
            </w:pPr>
            <w:r>
              <w:rPr>
                <w:rFonts w:hint="eastAsia" w:ascii="宋体" w:hAnsi="宋体"/>
                <w:sz w:val="16"/>
                <w:lang w:eastAsia="zh-CN"/>
              </w:rPr>
              <w:t>截至2024</w:t>
            </w:r>
            <w:r>
              <w:rPr>
                <w:rFonts w:ascii="宋体" w:hAnsi="宋体" w:eastAsia="宋体"/>
                <w:sz w:val="16"/>
              </w:rPr>
              <w:t>年12月31日，委托第三方开展禁牧和草畜平衡管理和草原执法监管工作，编制禁牧和草畜平衡管理报告1份，编制执法监管报告1份，项目验收合格率达到100%，支付未投业务费7.8万元，支付其他交通费用0.90万元，支付差旅费0.30万元。通过该项目实施，进一步提升群众认识草原、了解草原、保护草原意识，提高农牧民群众对草原保护的思想认识，切实有效维护草原生态资源安全。</w:t>
            </w:r>
          </w:p>
        </w:tc>
      </w:tr>
      <w:tr w14:paraId="195261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F112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ED87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6AF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11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9299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91CD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E00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6496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9455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B80F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03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FCEF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4DA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D4292">
            <w:pPr>
              <w:jc w:val="center"/>
            </w:pPr>
            <w:r>
              <w:rPr>
                <w:rFonts w:ascii="宋体" w:hAnsi="宋体" w:eastAsia="宋体"/>
                <w:sz w:val="16"/>
              </w:rPr>
              <w:t>偏差原因分析及改进措施</w:t>
            </w:r>
          </w:p>
        </w:tc>
      </w:tr>
      <w:tr w14:paraId="42E175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FDF98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5F99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385FA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D4CB">
            <w:pPr>
              <w:jc w:val="center"/>
            </w:pPr>
            <w:r>
              <w:rPr>
                <w:rFonts w:ascii="宋体" w:hAnsi="宋体" w:eastAsia="宋体"/>
                <w:sz w:val="16"/>
              </w:rPr>
              <w:t>编制禁牧和草畜平衡管理报告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881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B3E10">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6DC7A">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DD3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A22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8A0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2BB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5F5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C69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C6EE0">
            <w:pPr>
              <w:jc w:val="center"/>
            </w:pPr>
          </w:p>
        </w:tc>
      </w:tr>
      <w:tr w14:paraId="0CE40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B1F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C0D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B24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8F72">
            <w:pPr>
              <w:jc w:val="center"/>
            </w:pPr>
            <w:r>
              <w:rPr>
                <w:rFonts w:ascii="宋体" w:hAnsi="宋体" w:eastAsia="宋体"/>
                <w:sz w:val="16"/>
              </w:rPr>
              <w:t>编制执法监管报告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08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F5141">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C85C">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83A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A9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2B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EBD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652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41F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21EF">
            <w:pPr>
              <w:jc w:val="center"/>
            </w:pPr>
          </w:p>
        </w:tc>
      </w:tr>
      <w:tr w14:paraId="20AF74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79E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708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41A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3093">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3B3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740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5BF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CAB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0B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BB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1C4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84F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68C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FBFA7">
            <w:pPr>
              <w:jc w:val="center"/>
            </w:pPr>
          </w:p>
        </w:tc>
      </w:tr>
      <w:tr w14:paraId="52D764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5A1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5AE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B0B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A10C6">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7C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E875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B16EA">
            <w:pPr>
              <w:jc w:val="center"/>
            </w:pPr>
            <w:r>
              <w:rPr>
                <w:rFonts w:ascii="宋体" w:hAnsi="宋体" w:eastAsia="宋体"/>
                <w:sz w:val="16"/>
              </w:rPr>
              <w:t>2024年12月4日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5D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8CB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ED2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18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178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67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95F86">
            <w:pPr>
              <w:jc w:val="center"/>
            </w:pPr>
          </w:p>
        </w:tc>
      </w:tr>
      <w:tr w14:paraId="076041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7854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BEAB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19F3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A41BA">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4EF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18953">
            <w:pPr>
              <w:jc w:val="center"/>
            </w:pPr>
            <w:r>
              <w:rPr>
                <w:rFonts w:ascii="宋体" w:hAnsi="宋体" w:eastAsia="宋体"/>
                <w:sz w:val="16"/>
              </w:rPr>
              <w:t>&lt;=7.80万元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0DEAC">
            <w:pPr>
              <w:jc w:val="center"/>
            </w:pPr>
            <w:r>
              <w:rPr>
                <w:rFonts w:ascii="宋体" w:hAnsi="宋体" w:eastAsia="宋体"/>
                <w:sz w:val="16"/>
              </w:rPr>
              <w:t>=7.8万元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38F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F40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1ED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2AB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043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4C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2A94">
            <w:pPr>
              <w:jc w:val="center"/>
            </w:pPr>
          </w:p>
        </w:tc>
      </w:tr>
      <w:tr w14:paraId="5B4A63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0C6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187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0D4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9733">
            <w:pPr>
              <w:jc w:val="center"/>
            </w:pPr>
            <w:r>
              <w:rPr>
                <w:rFonts w:ascii="宋体" w:hAnsi="宋体" w:eastAsia="宋体"/>
                <w:sz w:val="16"/>
              </w:rPr>
              <w:t>其他交通费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8FF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E7103">
            <w:pPr>
              <w:jc w:val="center"/>
            </w:pPr>
            <w:r>
              <w:rPr>
                <w:rFonts w:ascii="宋体" w:hAnsi="宋体" w:eastAsia="宋体"/>
                <w:sz w:val="16"/>
              </w:rPr>
              <w:t>&lt;=0.90万元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3D392">
            <w:pPr>
              <w:jc w:val="center"/>
            </w:pPr>
            <w:r>
              <w:rPr>
                <w:rFonts w:ascii="宋体" w:hAnsi="宋体" w:eastAsia="宋体"/>
                <w:sz w:val="16"/>
              </w:rPr>
              <w: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BED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20F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123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863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16C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76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013B4">
            <w:pPr>
              <w:jc w:val="center"/>
            </w:pPr>
          </w:p>
        </w:tc>
      </w:tr>
      <w:tr w14:paraId="3A184F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9D5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8DD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2F4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C5B2">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09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5D2C7">
            <w:pPr>
              <w:jc w:val="center"/>
            </w:pPr>
            <w:r>
              <w:rPr>
                <w:rFonts w:ascii="宋体" w:hAnsi="宋体" w:eastAsia="宋体"/>
                <w:sz w:val="16"/>
              </w:rPr>
              <w:t>&lt;=0.30万元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69CDC">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A6A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244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A59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DA1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CEC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49D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4964">
            <w:pPr>
              <w:jc w:val="center"/>
            </w:pPr>
          </w:p>
        </w:tc>
      </w:tr>
      <w:tr w14:paraId="081633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5C4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D29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3078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6D962">
            <w:pPr>
              <w:jc w:val="center"/>
            </w:pPr>
            <w:r>
              <w:rPr>
                <w:rFonts w:ascii="宋体" w:hAnsi="宋体" w:eastAsia="宋体"/>
                <w:sz w:val="16"/>
              </w:rPr>
              <w:t>提高草原保护意识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E09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F4F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0FC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D15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8CB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6BD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D7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045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AC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0CD75">
            <w:pPr>
              <w:jc w:val="center"/>
            </w:pPr>
          </w:p>
        </w:tc>
      </w:tr>
      <w:tr w14:paraId="3B3A13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559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2E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CF0B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77779">
            <w:pPr>
              <w:jc w:val="center"/>
            </w:pPr>
            <w:r>
              <w:rPr>
                <w:rFonts w:ascii="宋体" w:hAnsi="宋体" w:eastAsia="宋体"/>
                <w:sz w:val="16"/>
              </w:rPr>
              <w:t>农牧民满意度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91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BE0C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51A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11E4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000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742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139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1B2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F0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6F90E">
            <w:pPr>
              <w:jc w:val="center"/>
            </w:pPr>
            <w:r>
              <w:rPr>
                <w:rFonts w:ascii="宋体" w:hAnsi="宋体" w:eastAsia="宋体"/>
                <w:sz w:val="16"/>
              </w:rPr>
              <w:t>年初目标设置较低，年末满意度达到100%，因此，造成偏差。</w:t>
            </w:r>
          </w:p>
        </w:tc>
      </w:tr>
      <w:tr w14:paraId="2571F4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BB72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07C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CBB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A593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AF43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E1D9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C700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F7B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96F1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CB40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9E5F22"/>
        </w:tc>
      </w:tr>
    </w:tbl>
    <w:p w14:paraId="50EE3178">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5"/>
        <w:gridCol w:w="776"/>
        <w:gridCol w:w="696"/>
        <w:gridCol w:w="776"/>
        <w:gridCol w:w="696"/>
        <w:gridCol w:w="592"/>
        <w:gridCol w:w="617"/>
        <w:gridCol w:w="594"/>
        <w:gridCol w:w="594"/>
        <w:gridCol w:w="696"/>
      </w:tblGrid>
      <w:tr w14:paraId="38602CA5">
        <w:tblPrEx>
          <w:tblCellMar>
            <w:top w:w="0" w:type="dxa"/>
            <w:left w:w="108" w:type="dxa"/>
            <w:bottom w:w="0" w:type="dxa"/>
            <w:right w:w="108" w:type="dxa"/>
          </w:tblCellMar>
        </w:tblPrEx>
        <w:tc>
          <w:tcPr>
            <w:tcW w:w="8848" w:type="dxa"/>
            <w:gridSpan w:val="14"/>
            <w:vAlign w:val="center"/>
          </w:tcPr>
          <w:p w14:paraId="46828A22">
            <w:pPr>
              <w:jc w:val="center"/>
            </w:pPr>
            <w:r>
              <w:rPr>
                <w:rFonts w:ascii="宋体" w:hAnsi="宋体" w:eastAsia="宋体"/>
                <w:sz w:val="24"/>
              </w:rPr>
              <w:t>项目支出绩效自评表</w:t>
            </w:r>
          </w:p>
        </w:tc>
      </w:tr>
      <w:tr w14:paraId="5978641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EE0EFAD">
            <w:pPr>
              <w:jc w:val="center"/>
            </w:pPr>
            <w:r>
              <w:rPr>
                <w:rFonts w:ascii="宋体" w:hAnsi="宋体" w:eastAsia="宋体"/>
                <w:sz w:val="24"/>
              </w:rPr>
              <w:t>(2024年度)</w:t>
            </w:r>
          </w:p>
        </w:tc>
      </w:tr>
      <w:tr w14:paraId="030DE5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091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EFAA7A">
            <w:pPr>
              <w:jc w:val="center"/>
            </w:pPr>
            <w:r>
              <w:rPr>
                <w:rFonts w:ascii="宋体" w:hAnsi="宋体" w:eastAsia="宋体"/>
                <w:sz w:val="16"/>
              </w:rPr>
              <w:t>2024年苗圃基地林业有害生物防治药剂补助项目资金</w:t>
            </w:r>
          </w:p>
        </w:tc>
      </w:tr>
      <w:tr w14:paraId="66ACE5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180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5F4A74">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46EC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B79BD9">
            <w:pPr>
              <w:jc w:val="center"/>
            </w:pPr>
            <w:r>
              <w:rPr>
                <w:rFonts w:ascii="宋体" w:hAnsi="宋体" w:eastAsia="宋体"/>
                <w:sz w:val="16"/>
              </w:rPr>
              <w:t>昌吉回族自治州林业和草原综合行政执法支队</w:t>
            </w:r>
          </w:p>
        </w:tc>
      </w:tr>
      <w:tr w14:paraId="577DB7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3453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789A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8E4A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941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0C9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8C90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B85C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3DBE5">
            <w:pPr>
              <w:jc w:val="center"/>
            </w:pPr>
            <w:r>
              <w:rPr>
                <w:rFonts w:ascii="宋体" w:hAnsi="宋体" w:eastAsia="宋体"/>
                <w:sz w:val="16"/>
              </w:rPr>
              <w:t>得分</w:t>
            </w:r>
          </w:p>
        </w:tc>
      </w:tr>
      <w:tr w14:paraId="3436E0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4C7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342E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25333">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8F70C">
            <w:pPr>
              <w:jc w:val="center"/>
            </w:pPr>
            <w:r>
              <w:rPr>
                <w:rFonts w:ascii="宋体" w:hAnsi="宋体" w:eastAsia="宋体"/>
                <w:sz w:val="16"/>
              </w:rPr>
              <w:t>73.96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CE4B0">
            <w:pPr>
              <w:jc w:val="center"/>
            </w:pPr>
            <w:r>
              <w:rPr>
                <w:rFonts w:ascii="宋体" w:hAnsi="宋体" w:eastAsia="宋体"/>
                <w:sz w:val="16"/>
              </w:rPr>
              <w:t>73.96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31DA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3903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AB5D3">
            <w:pPr>
              <w:jc w:val="center"/>
            </w:pPr>
            <w:r>
              <w:rPr>
                <w:rFonts w:ascii="宋体" w:hAnsi="宋体" w:eastAsia="宋体"/>
                <w:sz w:val="16"/>
              </w:rPr>
              <w:t>10.00</w:t>
            </w:r>
          </w:p>
        </w:tc>
      </w:tr>
      <w:tr w14:paraId="1A2A71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C2F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780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0876D">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3F3E4">
            <w:pPr>
              <w:jc w:val="center"/>
            </w:pPr>
            <w:r>
              <w:rPr>
                <w:rFonts w:ascii="宋体" w:hAnsi="宋体" w:eastAsia="宋体"/>
                <w:sz w:val="16"/>
              </w:rPr>
              <w:t>73.96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1C95A">
            <w:pPr>
              <w:jc w:val="center"/>
            </w:pPr>
            <w:r>
              <w:rPr>
                <w:rFonts w:ascii="宋体" w:hAnsi="宋体" w:eastAsia="宋体"/>
                <w:sz w:val="16"/>
              </w:rPr>
              <w:t>73.96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B91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59A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E9656">
            <w:pPr>
              <w:jc w:val="center"/>
            </w:pPr>
            <w:r>
              <w:rPr>
                <w:rFonts w:ascii="宋体" w:hAnsi="宋体" w:eastAsia="宋体"/>
                <w:sz w:val="16"/>
              </w:rPr>
              <w:t>—</w:t>
            </w:r>
          </w:p>
        </w:tc>
      </w:tr>
      <w:tr w14:paraId="59B0D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95A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8D30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3AF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57D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D03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A5F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5D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FDFDA">
            <w:pPr>
              <w:jc w:val="center"/>
            </w:pPr>
            <w:r>
              <w:rPr>
                <w:rFonts w:ascii="宋体" w:hAnsi="宋体" w:eastAsia="宋体"/>
                <w:sz w:val="16"/>
              </w:rPr>
              <w:t>—</w:t>
            </w:r>
          </w:p>
        </w:tc>
      </w:tr>
      <w:tr w14:paraId="0BB3CA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B587B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80539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524338">
            <w:pPr>
              <w:jc w:val="center"/>
            </w:pPr>
            <w:r>
              <w:rPr>
                <w:rFonts w:ascii="宋体" w:hAnsi="宋体" w:eastAsia="宋体"/>
                <w:sz w:val="16"/>
              </w:rPr>
              <w:t>实际完成情况</w:t>
            </w:r>
          </w:p>
        </w:tc>
      </w:tr>
      <w:tr w14:paraId="7B2AE9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7257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D46DEC">
            <w:pPr>
              <w:jc w:val="both"/>
            </w:pPr>
            <w:r>
              <w:rPr>
                <w:rFonts w:ascii="宋体" w:hAnsi="宋体" w:eastAsia="宋体"/>
                <w:sz w:val="16"/>
              </w:rPr>
              <w:t>2024年该项目计划采购防治药剂10417升，其中：3%高效氯氰菊酯微囊悬浮剂6250升，10%吡虫啉可溶液剂4167升，用于支持苗木生产经营单位开展林业有害生物防治。按照“谁经营、谁防治”的要求，鼓励引导苗木生产经营单位实施科学防治，预防林业有害生物发生蔓延，提升苗圃基地苗木品质，保障苗圃基地林木安全，促进苗农增收，推进自治州种苗产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864C34">
            <w:pPr>
              <w:jc w:val="both"/>
            </w:pPr>
            <w:r>
              <w:rPr>
                <w:rFonts w:hint="eastAsia" w:ascii="宋体" w:hAnsi="宋体"/>
                <w:sz w:val="16"/>
                <w:lang w:eastAsia="zh-CN"/>
              </w:rPr>
              <w:t>截至2024</w:t>
            </w:r>
            <w:r>
              <w:rPr>
                <w:rFonts w:ascii="宋体" w:hAnsi="宋体" w:eastAsia="宋体"/>
                <w:sz w:val="16"/>
              </w:rPr>
              <w:t>年12月31日，完成采购防治药剂10417升，其中：3%高效氯氰菊酯微囊悬浮剂6250升，10%吡虫啉可溶液剂4167升，用于支持苗木生产经营单位开展林业有害生物防治。引导苗木生产经营单位实施科学防治，预防林业有害生物发生蔓延，提升苗圃基地苗木品质，保障苗圃基地林木安全，促进苗农增收，推进自治州种苗产业高质量发展。</w:t>
            </w:r>
          </w:p>
        </w:tc>
      </w:tr>
      <w:tr w14:paraId="582109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B5FD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4DD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228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DFC4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42A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8C7C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1A1B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57C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90D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6C1D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44F5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6000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3D1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D2E11">
            <w:pPr>
              <w:jc w:val="center"/>
            </w:pPr>
            <w:r>
              <w:rPr>
                <w:rFonts w:ascii="宋体" w:hAnsi="宋体" w:eastAsia="宋体"/>
                <w:sz w:val="16"/>
              </w:rPr>
              <w:t>偏差原因分析及改进措施</w:t>
            </w:r>
          </w:p>
        </w:tc>
      </w:tr>
      <w:tr w14:paraId="39CA52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58B78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19582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AB30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2C1F">
            <w:pPr>
              <w:jc w:val="center"/>
            </w:pPr>
            <w:r>
              <w:rPr>
                <w:rFonts w:ascii="宋体" w:hAnsi="宋体" w:eastAsia="宋体"/>
                <w:sz w:val="16"/>
              </w:rPr>
              <w:t>购买3%高效氯氰菊酯微囊悬浮剂数量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4A26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EDF7D">
            <w:pPr>
              <w:jc w:val="center"/>
            </w:pPr>
            <w:r>
              <w:rPr>
                <w:rFonts w:ascii="宋体" w:hAnsi="宋体" w:eastAsia="宋体"/>
                <w:sz w:val="16"/>
              </w:rPr>
              <w:t>=6250升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BC8F7">
            <w:pPr>
              <w:jc w:val="center"/>
            </w:pPr>
            <w:r>
              <w:rPr>
                <w:rFonts w:ascii="宋体" w:hAnsi="宋体" w:eastAsia="宋体"/>
                <w:sz w:val="16"/>
              </w:rPr>
              <w:t>=6250升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EB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1FF9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9C7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FF434">
            <w:pPr>
              <w:jc w:val="center"/>
            </w:pPr>
            <w:r>
              <w:rPr>
                <w:rFonts w:ascii="宋体" w:hAnsi="宋体" w:eastAsia="宋体"/>
                <w:sz w:val="16"/>
              </w:rPr>
              <w:t>200升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51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B8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4765D">
            <w:pPr>
              <w:jc w:val="center"/>
            </w:pPr>
          </w:p>
        </w:tc>
      </w:tr>
      <w:tr w14:paraId="1896A8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EE4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829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2DF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84AE8">
            <w:pPr>
              <w:jc w:val="center"/>
            </w:pPr>
            <w:r>
              <w:rPr>
                <w:rFonts w:ascii="宋体" w:hAnsi="宋体" w:eastAsia="宋体"/>
                <w:sz w:val="16"/>
              </w:rPr>
              <w:t>购买10%吡虫啉可溶液剂数量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A56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2385">
            <w:pPr>
              <w:jc w:val="center"/>
            </w:pPr>
            <w:r>
              <w:rPr>
                <w:rFonts w:ascii="宋体" w:hAnsi="宋体" w:eastAsia="宋体"/>
                <w:sz w:val="16"/>
              </w:rPr>
              <w:t>=4167升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EF539">
            <w:pPr>
              <w:jc w:val="center"/>
            </w:pPr>
            <w:r>
              <w:rPr>
                <w:rFonts w:ascii="宋体" w:hAnsi="宋体" w:eastAsia="宋体"/>
                <w:sz w:val="16"/>
              </w:rPr>
              <w:t>=4167升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7CB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7590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296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7A0A5">
            <w:pPr>
              <w:jc w:val="center"/>
            </w:pPr>
            <w:r>
              <w:rPr>
                <w:rFonts w:ascii="宋体" w:hAnsi="宋体" w:eastAsia="宋体"/>
                <w:sz w:val="16"/>
              </w:rPr>
              <w:t>500升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76A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22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32B9C">
            <w:pPr>
              <w:jc w:val="center"/>
            </w:pPr>
          </w:p>
        </w:tc>
      </w:tr>
      <w:tr w14:paraId="1BCE90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3EA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2DD9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1D912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7A17E">
            <w:pPr>
              <w:jc w:val="center"/>
            </w:pPr>
            <w:r>
              <w:rPr>
                <w:rFonts w:ascii="宋体" w:hAnsi="宋体" w:eastAsia="宋体"/>
                <w:sz w:val="16"/>
              </w:rPr>
              <w:t>采购药剂国家标准率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8B2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60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71F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1DB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E5E1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B1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D3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A9B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095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B5212">
            <w:pPr>
              <w:jc w:val="center"/>
            </w:pPr>
          </w:p>
        </w:tc>
      </w:tr>
      <w:tr w14:paraId="278FA1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6D9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E50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9667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62F9D">
            <w:pPr>
              <w:jc w:val="center"/>
            </w:pPr>
            <w:r>
              <w:rPr>
                <w:rFonts w:ascii="宋体" w:hAnsi="宋体" w:eastAsia="宋体"/>
                <w:sz w:val="16"/>
              </w:rPr>
              <w:t>项目药剂补助覆盖率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97F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74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A5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4C8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FA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512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08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C2E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D0A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0C49F">
            <w:pPr>
              <w:jc w:val="center"/>
            </w:pPr>
          </w:p>
        </w:tc>
      </w:tr>
      <w:tr w14:paraId="3082EF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DD4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92E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1405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16634">
            <w:pPr>
              <w:jc w:val="center"/>
            </w:pPr>
            <w:r>
              <w:rPr>
                <w:rFonts w:ascii="宋体" w:hAnsi="宋体" w:eastAsia="宋体"/>
                <w:sz w:val="16"/>
              </w:rPr>
              <w:t>药剂购置及发放完成时间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5299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1234">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4D954">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C98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02C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D4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790A1">
            <w:pPr>
              <w:jc w:val="center"/>
            </w:pPr>
            <w:r>
              <w:rPr>
                <w:rFonts w:ascii="宋体" w:hAnsi="宋体" w:eastAsia="宋体"/>
                <w:sz w:val="16"/>
              </w:rPr>
              <w:t>2024年4月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21D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75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26967">
            <w:pPr>
              <w:jc w:val="center"/>
            </w:pPr>
          </w:p>
        </w:tc>
      </w:tr>
      <w:tr w14:paraId="55B9B9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EDC2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27FC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FE628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137C">
            <w:pPr>
              <w:jc w:val="center"/>
            </w:pPr>
            <w:r>
              <w:rPr>
                <w:rFonts w:ascii="宋体" w:hAnsi="宋体" w:eastAsia="宋体"/>
                <w:sz w:val="16"/>
              </w:rPr>
              <w:t>购买3%高效氯氰菊酯微囊悬浮剂费用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62E6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4A6C">
            <w:pPr>
              <w:jc w:val="center"/>
            </w:pPr>
            <w:r>
              <w:rPr>
                <w:rFonts w:ascii="宋体" w:hAnsi="宋体" w:eastAsia="宋体"/>
                <w:sz w:val="16"/>
              </w:rPr>
              <w:t>&lt;=53.13万元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B69B">
            <w:pPr>
              <w:jc w:val="center"/>
            </w:pPr>
            <w:r>
              <w:rPr>
                <w:rFonts w:ascii="宋体" w:hAnsi="宋体" w:eastAsia="宋体"/>
                <w:sz w:val="16"/>
              </w:rPr>
              <w:t>=53.13万元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7C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A758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D5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495A5">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7E3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41C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1116">
            <w:pPr>
              <w:jc w:val="center"/>
            </w:pPr>
          </w:p>
        </w:tc>
      </w:tr>
      <w:tr w14:paraId="7ED62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EF3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0AE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26E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F7C0D">
            <w:pPr>
              <w:jc w:val="center"/>
            </w:pPr>
            <w:r>
              <w:rPr>
                <w:rFonts w:ascii="宋体" w:hAnsi="宋体" w:eastAsia="宋体"/>
                <w:sz w:val="16"/>
              </w:rPr>
              <w:t>购买10%吡虫啉可溶液剂费用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64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42C3B">
            <w:pPr>
              <w:jc w:val="center"/>
            </w:pPr>
            <w:r>
              <w:rPr>
                <w:rFonts w:ascii="宋体" w:hAnsi="宋体" w:eastAsia="宋体"/>
                <w:sz w:val="16"/>
              </w:rPr>
              <w:t>&lt;=20.83万元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66B3">
            <w:pPr>
              <w:jc w:val="center"/>
            </w:pPr>
            <w:r>
              <w:rPr>
                <w:rFonts w:ascii="宋体" w:hAnsi="宋体" w:eastAsia="宋体"/>
                <w:sz w:val="16"/>
              </w:rPr>
              <w:t>=20.83万元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3EB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71E3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5CA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6BA39">
            <w:pPr>
              <w:jc w:val="center"/>
            </w:pPr>
            <w:r>
              <w:rPr>
                <w:rFonts w:ascii="宋体" w:hAnsi="宋体" w:eastAsia="宋体"/>
                <w:sz w:val="16"/>
              </w:rPr>
              <w:t>3.80万元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40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32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BEC4">
            <w:pPr>
              <w:jc w:val="center"/>
            </w:pPr>
          </w:p>
        </w:tc>
      </w:tr>
      <w:tr w14:paraId="321AB6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136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E7E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0D0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04C9">
            <w:pPr>
              <w:jc w:val="center"/>
            </w:pPr>
            <w:r>
              <w:rPr>
                <w:rFonts w:ascii="宋体" w:hAnsi="宋体" w:eastAsia="宋体"/>
                <w:sz w:val="16"/>
              </w:rPr>
              <w:t>提升苗圃基地苗木品质，保障苗圃基地林木安全，促进苗农增收，推进自治州种苗产业高质量发展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997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7546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A7039">
            <w:pPr>
              <w:jc w:val="center"/>
            </w:pPr>
            <w:r>
              <w:rPr>
                <w:rFonts w:ascii="宋体" w:hAnsi="宋体" w:eastAsia="宋体"/>
                <w:sz w:val="16"/>
              </w:rPr>
              <w:t>到达预期目标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A03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AF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BDD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2F10">
            <w:pPr>
              <w:jc w:val="center"/>
            </w:pPr>
            <w:r>
              <w:rPr>
                <w:rFonts w:ascii="宋体" w:hAnsi="宋体" w:eastAsia="宋体"/>
                <w:sz w:val="16"/>
              </w:rPr>
              <w:t>加强对基层专业技术人员和林农开展林业有害生物防治培训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4AC6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537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D25E9">
            <w:pPr>
              <w:jc w:val="center"/>
            </w:pPr>
          </w:p>
        </w:tc>
      </w:tr>
      <w:tr w14:paraId="31DD79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217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75F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E461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ABA85">
            <w:pPr>
              <w:jc w:val="center"/>
            </w:pPr>
            <w:r>
              <w:rPr>
                <w:rFonts w:ascii="宋体" w:hAnsi="宋体" w:eastAsia="宋体"/>
                <w:sz w:val="16"/>
              </w:rPr>
              <w:t>林业有害生物无公害防治率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D1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687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E10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F8E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9CE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797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6BE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6F1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2E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EF61">
            <w:pPr>
              <w:jc w:val="center"/>
            </w:pPr>
          </w:p>
        </w:tc>
      </w:tr>
      <w:tr w14:paraId="59B13D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2DA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9C5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F72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85B9A">
            <w:pPr>
              <w:jc w:val="center"/>
            </w:pPr>
            <w:r>
              <w:rPr>
                <w:rFonts w:ascii="宋体" w:hAnsi="宋体" w:eastAsia="宋体"/>
                <w:sz w:val="16"/>
              </w:rPr>
              <w:t>受益农户满意度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55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5B4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8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01E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BD1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F0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D65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C63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ABD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1FDFD">
            <w:pPr>
              <w:jc w:val="center"/>
            </w:pPr>
            <w:r>
              <w:rPr>
                <w:rFonts w:ascii="宋体" w:hAnsi="宋体" w:eastAsia="宋体"/>
                <w:sz w:val="16"/>
              </w:rPr>
              <w:t>年初绩效设置满意度90%以上，实际受益农户满意度达到100%。因此有偏差。</w:t>
            </w:r>
          </w:p>
        </w:tc>
      </w:tr>
      <w:tr w14:paraId="65E837D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F0DA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623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D519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6C3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07E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033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715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8A03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AAC0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FB2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4A1AA8"/>
        </w:tc>
      </w:tr>
    </w:tbl>
    <w:p w14:paraId="276F4B9F">
      <w:r>
        <w:br w:type="page"/>
      </w:r>
    </w:p>
    <w:tbl>
      <w:tblPr>
        <w:tblStyle w:val="9"/>
        <w:tblW w:w="0" w:type="auto"/>
        <w:tblInd w:w="0" w:type="dxa"/>
        <w:tblLayout w:type="autofit"/>
        <w:tblCellMar>
          <w:top w:w="0" w:type="dxa"/>
          <w:left w:w="108" w:type="dxa"/>
          <w:bottom w:w="0" w:type="dxa"/>
          <w:right w:w="108" w:type="dxa"/>
        </w:tblCellMar>
      </w:tblPr>
      <w:tblGrid>
        <w:gridCol w:w="625"/>
        <w:gridCol w:w="616"/>
        <w:gridCol w:w="617"/>
        <w:gridCol w:w="617"/>
        <w:gridCol w:w="622"/>
        <w:gridCol w:w="696"/>
        <w:gridCol w:w="631"/>
        <w:gridCol w:w="776"/>
        <w:gridCol w:w="696"/>
        <w:gridCol w:w="617"/>
        <w:gridCol w:w="617"/>
        <w:gridCol w:w="617"/>
        <w:gridCol w:w="617"/>
        <w:gridCol w:w="696"/>
      </w:tblGrid>
      <w:tr w14:paraId="7BF54648">
        <w:tblPrEx>
          <w:tblCellMar>
            <w:top w:w="0" w:type="dxa"/>
            <w:left w:w="108" w:type="dxa"/>
            <w:bottom w:w="0" w:type="dxa"/>
            <w:right w:w="108" w:type="dxa"/>
          </w:tblCellMar>
        </w:tblPrEx>
        <w:tc>
          <w:tcPr>
            <w:tcW w:w="8848" w:type="dxa"/>
            <w:gridSpan w:val="14"/>
            <w:vAlign w:val="center"/>
          </w:tcPr>
          <w:p w14:paraId="34CE2F27">
            <w:pPr>
              <w:jc w:val="center"/>
            </w:pPr>
            <w:r>
              <w:rPr>
                <w:rFonts w:ascii="宋体" w:hAnsi="宋体" w:eastAsia="宋体"/>
                <w:sz w:val="24"/>
              </w:rPr>
              <w:t>项目支出绩效自评表</w:t>
            </w:r>
          </w:p>
        </w:tc>
      </w:tr>
      <w:tr w14:paraId="5E975CF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CE12E0">
            <w:pPr>
              <w:jc w:val="center"/>
            </w:pPr>
            <w:r>
              <w:rPr>
                <w:rFonts w:ascii="宋体" w:hAnsi="宋体" w:eastAsia="宋体"/>
                <w:sz w:val="24"/>
              </w:rPr>
              <w:t>(2024年度)</w:t>
            </w:r>
          </w:p>
        </w:tc>
      </w:tr>
      <w:tr w14:paraId="758ECB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54C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B5F4F9">
            <w:pPr>
              <w:jc w:val="center"/>
            </w:pPr>
            <w:r>
              <w:rPr>
                <w:rFonts w:ascii="宋体" w:hAnsi="宋体" w:eastAsia="宋体"/>
                <w:sz w:val="16"/>
              </w:rPr>
              <w:t>昌吉州2022年林业有害生物防治项目</w:t>
            </w:r>
          </w:p>
        </w:tc>
      </w:tr>
      <w:tr w14:paraId="00EA89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FCE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34A88C">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7B7D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031310">
            <w:pPr>
              <w:jc w:val="center"/>
            </w:pPr>
            <w:r>
              <w:rPr>
                <w:rFonts w:ascii="宋体" w:hAnsi="宋体" w:eastAsia="宋体"/>
                <w:sz w:val="16"/>
              </w:rPr>
              <w:t>昌吉回族自治州林业和草原综合行政执法支队</w:t>
            </w:r>
          </w:p>
        </w:tc>
      </w:tr>
      <w:tr w14:paraId="33C415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93D1C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7ABF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555E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6E2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BA3E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B30E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D31B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50EB">
            <w:pPr>
              <w:jc w:val="center"/>
            </w:pPr>
            <w:r>
              <w:rPr>
                <w:rFonts w:ascii="宋体" w:hAnsi="宋体" w:eastAsia="宋体"/>
                <w:sz w:val="16"/>
              </w:rPr>
              <w:t>得分</w:t>
            </w:r>
          </w:p>
        </w:tc>
      </w:tr>
      <w:tr w14:paraId="6D0F45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289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7C8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3697C">
            <w:pPr>
              <w:jc w:val="center"/>
            </w:pPr>
            <w:r>
              <w:rPr>
                <w:rFonts w:ascii="宋体" w:hAnsi="宋体" w:eastAsia="宋体"/>
                <w:sz w:val="16"/>
              </w:rPr>
              <w:t>4.43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36722">
            <w:pPr>
              <w:jc w:val="center"/>
            </w:pPr>
            <w:r>
              <w:rPr>
                <w:rFonts w:ascii="宋体" w:hAnsi="宋体" w:eastAsia="宋体"/>
                <w:sz w:val="16"/>
              </w:rPr>
              <w:t>4.43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6EC8B">
            <w:pPr>
              <w:jc w:val="center"/>
            </w:pPr>
            <w:r>
              <w:rPr>
                <w:rFonts w:ascii="宋体" w:hAnsi="宋体" w:eastAsia="宋体"/>
                <w:sz w:val="16"/>
              </w:rPr>
              <w:t>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30F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C789B">
            <w:pPr>
              <w:jc w:val="center"/>
            </w:pPr>
            <w:r>
              <w:rPr>
                <w:rFonts w:ascii="宋体" w:hAnsi="宋体" w:eastAsia="宋体"/>
                <w:sz w:val="16"/>
              </w:rPr>
              <w:t>92.55%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EEA2A">
            <w:pPr>
              <w:jc w:val="center"/>
            </w:pPr>
            <w:r>
              <w:rPr>
                <w:rFonts w:ascii="宋体" w:hAnsi="宋体" w:eastAsia="宋体"/>
                <w:sz w:val="16"/>
              </w:rPr>
              <w:t>10.00</w:t>
            </w:r>
          </w:p>
        </w:tc>
      </w:tr>
      <w:tr w14:paraId="098E3C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F99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B1BE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402F1">
            <w:pPr>
              <w:jc w:val="center"/>
            </w:pPr>
            <w:r>
              <w:rPr>
                <w:rFonts w:ascii="宋体" w:hAnsi="宋体" w:eastAsia="宋体"/>
                <w:sz w:val="16"/>
              </w:rPr>
              <w:t>4.43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C2422">
            <w:pPr>
              <w:jc w:val="center"/>
            </w:pPr>
            <w:r>
              <w:rPr>
                <w:rFonts w:ascii="宋体" w:hAnsi="宋体" w:eastAsia="宋体"/>
                <w:sz w:val="16"/>
              </w:rPr>
              <w:t>4.43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38070">
            <w:pPr>
              <w:jc w:val="center"/>
            </w:pPr>
            <w:r>
              <w:rPr>
                <w:rFonts w:ascii="宋体" w:hAnsi="宋体" w:eastAsia="宋体"/>
                <w:sz w:val="16"/>
              </w:rPr>
              <w:t>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A33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03D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58AC">
            <w:pPr>
              <w:jc w:val="center"/>
            </w:pPr>
            <w:r>
              <w:rPr>
                <w:rFonts w:ascii="宋体" w:hAnsi="宋体" w:eastAsia="宋体"/>
                <w:sz w:val="16"/>
              </w:rPr>
              <w:t>—</w:t>
            </w:r>
          </w:p>
        </w:tc>
      </w:tr>
      <w:tr w14:paraId="0E013A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008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D157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3A7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57D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7FF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0E7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106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0872E">
            <w:pPr>
              <w:jc w:val="center"/>
            </w:pPr>
            <w:r>
              <w:rPr>
                <w:rFonts w:ascii="宋体" w:hAnsi="宋体" w:eastAsia="宋体"/>
                <w:sz w:val="16"/>
              </w:rPr>
              <w:t>—</w:t>
            </w:r>
          </w:p>
        </w:tc>
      </w:tr>
      <w:tr w14:paraId="6508A2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411ED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45367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7206AD">
            <w:pPr>
              <w:jc w:val="center"/>
            </w:pPr>
            <w:r>
              <w:rPr>
                <w:rFonts w:ascii="宋体" w:hAnsi="宋体" w:eastAsia="宋体"/>
                <w:sz w:val="16"/>
              </w:rPr>
              <w:t>实际完成情况</w:t>
            </w:r>
          </w:p>
        </w:tc>
      </w:tr>
      <w:tr w14:paraId="199655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9376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6EBE0E">
            <w:pPr>
              <w:jc w:val="both"/>
            </w:pPr>
            <w:r>
              <w:rPr>
                <w:rFonts w:ascii="宋体" w:hAnsi="宋体" w:eastAsia="宋体"/>
                <w:sz w:val="16"/>
              </w:rPr>
              <w:t>2024年该项目计划按照购买林业有害生物智能虫情远程监测服务合同约定，继续购买远程智能监测服务1年。通过开展苹果枝枯病、白蜡窄吉丁、松材线虫病、葡萄蛀果蛾、鼠害等林业有害生物监测调查，加强防控科技推广，加快新技术在林业有害生物防治领域的应用和推广，确保全州林业有害生物成灾率在8.2‰以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9008A0">
            <w:pPr>
              <w:jc w:val="both"/>
            </w:pPr>
            <w:r>
              <w:rPr>
                <w:rFonts w:hint="eastAsia" w:ascii="宋体" w:hAnsi="宋体"/>
                <w:sz w:val="16"/>
                <w:lang w:eastAsia="zh-CN"/>
              </w:rPr>
              <w:t>截至2024</w:t>
            </w:r>
            <w:r>
              <w:rPr>
                <w:rFonts w:ascii="宋体" w:hAnsi="宋体" w:eastAsia="宋体"/>
                <w:sz w:val="16"/>
              </w:rPr>
              <w:t>年12月31日，该项目实际完成：远程智能监测服务1年，聘请第三方购买服务1家，项目验收合格率达到100%，按时支付尾款4.1万元，有效加强了林业有害生物监测工作，群众满意率100%。通过该项目实施，加快新技术在林业有害生物防治领域的应用和推广，全州林业有害生物成灾率保持为0，确保全州林业资源生态安全。</w:t>
            </w:r>
          </w:p>
        </w:tc>
      </w:tr>
      <w:tr w14:paraId="6DAFCE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F4CA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486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989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1DD8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F3E3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BA0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99DB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6B27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A0C5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0EA3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B980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C507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20AD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86DFA">
            <w:pPr>
              <w:jc w:val="center"/>
            </w:pPr>
            <w:r>
              <w:rPr>
                <w:rFonts w:ascii="宋体" w:hAnsi="宋体" w:eastAsia="宋体"/>
                <w:sz w:val="16"/>
              </w:rPr>
              <w:t>偏差原因分析及改进措施</w:t>
            </w:r>
          </w:p>
        </w:tc>
      </w:tr>
      <w:tr w14:paraId="342781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64600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BDF96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7BB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40C9E">
            <w:pPr>
              <w:jc w:val="center"/>
            </w:pPr>
            <w:r>
              <w:rPr>
                <w:rFonts w:ascii="宋体" w:hAnsi="宋体" w:eastAsia="宋体"/>
                <w:sz w:val="16"/>
              </w:rPr>
              <w:t>开展监测服务数量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487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09702">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3CAE0">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A9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CFD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C47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EF9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351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1ED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0FC69">
            <w:pPr>
              <w:jc w:val="center"/>
            </w:pPr>
          </w:p>
        </w:tc>
      </w:tr>
      <w:tr w14:paraId="631C1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B8E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008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51A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E6F5E">
            <w:pPr>
              <w:jc w:val="center"/>
            </w:pPr>
            <w:r>
              <w:rPr>
                <w:rFonts w:ascii="宋体" w:hAnsi="宋体" w:eastAsia="宋体"/>
                <w:sz w:val="16"/>
              </w:rPr>
              <w:t>聘请第三方单位数量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64F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2B7E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280CD">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40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5ED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C5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1BD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CDA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AD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87AF4">
            <w:pPr>
              <w:jc w:val="center"/>
            </w:pPr>
          </w:p>
        </w:tc>
      </w:tr>
      <w:tr w14:paraId="636660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AE6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875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33E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6274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6AF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95B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3F4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379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F6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0A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12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F32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267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996B0">
            <w:pPr>
              <w:jc w:val="center"/>
            </w:pPr>
          </w:p>
        </w:tc>
      </w:tr>
      <w:tr w14:paraId="4B2581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7C7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7B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205C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80184">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EDD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B04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D13B">
            <w:pPr>
              <w:jc w:val="center"/>
            </w:pPr>
            <w:r>
              <w:rPr>
                <w:rFonts w:ascii="宋体" w:hAnsi="宋体" w:eastAsia="宋体"/>
                <w:sz w:val="16"/>
              </w:rPr>
              <w:t>2024年10月28日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35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9BB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D54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D2A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2F37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6CB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40C69">
            <w:pPr>
              <w:jc w:val="center"/>
            </w:pPr>
          </w:p>
        </w:tc>
      </w:tr>
      <w:tr w14:paraId="610716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AC5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3F43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CEF7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B229C">
            <w:pPr>
              <w:jc w:val="center"/>
            </w:pPr>
            <w:r>
              <w:rPr>
                <w:rFonts w:ascii="宋体" w:hAnsi="宋体" w:eastAsia="宋体"/>
                <w:sz w:val="16"/>
              </w:rPr>
              <w:t>监测服务费尾款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38B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86960">
            <w:pPr>
              <w:jc w:val="center"/>
            </w:pPr>
            <w:r>
              <w:rPr>
                <w:rFonts w:ascii="宋体" w:hAnsi="宋体" w:eastAsia="宋体"/>
                <w:sz w:val="16"/>
              </w:rPr>
              <w:t>&lt;=4.43万元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A1BC">
            <w:pPr>
              <w:jc w:val="center"/>
            </w:pPr>
            <w:r>
              <w:rPr>
                <w:rFonts w:ascii="宋体" w:hAnsi="宋体" w:eastAsia="宋体"/>
                <w:sz w:val="16"/>
              </w:rPr>
              <w:t>=4.1万元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450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35E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2E3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657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F5C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7B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65671">
            <w:pPr>
              <w:jc w:val="center"/>
            </w:pPr>
          </w:p>
        </w:tc>
      </w:tr>
      <w:tr w14:paraId="49C912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B8C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E24B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7214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07F76">
            <w:pPr>
              <w:jc w:val="center"/>
            </w:pPr>
            <w:r>
              <w:rPr>
                <w:rFonts w:ascii="宋体" w:hAnsi="宋体" w:eastAsia="宋体"/>
                <w:sz w:val="16"/>
              </w:rPr>
              <w:t>加快新技术在林业有害生物防治领域的应用和推广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E8E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87BF2">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94C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C32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BE2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1FA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970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525F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A47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E6D92">
            <w:pPr>
              <w:jc w:val="center"/>
            </w:pPr>
          </w:p>
        </w:tc>
      </w:tr>
      <w:tr w14:paraId="759A32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7DA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A9D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CA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7AB0A">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377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7A53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D16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F504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1D8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6FD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FC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3EF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20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78DB">
            <w:pPr>
              <w:jc w:val="center"/>
            </w:pPr>
            <w:r>
              <w:rPr>
                <w:rFonts w:ascii="宋体" w:hAnsi="宋体" w:eastAsia="宋体"/>
                <w:sz w:val="16"/>
              </w:rPr>
              <w:t>因年初目标设置过低，年末满意度均达到100%。因此，造成偏差。</w:t>
            </w:r>
          </w:p>
        </w:tc>
      </w:tr>
      <w:tr w14:paraId="465B28C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56DC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A7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908E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6C5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AD7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4495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3AF6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E735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5033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E819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1753F4"/>
        </w:tc>
      </w:tr>
    </w:tbl>
    <w:p w14:paraId="3B921E14">
      <w:r>
        <w:br w:type="page"/>
      </w:r>
    </w:p>
    <w:tbl>
      <w:tblPr>
        <w:tblStyle w:val="9"/>
        <w:tblW w:w="0" w:type="auto"/>
        <w:tblInd w:w="0" w:type="dxa"/>
        <w:tblLayout w:type="autofit"/>
        <w:tblCellMar>
          <w:top w:w="0" w:type="dxa"/>
          <w:left w:w="108" w:type="dxa"/>
          <w:bottom w:w="0" w:type="dxa"/>
          <w:right w:w="108" w:type="dxa"/>
        </w:tblCellMar>
      </w:tblPr>
      <w:tblGrid>
        <w:gridCol w:w="625"/>
        <w:gridCol w:w="617"/>
        <w:gridCol w:w="617"/>
        <w:gridCol w:w="715"/>
        <w:gridCol w:w="523"/>
        <w:gridCol w:w="696"/>
        <w:gridCol w:w="631"/>
        <w:gridCol w:w="776"/>
        <w:gridCol w:w="696"/>
        <w:gridCol w:w="617"/>
        <w:gridCol w:w="617"/>
        <w:gridCol w:w="617"/>
        <w:gridCol w:w="617"/>
        <w:gridCol w:w="696"/>
      </w:tblGrid>
      <w:tr w14:paraId="02CB2999">
        <w:tblPrEx>
          <w:tblCellMar>
            <w:top w:w="0" w:type="dxa"/>
            <w:left w:w="108" w:type="dxa"/>
            <w:bottom w:w="0" w:type="dxa"/>
            <w:right w:w="108" w:type="dxa"/>
          </w:tblCellMar>
        </w:tblPrEx>
        <w:tc>
          <w:tcPr>
            <w:tcW w:w="9060" w:type="dxa"/>
            <w:gridSpan w:val="14"/>
            <w:vAlign w:val="center"/>
          </w:tcPr>
          <w:p w14:paraId="507FFB4F">
            <w:pPr>
              <w:jc w:val="center"/>
            </w:pPr>
            <w:r>
              <w:rPr>
                <w:rFonts w:ascii="宋体" w:hAnsi="宋体" w:eastAsia="宋体"/>
                <w:sz w:val="24"/>
              </w:rPr>
              <w:t>项目支出绩效自评表</w:t>
            </w:r>
          </w:p>
        </w:tc>
      </w:tr>
      <w:tr w14:paraId="724CB15E">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C67B16D">
            <w:pPr>
              <w:jc w:val="center"/>
            </w:pPr>
            <w:r>
              <w:rPr>
                <w:rFonts w:ascii="宋体" w:hAnsi="宋体" w:eastAsia="宋体"/>
                <w:sz w:val="24"/>
              </w:rPr>
              <w:t>(2024年度)</w:t>
            </w:r>
          </w:p>
        </w:tc>
      </w:tr>
      <w:tr w14:paraId="1115AB27">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488F068">
            <w:pPr>
              <w:jc w:val="center"/>
            </w:pPr>
            <w:r>
              <w:rPr>
                <w:rFonts w:ascii="宋体" w:hAnsi="宋体" w:eastAsia="宋体"/>
                <w:sz w:val="16"/>
              </w:rPr>
              <w:t>项目名称</w:t>
            </w:r>
          </w:p>
        </w:tc>
        <w:tc>
          <w:tcPr>
            <w:tcW w:w="843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BD6E62">
            <w:pPr>
              <w:jc w:val="center"/>
            </w:pPr>
            <w:r>
              <w:rPr>
                <w:rFonts w:ascii="宋体" w:hAnsi="宋体" w:eastAsia="宋体"/>
                <w:sz w:val="16"/>
              </w:rPr>
              <w:t>昌吉州种苗站2022年度第二批良种苗木培育补助</w:t>
            </w:r>
          </w:p>
        </w:tc>
      </w:tr>
      <w:tr w14:paraId="3D20EA42">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6C5B016">
            <w:pPr>
              <w:jc w:val="center"/>
            </w:pPr>
            <w:r>
              <w:rPr>
                <w:rFonts w:ascii="宋体" w:hAnsi="宋体" w:eastAsia="宋体"/>
                <w:sz w:val="16"/>
              </w:rPr>
              <w:t>主管部门</w:t>
            </w:r>
          </w:p>
        </w:tc>
        <w:tc>
          <w:tcPr>
            <w:tcW w:w="457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4CECF0">
            <w:pPr>
              <w:jc w:val="center"/>
            </w:pPr>
            <w:r>
              <w:rPr>
                <w:rFonts w:ascii="宋体" w:hAnsi="宋体" w:eastAsia="宋体"/>
                <w:sz w:val="16"/>
              </w:rPr>
              <w:t>昌吉州林业和草原局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F2A792">
            <w:pPr>
              <w:jc w:val="center"/>
            </w:pPr>
            <w:r>
              <w:rPr>
                <w:rFonts w:ascii="宋体" w:hAnsi="宋体" w:eastAsia="宋体"/>
                <w:sz w:val="16"/>
              </w:rPr>
              <w:t>实施单位</w:t>
            </w:r>
          </w:p>
        </w:tc>
        <w:tc>
          <w:tcPr>
            <w:tcW w:w="316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A74AC2">
            <w:pPr>
              <w:jc w:val="center"/>
            </w:pPr>
            <w:r>
              <w:rPr>
                <w:rFonts w:ascii="宋体" w:hAnsi="宋体" w:eastAsia="宋体"/>
                <w:sz w:val="16"/>
              </w:rPr>
              <w:t>昌吉回族自治州林业和草原综合行政执法支队</w:t>
            </w:r>
          </w:p>
        </w:tc>
      </w:tr>
      <w:tr w14:paraId="7E9847BA">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DB3456">
            <w:pPr>
              <w:jc w:val="center"/>
            </w:pPr>
            <w:r>
              <w:rPr>
                <w:rFonts w:ascii="宋体" w:hAnsi="宋体" w:eastAsia="宋体"/>
                <w:sz w:val="16"/>
              </w:rPr>
              <w:t>项目资金（万元）</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D7728">
            <w:pPr>
              <w:jc w:val="center"/>
            </w:pP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98616">
            <w:pPr>
              <w:jc w:val="center"/>
            </w:pPr>
            <w:r>
              <w:rPr>
                <w:rFonts w:ascii="宋体" w:hAnsi="宋体" w:eastAsia="宋体"/>
                <w:sz w:val="16"/>
              </w:rPr>
              <w:t>年初预算数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06C64">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DF696">
            <w:pPr>
              <w:jc w:val="center"/>
            </w:pPr>
            <w:r>
              <w:rPr>
                <w:rFonts w:ascii="宋体" w:hAnsi="宋体" w:eastAsia="宋体"/>
                <w:sz w:val="16"/>
              </w:rPr>
              <w:t>全年执行数</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2C461">
            <w:pPr>
              <w:jc w:val="center"/>
            </w:pPr>
            <w:r>
              <w:rPr>
                <w:rFonts w:ascii="宋体" w:hAnsi="宋体" w:eastAsia="宋体"/>
                <w:sz w:val="16"/>
              </w:rPr>
              <w:t>分值</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D89E7">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9F1681">
            <w:pPr>
              <w:jc w:val="center"/>
            </w:pPr>
            <w:r>
              <w:rPr>
                <w:rFonts w:ascii="宋体" w:hAnsi="宋体" w:eastAsia="宋体"/>
                <w:sz w:val="16"/>
              </w:rPr>
              <w:t>得分</w:t>
            </w:r>
          </w:p>
        </w:tc>
      </w:tr>
      <w:tr w14:paraId="205728B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AA13976"/>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3839C">
            <w:pPr>
              <w:jc w:val="center"/>
            </w:pPr>
            <w:r>
              <w:rPr>
                <w:rFonts w:ascii="宋体" w:hAnsi="宋体" w:eastAsia="宋体"/>
                <w:sz w:val="16"/>
              </w:rPr>
              <w:t>年度资金总额</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85DF6">
            <w:pPr>
              <w:jc w:val="center"/>
            </w:pPr>
            <w:r>
              <w:rPr>
                <w:rFonts w:ascii="宋体" w:hAnsi="宋体" w:eastAsia="宋体"/>
                <w:sz w:val="16"/>
              </w:rPr>
              <w:t>3.38</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DD3A3">
            <w:pPr>
              <w:jc w:val="center"/>
            </w:pPr>
            <w:r>
              <w:rPr>
                <w:rFonts w:ascii="宋体" w:hAnsi="宋体" w:eastAsia="宋体"/>
                <w:sz w:val="16"/>
              </w:rPr>
              <w:t>2.66</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72CB3">
            <w:pPr>
              <w:jc w:val="center"/>
            </w:pPr>
            <w:r>
              <w:rPr>
                <w:rFonts w:ascii="宋体" w:hAnsi="宋体" w:eastAsia="宋体"/>
                <w:sz w:val="16"/>
              </w:rPr>
              <w:t>2.66</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5ABE2">
            <w:pPr>
              <w:jc w:val="center"/>
            </w:pPr>
            <w:r>
              <w:rPr>
                <w:rFonts w:ascii="宋体" w:hAnsi="宋体" w:eastAsia="宋体"/>
                <w:sz w:val="16"/>
              </w:rPr>
              <w:t>10</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54728">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326B52">
            <w:pPr>
              <w:jc w:val="center"/>
            </w:pPr>
            <w:r>
              <w:rPr>
                <w:rFonts w:ascii="宋体" w:hAnsi="宋体" w:eastAsia="宋体"/>
                <w:sz w:val="16"/>
              </w:rPr>
              <w:t>10.00</w:t>
            </w:r>
          </w:p>
        </w:tc>
      </w:tr>
      <w:tr w14:paraId="19C4D135">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A693A07"/>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D56EE">
            <w:pPr>
              <w:jc w:val="center"/>
            </w:pPr>
            <w:r>
              <w:rPr>
                <w:rFonts w:ascii="宋体" w:hAnsi="宋体" w:eastAsia="宋体"/>
                <w:sz w:val="16"/>
              </w:rPr>
              <w:t>其中：当年财政拨款</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D6788">
            <w:pPr>
              <w:jc w:val="center"/>
            </w:pPr>
            <w:r>
              <w:rPr>
                <w:rFonts w:ascii="宋体" w:hAnsi="宋体" w:eastAsia="宋体"/>
                <w:sz w:val="16"/>
              </w:rPr>
              <w:t>3.38</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57FEA">
            <w:pPr>
              <w:jc w:val="center"/>
            </w:pPr>
            <w:r>
              <w:rPr>
                <w:rFonts w:ascii="宋体" w:hAnsi="宋体" w:eastAsia="宋体"/>
                <w:sz w:val="16"/>
              </w:rPr>
              <w:t>2.66</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5490D">
            <w:pPr>
              <w:jc w:val="center"/>
            </w:pPr>
            <w:r>
              <w:rPr>
                <w:rFonts w:ascii="宋体" w:hAnsi="宋体" w:eastAsia="宋体"/>
                <w:sz w:val="16"/>
              </w:rPr>
              <w:t>2.66</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244B9">
            <w:pPr>
              <w:jc w:val="center"/>
            </w:pPr>
            <w:r>
              <w:rPr>
                <w:rFonts w:ascii="宋体" w:hAnsi="宋体" w:eastAsia="宋体"/>
                <w:sz w:val="16"/>
              </w:rPr>
              <w:t>—</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6AF41">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33F866">
            <w:pPr>
              <w:jc w:val="center"/>
            </w:pPr>
            <w:r>
              <w:rPr>
                <w:rFonts w:ascii="宋体" w:hAnsi="宋体" w:eastAsia="宋体"/>
                <w:sz w:val="16"/>
              </w:rPr>
              <w:t>—</w:t>
            </w:r>
          </w:p>
        </w:tc>
      </w:tr>
      <w:tr w14:paraId="6A0245A8">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2A7BB6A"/>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079AD">
            <w:pPr>
              <w:jc w:val="center"/>
            </w:pPr>
            <w:r>
              <w:rPr>
                <w:rFonts w:ascii="宋体" w:hAnsi="宋体" w:eastAsia="宋体"/>
                <w:sz w:val="16"/>
              </w:rPr>
              <w:t xml:space="preserve">  其他资金</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17E12">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16A41">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2F52D">
            <w:pPr>
              <w:jc w:val="center"/>
            </w:pPr>
            <w:r>
              <w:rPr>
                <w:rFonts w:ascii="宋体" w:hAnsi="宋体" w:eastAsia="宋体"/>
                <w:sz w:val="16"/>
              </w:rPr>
              <w:t>0.00</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B2257">
            <w:pPr>
              <w:jc w:val="center"/>
            </w:pPr>
            <w:r>
              <w:rPr>
                <w:rFonts w:ascii="宋体" w:hAnsi="宋体" w:eastAsia="宋体"/>
                <w:sz w:val="16"/>
              </w:rPr>
              <w:t>—</w:t>
            </w:r>
          </w:p>
        </w:tc>
        <w:tc>
          <w:tcPr>
            <w:tcW w:w="12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54BD2">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5A1498">
            <w:pPr>
              <w:jc w:val="center"/>
            </w:pPr>
            <w:r>
              <w:rPr>
                <w:rFonts w:ascii="宋体" w:hAnsi="宋体" w:eastAsia="宋体"/>
                <w:sz w:val="16"/>
              </w:rPr>
              <w:t>—</w:t>
            </w:r>
          </w:p>
        </w:tc>
      </w:tr>
      <w:tr w14:paraId="05728D7F">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40A343">
            <w:pPr>
              <w:jc w:val="center"/>
            </w:pPr>
            <w:r>
              <w:rPr>
                <w:rFonts w:ascii="宋体" w:hAnsi="宋体" w:eastAsia="宋体"/>
                <w:sz w:val="16"/>
              </w:rPr>
              <w:t>年度总体目标</w:t>
            </w:r>
          </w:p>
        </w:tc>
        <w:tc>
          <w:tcPr>
            <w:tcW w:w="316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A2070B">
            <w:pPr>
              <w:jc w:val="center"/>
            </w:pPr>
            <w:r>
              <w:rPr>
                <w:rFonts w:ascii="宋体" w:hAnsi="宋体" w:eastAsia="宋体"/>
                <w:sz w:val="16"/>
              </w:rPr>
              <w:t>预期目标</w:t>
            </w:r>
          </w:p>
        </w:tc>
        <w:tc>
          <w:tcPr>
            <w:tcW w:w="5267"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B16853F">
            <w:pPr>
              <w:jc w:val="center"/>
            </w:pPr>
            <w:r>
              <w:rPr>
                <w:rFonts w:ascii="宋体" w:hAnsi="宋体" w:eastAsia="宋体"/>
                <w:sz w:val="16"/>
              </w:rPr>
              <w:t>实际完成情况</w:t>
            </w:r>
          </w:p>
        </w:tc>
      </w:tr>
      <w:tr w14:paraId="7C20E96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A6FAC23"/>
        </w:tc>
        <w:tc>
          <w:tcPr>
            <w:tcW w:w="316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CCA60A">
            <w:pPr>
              <w:jc w:val="both"/>
            </w:pPr>
            <w:r>
              <w:rPr>
                <w:rFonts w:ascii="宋体" w:hAnsi="宋体" w:eastAsia="宋体"/>
                <w:sz w:val="16"/>
              </w:rPr>
              <w:t>开展良种苗木培育技术支撑，技术指导，对种苗项目实施监督管理成果验收，确保项目如期实施，为林业工程建设提供良种壮苗，提高优良苗木产值，项目区域公众满意度达到90%以上。</w:t>
            </w:r>
          </w:p>
        </w:tc>
        <w:tc>
          <w:tcPr>
            <w:tcW w:w="5267"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E4C1E1A">
            <w:pPr>
              <w:jc w:val="both"/>
            </w:pPr>
            <w:r>
              <w:rPr>
                <w:rFonts w:hint="eastAsia" w:ascii="宋体" w:hAnsi="宋体"/>
                <w:sz w:val="16"/>
                <w:lang w:eastAsia="zh-CN"/>
              </w:rPr>
              <w:t>截至2024</w:t>
            </w:r>
            <w:r>
              <w:rPr>
                <w:rFonts w:ascii="宋体" w:hAnsi="宋体" w:eastAsia="宋体"/>
                <w:sz w:val="16"/>
              </w:rPr>
              <w:t>年12月31日，完成良种苗木培育技术指导1次，对种苗项目实施监督管理并进行了成果验收1次，达到年度培育的良种苗木标准级别Ⅱ级以上，2024年12月完成林木良种培育工作，支付差旅费0.91万元，支付</w:t>
            </w:r>
            <w:r>
              <w:rPr>
                <w:rFonts w:hint="eastAsia" w:ascii="宋体" w:hAnsi="宋体"/>
                <w:sz w:val="16"/>
                <w:lang w:eastAsia="zh-CN"/>
              </w:rPr>
              <w:t>车辆</w:t>
            </w:r>
            <w:r>
              <w:rPr>
                <w:rFonts w:ascii="宋体" w:hAnsi="宋体" w:eastAsia="宋体"/>
                <w:sz w:val="16"/>
              </w:rPr>
              <w:t>费用0.97万元，支付租赁费0.78万元，通过该项目实施，确保项目如期实施，为林业工程建设提供良种壮苗，提高优良苗木产值，项目区域公众满意度达到100%。</w:t>
            </w:r>
          </w:p>
        </w:tc>
      </w:tr>
      <w:tr w14:paraId="57EEDBA5">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6063C6C7"/>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6F602E9">
            <w:pPr>
              <w:jc w:val="center"/>
            </w:pPr>
            <w:r>
              <w:rPr>
                <w:rFonts w:ascii="宋体" w:hAnsi="宋体" w:eastAsia="宋体"/>
                <w:sz w:val="16"/>
              </w:rPr>
              <w:t>一级指标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8E98E76">
            <w:pPr>
              <w:jc w:val="center"/>
            </w:pPr>
            <w:r>
              <w:rPr>
                <w:rFonts w:ascii="宋体" w:hAnsi="宋体" w:eastAsia="宋体"/>
                <w:sz w:val="16"/>
              </w:rPr>
              <w:t>二级指标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752DC6E3">
            <w:pPr>
              <w:jc w:val="center"/>
            </w:pPr>
            <w:r>
              <w:rPr>
                <w:rFonts w:ascii="宋体" w:hAnsi="宋体" w:eastAsia="宋体"/>
                <w:sz w:val="16"/>
              </w:rPr>
              <w:t>三级指标</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5FDD9FEB">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D98FD6">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1964E6D">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081FA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8427C1">
            <w:pPr>
              <w:jc w:val="center"/>
            </w:pPr>
            <w:r>
              <w:rPr>
                <w:rFonts w:ascii="宋体" w:hAnsi="宋体" w:eastAsia="宋体"/>
                <w:sz w:val="16"/>
              </w:rPr>
              <w:t>指标得分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458AB7E">
            <w:pPr>
              <w:jc w:val="center"/>
            </w:pPr>
            <w:r>
              <w:rPr>
                <w:rFonts w:ascii="宋体" w:hAnsi="宋体" w:eastAsia="宋体"/>
                <w:sz w:val="16"/>
              </w:rPr>
              <w:t>指标值设定依据</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69A0ACB">
            <w:pPr>
              <w:jc w:val="center"/>
            </w:pPr>
            <w:r>
              <w:rPr>
                <w:rFonts w:ascii="宋体" w:hAnsi="宋体" w:eastAsia="宋体"/>
                <w:sz w:val="16"/>
              </w:rPr>
              <w:t>上年完成情况</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1934179">
            <w:pPr>
              <w:jc w:val="center"/>
            </w:pPr>
            <w:r>
              <w:rPr>
                <w:rFonts w:ascii="宋体" w:hAnsi="宋体" w:eastAsia="宋体"/>
                <w:sz w:val="16"/>
              </w:rPr>
              <w:t>赋分规则</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42C3E83">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55E99D">
            <w:pPr>
              <w:jc w:val="center"/>
            </w:pPr>
            <w:r>
              <w:rPr>
                <w:rFonts w:ascii="宋体" w:hAnsi="宋体" w:eastAsia="宋体"/>
                <w:sz w:val="16"/>
              </w:rPr>
              <w:t>偏差原因分析及改进措施</w:t>
            </w:r>
          </w:p>
        </w:tc>
      </w:tr>
      <w:tr w14:paraId="35DF197A">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DEA67A">
            <w:pPr>
              <w:jc w:val="center"/>
            </w:pPr>
            <w:r>
              <w:rPr>
                <w:rFonts w:ascii="宋体" w:hAnsi="宋体" w:eastAsia="宋体"/>
                <w:sz w:val="16"/>
              </w:rPr>
              <w:t>年度绩效指标完成情况</w:t>
            </w:r>
          </w:p>
        </w:tc>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CBBA06">
            <w:pPr>
              <w:jc w:val="center"/>
            </w:pPr>
            <w:r>
              <w:rPr>
                <w:rFonts w:ascii="宋体" w:hAnsi="宋体" w:eastAsia="宋体"/>
                <w:sz w:val="16"/>
              </w:rPr>
              <w:t>产出指标</w:t>
            </w:r>
          </w:p>
        </w:tc>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06CC8">
            <w:pPr>
              <w:jc w:val="center"/>
            </w:pPr>
            <w:r>
              <w:rPr>
                <w:rFonts w:ascii="宋体" w:hAnsi="宋体" w:eastAsia="宋体"/>
                <w:sz w:val="16"/>
              </w:rPr>
              <w:t>数量指标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349006C8">
            <w:pPr>
              <w:jc w:val="center"/>
            </w:pPr>
            <w:r>
              <w:rPr>
                <w:rFonts w:ascii="宋体" w:hAnsi="宋体" w:eastAsia="宋体"/>
                <w:sz w:val="16"/>
              </w:rPr>
              <w:t>技术指导</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7EA00A6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351277">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CD429F">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63258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1B3BEF">
            <w:pPr>
              <w:jc w:val="center"/>
            </w:pPr>
            <w:r>
              <w:rPr>
                <w:rFonts w:ascii="宋体" w:hAnsi="宋体" w:eastAsia="宋体"/>
                <w:sz w:val="16"/>
              </w:rPr>
              <w:t>10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FA99A7B">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FEB99FB">
            <w:pPr>
              <w:jc w:val="center"/>
            </w:pPr>
            <w:r>
              <w:rPr>
                <w:rFonts w:ascii="宋体" w:hAnsi="宋体" w:eastAsia="宋体"/>
                <w:sz w:val="16"/>
              </w:rPr>
              <w:t>/</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89CE0C1">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45F455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46DCF1">
            <w:pPr>
              <w:jc w:val="center"/>
            </w:pPr>
          </w:p>
        </w:tc>
      </w:tr>
      <w:tr w14:paraId="2B398120">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35BC8CF"/>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63019896"/>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326262C7"/>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6A17BD80">
            <w:pPr>
              <w:jc w:val="center"/>
            </w:pPr>
            <w:r>
              <w:rPr>
                <w:rFonts w:ascii="宋体" w:hAnsi="宋体" w:eastAsia="宋体"/>
                <w:sz w:val="16"/>
              </w:rPr>
              <w:t>种苗项目验收</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41534D6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66F1EE">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7AC2B41">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0AA9D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B71BFF">
            <w:pPr>
              <w:jc w:val="center"/>
            </w:pPr>
            <w:r>
              <w:rPr>
                <w:rFonts w:ascii="宋体" w:hAnsi="宋体" w:eastAsia="宋体"/>
                <w:sz w:val="16"/>
              </w:rPr>
              <w:t>10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21CE18E">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FC14CE9">
            <w:pPr>
              <w:jc w:val="center"/>
            </w:pPr>
            <w:r>
              <w:rPr>
                <w:rFonts w:ascii="宋体" w:hAnsi="宋体" w:eastAsia="宋体"/>
                <w:sz w:val="16"/>
              </w:rPr>
              <w:t>/</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72EADA1">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F31900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19470B">
            <w:pPr>
              <w:jc w:val="center"/>
            </w:pPr>
          </w:p>
        </w:tc>
      </w:tr>
      <w:tr w14:paraId="188E5E31">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2563B7E"/>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253EE2B"/>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52FC30F">
            <w:pPr>
              <w:jc w:val="center"/>
            </w:pPr>
            <w:r>
              <w:rPr>
                <w:rFonts w:ascii="宋体" w:hAnsi="宋体" w:eastAsia="宋体"/>
                <w:sz w:val="16"/>
              </w:rPr>
              <w:t>质量指标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40F42646">
            <w:pPr>
              <w:jc w:val="center"/>
            </w:pPr>
            <w:r>
              <w:rPr>
                <w:rFonts w:ascii="宋体" w:hAnsi="宋体" w:eastAsia="宋体"/>
                <w:sz w:val="16"/>
              </w:rPr>
              <w:t>年度培育的良种苗木标准级别</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3A182A6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447090">
            <w:pPr>
              <w:jc w:val="center"/>
            </w:pPr>
            <w:r>
              <w:rPr>
                <w:rFonts w:ascii="宋体" w:hAnsi="宋体" w:eastAsia="宋体"/>
                <w:sz w:val="16"/>
              </w:rPr>
              <w:t>Ⅱ级以上</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4554832">
            <w:pPr>
              <w:jc w:val="center"/>
            </w:pPr>
            <w:r>
              <w:rPr>
                <w:rFonts w:ascii="宋体" w:hAnsi="宋体" w:eastAsia="宋体"/>
                <w:sz w:val="16"/>
              </w:rPr>
              <w:t>Ⅱ级</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82909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ADC95C">
            <w:pPr>
              <w:jc w:val="center"/>
            </w:pPr>
            <w:r>
              <w:rPr>
                <w:rFonts w:ascii="宋体" w:hAnsi="宋体" w:eastAsia="宋体"/>
                <w:sz w:val="16"/>
              </w:rPr>
              <w:t>10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09AAFF8">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C1E2378">
            <w:pPr>
              <w:jc w:val="center"/>
            </w:pPr>
            <w:r>
              <w:rPr>
                <w:rFonts w:ascii="宋体" w:hAnsi="宋体" w:eastAsia="宋体"/>
                <w:sz w:val="16"/>
              </w:rPr>
              <w:t>/</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C093B45">
            <w:pPr>
              <w:jc w:val="center"/>
            </w:pPr>
            <w:r>
              <w:rPr>
                <w:rFonts w:ascii="宋体" w:hAnsi="宋体" w:eastAsia="宋体"/>
                <w:sz w:val="16"/>
              </w:rPr>
              <w:t>按评判等级赋分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B5031D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C00620">
            <w:pPr>
              <w:jc w:val="center"/>
            </w:pPr>
          </w:p>
        </w:tc>
      </w:tr>
      <w:tr w14:paraId="0987E1AA">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361F823"/>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256E7D13"/>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7157A9C">
            <w:pPr>
              <w:jc w:val="center"/>
            </w:pPr>
            <w:r>
              <w:rPr>
                <w:rFonts w:ascii="宋体" w:hAnsi="宋体" w:eastAsia="宋体"/>
                <w:sz w:val="16"/>
              </w:rPr>
              <w:t>时效指标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73B39DC9">
            <w:pPr>
              <w:jc w:val="center"/>
            </w:pPr>
            <w:r>
              <w:rPr>
                <w:rFonts w:ascii="宋体" w:hAnsi="宋体" w:eastAsia="宋体"/>
                <w:sz w:val="16"/>
              </w:rPr>
              <w:t>林木良种培育完成时间</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4B393D6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9D3C60">
            <w:pPr>
              <w:jc w:val="center"/>
            </w:pPr>
            <w:r>
              <w:rPr>
                <w:rFonts w:ascii="宋体" w:hAnsi="宋体" w:eastAsia="宋体"/>
                <w:sz w:val="16"/>
              </w:rPr>
              <w:t>2024年12月10日</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D9615C">
            <w:pPr>
              <w:jc w:val="center"/>
            </w:pPr>
            <w:r>
              <w:rPr>
                <w:rFonts w:ascii="宋体" w:hAnsi="宋体" w:eastAsia="宋体"/>
                <w:sz w:val="16"/>
              </w:rPr>
              <w:t>2024年11月25日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925BB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320BF1">
            <w:pPr>
              <w:jc w:val="center"/>
            </w:pPr>
            <w:r>
              <w:rPr>
                <w:rFonts w:ascii="宋体" w:hAnsi="宋体" w:eastAsia="宋体"/>
                <w:sz w:val="16"/>
              </w:rPr>
              <w:t>10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DA26547">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F5DC834">
            <w:pPr>
              <w:jc w:val="center"/>
            </w:pPr>
            <w:r>
              <w:rPr>
                <w:rFonts w:ascii="宋体" w:hAnsi="宋体" w:eastAsia="宋体"/>
                <w:sz w:val="16"/>
              </w:rPr>
              <w:t>/</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F60D3D6">
            <w:pPr>
              <w:jc w:val="center"/>
            </w:pPr>
            <w:r>
              <w:rPr>
                <w:rFonts w:ascii="宋体" w:hAnsi="宋体" w:eastAsia="宋体"/>
                <w:sz w:val="16"/>
              </w:rPr>
              <w:t>直接赋分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525A685">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D10FA5">
            <w:pPr>
              <w:jc w:val="center"/>
            </w:pPr>
          </w:p>
        </w:tc>
      </w:tr>
      <w:tr w14:paraId="5352E11A">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FD3D387"/>
        </w:tc>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D28FAD">
            <w:pPr>
              <w:jc w:val="center"/>
            </w:pPr>
            <w:r>
              <w:rPr>
                <w:rFonts w:ascii="宋体" w:hAnsi="宋体" w:eastAsia="宋体"/>
                <w:sz w:val="16"/>
              </w:rPr>
              <w:t>成本指标</w:t>
            </w:r>
          </w:p>
        </w:tc>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16F143">
            <w:pPr>
              <w:jc w:val="center"/>
            </w:pPr>
            <w:r>
              <w:rPr>
                <w:rFonts w:ascii="宋体" w:hAnsi="宋体" w:eastAsia="宋体"/>
                <w:sz w:val="16"/>
              </w:rPr>
              <w:t>经济成本指标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15D221CF">
            <w:pPr>
              <w:jc w:val="center"/>
            </w:pPr>
            <w:r>
              <w:rPr>
                <w:rFonts w:ascii="宋体" w:hAnsi="宋体" w:eastAsia="宋体"/>
                <w:sz w:val="16"/>
              </w:rPr>
              <w:t>差旅费</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2D81581E">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116D09">
            <w:pPr>
              <w:jc w:val="center"/>
            </w:pPr>
            <w:r>
              <w:rPr>
                <w:rFonts w:ascii="宋体" w:hAnsi="宋体" w:eastAsia="宋体"/>
                <w:sz w:val="16"/>
              </w:rPr>
              <w:t>&lt;=0.91万元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6E70DF6">
            <w:pPr>
              <w:jc w:val="center"/>
            </w:pPr>
            <w:r>
              <w:rPr>
                <w:rFonts w:ascii="宋体" w:hAnsi="宋体" w:eastAsia="宋体"/>
                <w:sz w:val="16"/>
              </w:rPr>
              <w:t>=0.91万元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A68FD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1A2837">
            <w:pPr>
              <w:jc w:val="center"/>
            </w:pPr>
            <w:r>
              <w:rPr>
                <w:rFonts w:ascii="宋体" w:hAnsi="宋体" w:eastAsia="宋体"/>
                <w:sz w:val="16"/>
              </w:rPr>
              <w:t>5</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49503E3">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CD96C33">
            <w:pPr>
              <w:jc w:val="center"/>
            </w:pPr>
            <w:r>
              <w:rPr>
                <w:rFonts w:ascii="宋体" w:hAnsi="宋体" w:eastAsia="宋体"/>
                <w:sz w:val="16"/>
              </w:rPr>
              <w:t>/</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1E6A7E0">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4EDE8BB">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98DA80">
            <w:pPr>
              <w:jc w:val="center"/>
            </w:pPr>
          </w:p>
        </w:tc>
      </w:tr>
      <w:tr w14:paraId="1770807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86AAEB4"/>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17A56F8"/>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87521E9"/>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0267AFA5">
            <w:pPr>
              <w:jc w:val="center"/>
            </w:pPr>
            <w:r>
              <w:rPr>
                <w:rFonts w:ascii="宋体" w:hAnsi="宋体" w:eastAsia="宋体"/>
                <w:sz w:val="16"/>
              </w:rPr>
              <w:t>车辆费用</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4B7B8574">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D94BBA">
            <w:pPr>
              <w:jc w:val="center"/>
            </w:pPr>
            <w:r>
              <w:rPr>
                <w:rFonts w:ascii="宋体" w:hAnsi="宋体" w:eastAsia="宋体"/>
                <w:sz w:val="16"/>
              </w:rPr>
              <w:t>&lt;=0.97万元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C9D4ED">
            <w:pPr>
              <w:jc w:val="center"/>
            </w:pPr>
            <w:r>
              <w:rPr>
                <w:rFonts w:ascii="宋体" w:hAnsi="宋体" w:eastAsia="宋体"/>
                <w:sz w:val="16"/>
              </w:rPr>
              <w:t>=0.97万元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05D9F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18A9A3">
            <w:pPr>
              <w:jc w:val="center"/>
            </w:pPr>
            <w:r>
              <w:rPr>
                <w:rFonts w:ascii="宋体" w:hAnsi="宋体" w:eastAsia="宋体"/>
                <w:sz w:val="16"/>
              </w:rPr>
              <w:t>5</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D9BC52C">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6DAAF4E">
            <w:pPr>
              <w:jc w:val="center"/>
            </w:pPr>
            <w:r>
              <w:rPr>
                <w:rFonts w:ascii="宋体" w:hAnsi="宋体" w:eastAsia="宋体"/>
                <w:sz w:val="16"/>
              </w:rPr>
              <w:t>/</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12D5A71">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CFE8C13">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85A718">
            <w:pPr>
              <w:jc w:val="center"/>
            </w:pPr>
          </w:p>
        </w:tc>
      </w:tr>
      <w:tr w14:paraId="50760604">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E7AD010"/>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5B182D0E"/>
        </w:tc>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6C37A9A1"/>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4F994AB7">
            <w:pPr>
              <w:jc w:val="center"/>
            </w:pPr>
            <w:r>
              <w:rPr>
                <w:rFonts w:ascii="宋体" w:hAnsi="宋体" w:eastAsia="宋体"/>
                <w:sz w:val="16"/>
              </w:rPr>
              <w:t>打字复印资料费用</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5A180CC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9F6B98">
            <w:pPr>
              <w:jc w:val="center"/>
            </w:pPr>
            <w:r>
              <w:rPr>
                <w:rFonts w:ascii="宋体" w:hAnsi="宋体" w:eastAsia="宋体"/>
                <w:sz w:val="16"/>
              </w:rPr>
              <w:t>&lt;=0.78万元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A8DCA5">
            <w:pPr>
              <w:jc w:val="center"/>
            </w:pPr>
            <w:r>
              <w:rPr>
                <w:rFonts w:ascii="宋体" w:hAnsi="宋体" w:eastAsia="宋体"/>
                <w:sz w:val="16"/>
              </w:rPr>
              <w:t>=0.78万元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3F898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B1CB33">
            <w:pPr>
              <w:jc w:val="center"/>
            </w:pPr>
            <w:r>
              <w:rPr>
                <w:rFonts w:ascii="宋体" w:hAnsi="宋体" w:eastAsia="宋体"/>
                <w:sz w:val="16"/>
              </w:rPr>
              <w:t>10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A0283DF">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E3632A8">
            <w:pPr>
              <w:jc w:val="center"/>
            </w:pPr>
            <w:r>
              <w:rPr>
                <w:rFonts w:ascii="宋体" w:hAnsi="宋体" w:eastAsia="宋体"/>
                <w:sz w:val="16"/>
              </w:rPr>
              <w:t>/</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58DB284">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945FEA6">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2C708C">
            <w:pPr>
              <w:jc w:val="center"/>
            </w:pPr>
          </w:p>
        </w:tc>
      </w:tr>
      <w:tr w14:paraId="66FAA38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3F3D1CC"/>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27E340F">
            <w:pPr>
              <w:jc w:val="center"/>
            </w:pPr>
            <w:r>
              <w:rPr>
                <w:rFonts w:ascii="宋体" w:hAnsi="宋体" w:eastAsia="宋体"/>
                <w:sz w:val="16"/>
              </w:rPr>
              <w:t>效益指标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D0DCA52">
            <w:pPr>
              <w:jc w:val="center"/>
            </w:pPr>
            <w:r>
              <w:rPr>
                <w:rFonts w:ascii="宋体" w:hAnsi="宋体" w:eastAsia="宋体"/>
                <w:sz w:val="16"/>
              </w:rPr>
              <w:t>社会效益指标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56BD4AEC">
            <w:pPr>
              <w:jc w:val="center"/>
            </w:pPr>
            <w:r>
              <w:rPr>
                <w:rFonts w:ascii="宋体" w:hAnsi="宋体" w:eastAsia="宋体"/>
                <w:sz w:val="16"/>
              </w:rPr>
              <w:t>优良苗木产值</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24D9A67C">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49D21E">
            <w:pPr>
              <w:jc w:val="center"/>
            </w:pPr>
            <w:r>
              <w:rPr>
                <w:rFonts w:ascii="宋体" w:hAnsi="宋体" w:eastAsia="宋体"/>
                <w:sz w:val="16"/>
              </w:rPr>
              <w:t>&gt;=0.45万元/亩</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59714AE">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5240D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1EADF8">
            <w:pPr>
              <w:jc w:val="center"/>
            </w:pPr>
            <w:r>
              <w:rPr>
                <w:rFonts w:ascii="宋体" w:hAnsi="宋体" w:eastAsia="宋体"/>
                <w:sz w:val="16"/>
              </w:rPr>
              <w:t>20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5455280">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E4D4E89">
            <w:pPr>
              <w:jc w:val="center"/>
            </w:pPr>
            <w:r>
              <w:rPr>
                <w:rFonts w:ascii="宋体" w:hAnsi="宋体" w:eastAsia="宋体"/>
                <w:sz w:val="16"/>
              </w:rPr>
              <w:t>/</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D83EA1F">
            <w:pPr>
              <w:jc w:val="center"/>
            </w:pPr>
            <w:r>
              <w:rPr>
                <w:rFonts w:ascii="宋体" w:hAnsi="宋体" w:eastAsia="宋体"/>
                <w:sz w:val="16"/>
              </w:rPr>
              <w:t>按照完成比例赋分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59E0E1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D1BC66">
            <w:pPr>
              <w:jc w:val="center"/>
            </w:pPr>
            <w:r>
              <w:rPr>
                <w:rFonts w:ascii="宋体" w:hAnsi="宋体" w:eastAsia="宋体"/>
                <w:sz w:val="16"/>
              </w:rPr>
              <w:t>年初目标设置过低，年末全州优良苗木产值达到1.14万元/亩。造成差异。</w:t>
            </w:r>
          </w:p>
        </w:tc>
      </w:tr>
      <w:tr w14:paraId="2DB4B15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7B7A101"/>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3297883">
            <w:pPr>
              <w:jc w:val="center"/>
            </w:pPr>
            <w:r>
              <w:rPr>
                <w:rFonts w:ascii="宋体" w:hAnsi="宋体" w:eastAsia="宋体"/>
                <w:sz w:val="16"/>
              </w:rPr>
              <w:t>满意度指标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08FB1B6">
            <w:pPr>
              <w:jc w:val="center"/>
            </w:pPr>
            <w:r>
              <w:rPr>
                <w:rFonts w:ascii="宋体" w:hAnsi="宋体" w:eastAsia="宋体"/>
                <w:sz w:val="16"/>
              </w:rPr>
              <w:t>满意度指标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69ED029F">
            <w:pPr>
              <w:jc w:val="center"/>
            </w:pPr>
            <w:r>
              <w:rPr>
                <w:rFonts w:ascii="宋体" w:hAnsi="宋体" w:eastAsia="宋体"/>
                <w:sz w:val="16"/>
              </w:rPr>
              <w:t>项目区域公众满意度</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6947DCE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BCD351">
            <w:pPr>
              <w:jc w:val="center"/>
            </w:pPr>
            <w:r>
              <w:rPr>
                <w:rFonts w:ascii="宋体" w:hAnsi="宋体" w:eastAsia="宋体"/>
                <w:sz w:val="16"/>
              </w:rPr>
              <w:t>&gt;=90%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EC0846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0183CB">
            <w:pPr>
              <w:jc w:val="center"/>
            </w:pPr>
            <w:r>
              <w:rPr>
                <w:rFonts w:ascii="宋体" w:hAnsi="宋体" w:eastAsia="宋体"/>
                <w:sz w:val="16"/>
              </w:rPr>
              <w:t>111.11%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AD73A8">
            <w:pPr>
              <w:jc w:val="center"/>
            </w:pPr>
            <w:r>
              <w:rPr>
                <w:rFonts w:ascii="宋体" w:hAnsi="宋体" w:eastAsia="宋体"/>
                <w:sz w:val="16"/>
              </w:rPr>
              <w:t>10</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1A1C27B">
            <w:pPr>
              <w:jc w:val="center"/>
            </w:pPr>
            <w:r>
              <w:rPr>
                <w:rFonts w:ascii="宋体" w:hAnsi="宋体" w:eastAsia="宋体"/>
                <w:sz w:val="16"/>
              </w:rPr>
              <w:t>计划标准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F441B7D">
            <w:pPr>
              <w:jc w:val="center"/>
            </w:pPr>
            <w:r>
              <w:rPr>
                <w:rFonts w:ascii="宋体" w:hAnsi="宋体" w:eastAsia="宋体"/>
                <w:sz w:val="16"/>
              </w:rPr>
              <w:t>/</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6102AC5">
            <w:pPr>
              <w:jc w:val="center"/>
            </w:pPr>
            <w:r>
              <w:rPr>
                <w:rFonts w:ascii="宋体" w:hAnsi="宋体" w:eastAsia="宋体"/>
                <w:sz w:val="16"/>
              </w:rPr>
              <w:t>满意度赋分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31A044E">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2AF34D">
            <w:pPr>
              <w:jc w:val="center"/>
            </w:pPr>
            <w:r>
              <w:rPr>
                <w:rFonts w:ascii="宋体" w:hAnsi="宋体" w:eastAsia="宋体"/>
                <w:sz w:val="16"/>
              </w:rPr>
              <w:t>年初目标设置过低，年末满意度达到100%。因此，造成偏差。</w:t>
            </w:r>
          </w:p>
        </w:tc>
      </w:tr>
      <w:tr w14:paraId="134DD2DD">
        <w:tblPrEx>
          <w:tblCellMar>
            <w:top w:w="0" w:type="dxa"/>
            <w:left w:w="108" w:type="dxa"/>
            <w:bottom w:w="0" w:type="dxa"/>
            <w:right w:w="108" w:type="dxa"/>
          </w:tblCellMar>
        </w:tblPrEx>
        <w:tc>
          <w:tcPr>
            <w:tcW w:w="257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DDF46D">
            <w:pPr>
              <w:jc w:val="center"/>
            </w:pPr>
            <w:r>
              <w:rPr>
                <w:rFonts w:ascii="宋体" w:hAnsi="宋体" w:eastAsia="宋体"/>
                <w:sz w:val="16"/>
              </w:rPr>
              <w:t>总分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7F0AF36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6E62861"/>
        </w:tc>
        <w:tc>
          <w:tcPr>
            <w:tcW w:w="631" w:type="dxa"/>
            <w:tcBorders>
              <w:top w:val="single" w:color="auto" w:sz="10" w:space="0"/>
              <w:left w:val="single" w:color="auto" w:sz="10" w:space="0"/>
              <w:bottom w:val="single" w:color="auto" w:sz="10" w:space="0"/>
              <w:right w:val="single" w:color="auto" w:sz="10" w:space="0"/>
              <w:insideV w:val="single" w:sz="10" w:space="0"/>
            </w:tcBorders>
          </w:tcPr>
          <w:p w14:paraId="18CCCFB7"/>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CC84BE5"/>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30F578">
            <w:pPr>
              <w:jc w:val="center"/>
            </w:pPr>
            <w:r>
              <w:rPr>
                <w:rFonts w:ascii="宋体" w:hAnsi="宋体" w:eastAsia="宋体"/>
                <w:sz w:val="16"/>
              </w:rPr>
              <w:t>100.00分</w:t>
            </w:r>
          </w:p>
        </w:tc>
        <w:tc>
          <w:tcPr>
            <w:tcW w:w="617" w:type="dxa"/>
            <w:tcBorders>
              <w:top w:val="single" w:color="auto" w:sz="10" w:space="0"/>
              <w:left w:val="single" w:color="auto" w:sz="10" w:space="0"/>
              <w:bottom w:val="single" w:color="auto" w:sz="10" w:space="0"/>
              <w:right w:val="single" w:color="auto" w:sz="10" w:space="0"/>
              <w:insideV w:val="single" w:sz="10" w:space="0"/>
            </w:tcBorders>
          </w:tcPr>
          <w:p w14:paraId="55AE0C8C"/>
        </w:tc>
        <w:tc>
          <w:tcPr>
            <w:tcW w:w="617" w:type="dxa"/>
            <w:tcBorders>
              <w:top w:val="single" w:color="auto" w:sz="10" w:space="0"/>
              <w:left w:val="single" w:color="auto" w:sz="10" w:space="0"/>
              <w:bottom w:val="single" w:color="auto" w:sz="10" w:space="0"/>
              <w:right w:val="single" w:color="auto" w:sz="10" w:space="0"/>
              <w:insideV w:val="single" w:sz="10" w:space="0"/>
            </w:tcBorders>
          </w:tcPr>
          <w:p w14:paraId="34EA4B9C"/>
        </w:tc>
        <w:tc>
          <w:tcPr>
            <w:tcW w:w="617" w:type="dxa"/>
            <w:tcBorders>
              <w:top w:val="single" w:color="auto" w:sz="10" w:space="0"/>
              <w:left w:val="single" w:color="auto" w:sz="10" w:space="0"/>
              <w:bottom w:val="single" w:color="auto" w:sz="10" w:space="0"/>
              <w:right w:val="single" w:color="auto" w:sz="10" w:space="0"/>
              <w:insideV w:val="single" w:sz="10" w:space="0"/>
            </w:tcBorders>
          </w:tcPr>
          <w:p w14:paraId="53948499"/>
        </w:tc>
        <w:tc>
          <w:tcPr>
            <w:tcW w:w="617" w:type="dxa"/>
            <w:tcBorders>
              <w:top w:val="single" w:color="auto" w:sz="10" w:space="0"/>
              <w:left w:val="single" w:color="auto" w:sz="10" w:space="0"/>
              <w:bottom w:val="single" w:color="auto" w:sz="10" w:space="0"/>
              <w:right w:val="single" w:color="auto" w:sz="10" w:space="0"/>
              <w:insideV w:val="single" w:sz="10" w:space="0"/>
            </w:tcBorders>
          </w:tcPr>
          <w:p w14:paraId="3BA77AF1"/>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F5371B1"/>
        </w:tc>
      </w:tr>
    </w:tbl>
    <w:p w14:paraId="73328794">
      <w:r>
        <w:br w:type="page"/>
      </w:r>
    </w:p>
    <w:tbl>
      <w:tblPr>
        <w:tblStyle w:val="9"/>
        <w:tblW w:w="0" w:type="auto"/>
        <w:tblInd w:w="0" w:type="dxa"/>
        <w:tblLayout w:type="autofit"/>
        <w:tblCellMar>
          <w:top w:w="0" w:type="dxa"/>
          <w:left w:w="108" w:type="dxa"/>
          <w:bottom w:w="0" w:type="dxa"/>
          <w:right w:w="108" w:type="dxa"/>
        </w:tblCellMar>
      </w:tblPr>
      <w:tblGrid>
        <w:gridCol w:w="625"/>
        <w:gridCol w:w="617"/>
        <w:gridCol w:w="617"/>
        <w:gridCol w:w="617"/>
        <w:gridCol w:w="621"/>
        <w:gridCol w:w="696"/>
        <w:gridCol w:w="631"/>
        <w:gridCol w:w="776"/>
        <w:gridCol w:w="696"/>
        <w:gridCol w:w="617"/>
        <w:gridCol w:w="617"/>
        <w:gridCol w:w="617"/>
        <w:gridCol w:w="617"/>
        <w:gridCol w:w="696"/>
      </w:tblGrid>
      <w:tr w14:paraId="4607692F">
        <w:tblPrEx>
          <w:tblCellMar>
            <w:top w:w="0" w:type="dxa"/>
            <w:left w:w="108" w:type="dxa"/>
            <w:bottom w:w="0" w:type="dxa"/>
            <w:right w:w="108" w:type="dxa"/>
          </w:tblCellMar>
        </w:tblPrEx>
        <w:tc>
          <w:tcPr>
            <w:tcW w:w="8848" w:type="dxa"/>
            <w:gridSpan w:val="14"/>
            <w:vAlign w:val="center"/>
          </w:tcPr>
          <w:p w14:paraId="7EF593A4">
            <w:pPr>
              <w:jc w:val="center"/>
            </w:pPr>
            <w:r>
              <w:rPr>
                <w:rFonts w:ascii="宋体" w:hAnsi="宋体" w:eastAsia="宋体"/>
                <w:sz w:val="24"/>
              </w:rPr>
              <w:t>项目支出绩效自评表</w:t>
            </w:r>
          </w:p>
        </w:tc>
      </w:tr>
      <w:tr w14:paraId="1A4E77E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9B2FE3">
            <w:pPr>
              <w:jc w:val="center"/>
            </w:pPr>
            <w:r>
              <w:rPr>
                <w:rFonts w:ascii="宋体" w:hAnsi="宋体" w:eastAsia="宋体"/>
                <w:sz w:val="24"/>
              </w:rPr>
              <w:t>(2024年度)</w:t>
            </w:r>
          </w:p>
        </w:tc>
      </w:tr>
      <w:tr w14:paraId="311FD9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3C9D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856077">
            <w:pPr>
              <w:jc w:val="center"/>
            </w:pPr>
            <w:r>
              <w:rPr>
                <w:rFonts w:ascii="宋体" w:hAnsi="宋体" w:eastAsia="宋体"/>
                <w:sz w:val="16"/>
              </w:rPr>
              <w:t>昌吉州种苗站2022年度良种苗木培育补助</w:t>
            </w:r>
          </w:p>
        </w:tc>
      </w:tr>
      <w:tr w14:paraId="41FB3E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96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58E1BE">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0D5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8034B3">
            <w:pPr>
              <w:jc w:val="center"/>
            </w:pPr>
            <w:r>
              <w:rPr>
                <w:rFonts w:ascii="宋体" w:hAnsi="宋体" w:eastAsia="宋体"/>
                <w:sz w:val="16"/>
              </w:rPr>
              <w:t>昌吉回族自治州林业和草原综合行政执法支队</w:t>
            </w:r>
          </w:p>
        </w:tc>
      </w:tr>
      <w:tr w14:paraId="4B2293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CD45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DF91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8B95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A967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0DFB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8F79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D770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28A20">
            <w:pPr>
              <w:jc w:val="center"/>
            </w:pPr>
            <w:r>
              <w:rPr>
                <w:rFonts w:ascii="宋体" w:hAnsi="宋体" w:eastAsia="宋体"/>
                <w:sz w:val="16"/>
              </w:rPr>
              <w:t>得分</w:t>
            </w:r>
          </w:p>
        </w:tc>
      </w:tr>
      <w:tr w14:paraId="0FF05C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441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F53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D115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2991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D1E7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580F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9CCB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70A1">
            <w:pPr>
              <w:jc w:val="center"/>
            </w:pPr>
            <w:r>
              <w:rPr>
                <w:rFonts w:ascii="宋体" w:hAnsi="宋体" w:eastAsia="宋体"/>
                <w:sz w:val="16"/>
              </w:rPr>
              <w:t>10.00</w:t>
            </w:r>
          </w:p>
        </w:tc>
      </w:tr>
      <w:tr w14:paraId="79C231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76B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E379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7B73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AD54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1BD3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ED2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522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03A9B">
            <w:pPr>
              <w:jc w:val="center"/>
            </w:pPr>
            <w:r>
              <w:rPr>
                <w:rFonts w:ascii="宋体" w:hAnsi="宋体" w:eastAsia="宋体"/>
                <w:sz w:val="16"/>
              </w:rPr>
              <w:t>—</w:t>
            </w:r>
          </w:p>
        </w:tc>
      </w:tr>
      <w:tr w14:paraId="107711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DFB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BF84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B43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E7C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6F1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5A11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479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443F">
            <w:pPr>
              <w:jc w:val="center"/>
            </w:pPr>
            <w:r>
              <w:rPr>
                <w:rFonts w:ascii="宋体" w:hAnsi="宋体" w:eastAsia="宋体"/>
                <w:sz w:val="16"/>
              </w:rPr>
              <w:t>—</w:t>
            </w:r>
          </w:p>
        </w:tc>
      </w:tr>
      <w:tr w14:paraId="569907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D90D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0D73F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25C870">
            <w:pPr>
              <w:jc w:val="center"/>
            </w:pPr>
            <w:r>
              <w:rPr>
                <w:rFonts w:ascii="宋体" w:hAnsi="宋体" w:eastAsia="宋体"/>
                <w:sz w:val="16"/>
              </w:rPr>
              <w:t>实际完成情况</w:t>
            </w:r>
          </w:p>
        </w:tc>
      </w:tr>
      <w:tr w14:paraId="32F45B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1D7D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0B02CB">
            <w:pPr>
              <w:jc w:val="both"/>
            </w:pPr>
            <w:r>
              <w:rPr>
                <w:rFonts w:ascii="宋体" w:hAnsi="宋体" w:eastAsia="宋体"/>
                <w:sz w:val="16"/>
              </w:rPr>
              <w:t>通过举办种苗专业技术培训，专家授课座谈交流等方式，全面提升我州苗木产业综合发展水平，促进苗木产业健康有序高质量发展。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69E7E7">
            <w:pPr>
              <w:jc w:val="both"/>
            </w:pPr>
            <w:r>
              <w:rPr>
                <w:rFonts w:hint="eastAsia" w:ascii="宋体" w:hAnsi="宋体"/>
                <w:sz w:val="16"/>
                <w:lang w:eastAsia="zh-CN"/>
              </w:rPr>
              <w:t>截至2024</w:t>
            </w:r>
            <w:r>
              <w:rPr>
                <w:rFonts w:ascii="宋体" w:hAnsi="宋体" w:eastAsia="宋体"/>
                <w:sz w:val="16"/>
              </w:rPr>
              <w:t>年12月31日，举办2024年昌吉州苗木产业技术培训1期，培训参与人数达到每场50人，年度培育的良种苗木标准达到Ⅱ级，按期完成率100%。通过该项目实施，提升我州苗木产业综合发展水平，促进苗木产业健康有序高质量发展。</w:t>
            </w:r>
          </w:p>
        </w:tc>
      </w:tr>
      <w:tr w14:paraId="6D6C4A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432D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A11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95DD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8E8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FD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38A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C2E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8A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4270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9D06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4D8E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BBC0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F19E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D6D5">
            <w:pPr>
              <w:jc w:val="center"/>
            </w:pPr>
            <w:r>
              <w:rPr>
                <w:rFonts w:ascii="宋体" w:hAnsi="宋体" w:eastAsia="宋体"/>
                <w:sz w:val="16"/>
              </w:rPr>
              <w:t>偏差原因分析及改进措施</w:t>
            </w:r>
          </w:p>
        </w:tc>
      </w:tr>
      <w:tr w14:paraId="3AD73B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A9F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53D6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834B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B02F">
            <w:pPr>
              <w:jc w:val="center"/>
            </w:pPr>
            <w:r>
              <w:rPr>
                <w:rFonts w:ascii="宋体" w:hAnsi="宋体" w:eastAsia="宋体"/>
                <w:sz w:val="16"/>
              </w:rPr>
              <w:t>种苗专业技术培训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EEB3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FE05">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CE40C">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0ED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FBC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5A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FC8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8D6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6E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F9AC">
            <w:pPr>
              <w:jc w:val="center"/>
            </w:pPr>
          </w:p>
        </w:tc>
      </w:tr>
      <w:tr w14:paraId="0CF8CE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DD3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447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C97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E7694">
            <w:pPr>
              <w:jc w:val="center"/>
            </w:pPr>
            <w:r>
              <w:rPr>
                <w:rFonts w:ascii="宋体" w:hAnsi="宋体" w:eastAsia="宋体"/>
                <w:sz w:val="16"/>
              </w:rPr>
              <w:t>培训参与人数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D066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3EC3A">
            <w:pPr>
              <w:jc w:val="center"/>
            </w:pPr>
            <w:r>
              <w:rPr>
                <w:rFonts w:ascii="宋体" w:hAnsi="宋体" w:eastAsia="宋体"/>
                <w:sz w:val="16"/>
              </w:rPr>
              <w:t>&gt;=50人/场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FAAA">
            <w:pPr>
              <w:jc w:val="center"/>
            </w:pPr>
            <w:r>
              <w:rPr>
                <w:rFonts w:ascii="宋体" w:hAnsi="宋体" w:eastAsia="宋体"/>
                <w:sz w:val="16"/>
              </w:rPr>
              <w:t>=50人/场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B50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0734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1E8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E31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62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893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92B62">
            <w:pPr>
              <w:jc w:val="center"/>
            </w:pPr>
          </w:p>
        </w:tc>
      </w:tr>
      <w:tr w14:paraId="010C0E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7E6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6A2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428E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E105F">
            <w:pPr>
              <w:jc w:val="center"/>
            </w:pPr>
            <w:r>
              <w:rPr>
                <w:rFonts w:ascii="宋体" w:hAnsi="宋体" w:eastAsia="宋体"/>
                <w:sz w:val="16"/>
              </w:rPr>
              <w:t>年度培育的良种苗木标准级别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95A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39327">
            <w:pPr>
              <w:jc w:val="center"/>
            </w:pPr>
            <w:r>
              <w:rPr>
                <w:rFonts w:ascii="宋体" w:hAnsi="宋体" w:eastAsia="宋体"/>
                <w:sz w:val="16"/>
              </w:rPr>
              <w:t>Ⅱ级以上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1C74C">
            <w:pPr>
              <w:jc w:val="center"/>
            </w:pPr>
            <w:r>
              <w:rPr>
                <w:rFonts w:ascii="宋体" w:hAnsi="宋体" w:eastAsia="宋体"/>
                <w:sz w:val="16"/>
              </w:rPr>
              <w:t>Ⅱ级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BD8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BB0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E63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62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D376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D52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1BD7">
            <w:pPr>
              <w:jc w:val="center"/>
            </w:pPr>
          </w:p>
        </w:tc>
      </w:tr>
      <w:tr w14:paraId="3414F2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88D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C4B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2BF7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FD9D2">
            <w:pPr>
              <w:jc w:val="center"/>
            </w:pPr>
            <w:r>
              <w:rPr>
                <w:rFonts w:ascii="宋体" w:hAnsi="宋体" w:eastAsia="宋体"/>
                <w:sz w:val="16"/>
              </w:rPr>
              <w:t>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B77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C1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FB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312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4A4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BC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ABD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BD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62F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C68C3">
            <w:pPr>
              <w:jc w:val="center"/>
            </w:pPr>
          </w:p>
        </w:tc>
      </w:tr>
      <w:tr w14:paraId="5AAD0D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33F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3A73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904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753D">
            <w:pPr>
              <w:jc w:val="center"/>
            </w:pPr>
            <w:r>
              <w:rPr>
                <w:rFonts w:ascii="宋体" w:hAnsi="宋体" w:eastAsia="宋体"/>
                <w:sz w:val="16"/>
              </w:rPr>
              <w:t>优良苗木产值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7679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4C424">
            <w:pPr>
              <w:jc w:val="center"/>
            </w:pPr>
            <w:r>
              <w:rPr>
                <w:rFonts w:ascii="宋体" w:hAnsi="宋体" w:eastAsia="宋体"/>
                <w:sz w:val="16"/>
              </w:rPr>
              <w:t>&gt;=0.45万元/亩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550D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EE1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A7D7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B7A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EB2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3EB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2B4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F6FC8">
            <w:pPr>
              <w:jc w:val="center"/>
            </w:pPr>
          </w:p>
        </w:tc>
      </w:tr>
      <w:tr w14:paraId="7EDA75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08D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0DB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883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10080">
            <w:pPr>
              <w:jc w:val="center"/>
            </w:pPr>
            <w:r>
              <w:rPr>
                <w:rFonts w:ascii="宋体" w:hAnsi="宋体" w:eastAsia="宋体"/>
                <w:sz w:val="16"/>
              </w:rPr>
              <w:t>提高当地苗木培育水平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B70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D62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B8C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5F3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6EE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97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1AC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95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8D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D159">
            <w:pPr>
              <w:jc w:val="center"/>
            </w:pPr>
          </w:p>
        </w:tc>
      </w:tr>
      <w:tr w14:paraId="6F2D87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F87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D0C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323D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3C373">
            <w:pPr>
              <w:jc w:val="center"/>
            </w:pPr>
            <w:r>
              <w:rPr>
                <w:rFonts w:ascii="宋体" w:hAnsi="宋体" w:eastAsia="宋体"/>
                <w:sz w:val="16"/>
              </w:rPr>
              <w:t>项目区域公众满意度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484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292F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F3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43A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804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93B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5F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1921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F21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A2596">
            <w:pPr>
              <w:jc w:val="center"/>
            </w:pPr>
            <w:r>
              <w:rPr>
                <w:rFonts w:ascii="宋体" w:hAnsi="宋体" w:eastAsia="宋体"/>
                <w:sz w:val="16"/>
              </w:rPr>
              <w:tab/>
            </w:r>
            <w:r>
              <w:rPr>
                <w:rFonts w:ascii="宋体" w:hAnsi="宋体" w:eastAsia="宋体"/>
                <w:sz w:val="16"/>
              </w:rPr>
              <w:t>因年初目标设置过低，年末满意度均达到100%。因此，造成偏差。</w:t>
            </w:r>
          </w:p>
        </w:tc>
      </w:tr>
      <w:tr w14:paraId="170853A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CD95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8CF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8C5C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6267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870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90F5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5DF5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600F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0D1D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CE97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68E367"/>
        </w:tc>
      </w:tr>
    </w:tbl>
    <w:p w14:paraId="44C17E51">
      <w:r>
        <w:br w:type="page"/>
      </w:r>
    </w:p>
    <w:tbl>
      <w:tblPr>
        <w:tblStyle w:val="9"/>
        <w:tblW w:w="0" w:type="auto"/>
        <w:tblInd w:w="0" w:type="dxa"/>
        <w:tblLayout w:type="autofit"/>
        <w:tblCellMar>
          <w:top w:w="0" w:type="dxa"/>
          <w:left w:w="108" w:type="dxa"/>
          <w:bottom w:w="0" w:type="dxa"/>
          <w:right w:w="108" w:type="dxa"/>
        </w:tblCellMar>
      </w:tblPr>
      <w:tblGrid>
        <w:gridCol w:w="622"/>
        <w:gridCol w:w="605"/>
        <w:gridCol w:w="605"/>
        <w:gridCol w:w="696"/>
        <w:gridCol w:w="614"/>
        <w:gridCol w:w="696"/>
        <w:gridCol w:w="630"/>
        <w:gridCol w:w="776"/>
        <w:gridCol w:w="696"/>
        <w:gridCol w:w="605"/>
        <w:gridCol w:w="605"/>
        <w:gridCol w:w="607"/>
        <w:gridCol w:w="606"/>
        <w:gridCol w:w="697"/>
      </w:tblGrid>
      <w:tr w14:paraId="65C0F26E">
        <w:tblPrEx>
          <w:tblCellMar>
            <w:top w:w="0" w:type="dxa"/>
            <w:left w:w="108" w:type="dxa"/>
            <w:bottom w:w="0" w:type="dxa"/>
            <w:right w:w="108" w:type="dxa"/>
          </w:tblCellMar>
        </w:tblPrEx>
        <w:tc>
          <w:tcPr>
            <w:tcW w:w="8848" w:type="dxa"/>
            <w:gridSpan w:val="14"/>
            <w:vAlign w:val="center"/>
          </w:tcPr>
          <w:p w14:paraId="32FBCD16">
            <w:pPr>
              <w:jc w:val="center"/>
            </w:pPr>
            <w:r>
              <w:rPr>
                <w:rFonts w:ascii="宋体" w:hAnsi="宋体" w:eastAsia="宋体"/>
                <w:sz w:val="24"/>
              </w:rPr>
              <w:t>项目支出绩效自评表</w:t>
            </w:r>
          </w:p>
        </w:tc>
      </w:tr>
      <w:tr w14:paraId="4074BE6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C2DD79A">
            <w:pPr>
              <w:jc w:val="center"/>
            </w:pPr>
            <w:r>
              <w:rPr>
                <w:rFonts w:ascii="宋体" w:hAnsi="宋体" w:eastAsia="宋体"/>
                <w:sz w:val="24"/>
              </w:rPr>
              <w:t>(2024年度)</w:t>
            </w:r>
          </w:p>
        </w:tc>
      </w:tr>
      <w:tr w14:paraId="3026AB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E4A1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6DDC67">
            <w:pPr>
              <w:jc w:val="center"/>
            </w:pPr>
            <w:r>
              <w:rPr>
                <w:rFonts w:ascii="宋体" w:hAnsi="宋体" w:eastAsia="宋体"/>
                <w:sz w:val="16"/>
              </w:rPr>
              <w:t>机构运行保障经费</w:t>
            </w:r>
          </w:p>
        </w:tc>
      </w:tr>
      <w:tr w14:paraId="068A43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6A40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128E99">
            <w:pPr>
              <w:jc w:val="center"/>
            </w:pPr>
            <w:r>
              <w:rPr>
                <w:rFonts w:ascii="宋体" w:hAnsi="宋体" w:eastAsia="宋体"/>
                <w:sz w:val="16"/>
              </w:rPr>
              <w:t>昌吉州林业和草原局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E2E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0CE8F6">
            <w:pPr>
              <w:jc w:val="center"/>
            </w:pPr>
            <w:r>
              <w:rPr>
                <w:rFonts w:ascii="宋体" w:hAnsi="宋体" w:eastAsia="宋体"/>
                <w:sz w:val="16"/>
              </w:rPr>
              <w:t>昌吉回族自治州林业和草原综合行政执法支队</w:t>
            </w:r>
          </w:p>
        </w:tc>
      </w:tr>
      <w:tr w14:paraId="3A8DA6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EA900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6F63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20E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75BE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ACD1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2428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E09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7CE22">
            <w:pPr>
              <w:jc w:val="center"/>
            </w:pPr>
            <w:r>
              <w:rPr>
                <w:rFonts w:ascii="宋体" w:hAnsi="宋体" w:eastAsia="宋体"/>
                <w:sz w:val="16"/>
              </w:rPr>
              <w:t>得分</w:t>
            </w:r>
          </w:p>
        </w:tc>
      </w:tr>
      <w:tr w14:paraId="30BCAD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AB5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A8E5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170FF">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FF4E7">
            <w:pPr>
              <w:jc w:val="center"/>
            </w:pPr>
            <w:r>
              <w:rPr>
                <w:rFonts w:ascii="宋体" w:hAnsi="宋体" w:eastAsia="宋体"/>
                <w:sz w:val="16"/>
              </w:rPr>
              <w:t>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D632E">
            <w:pPr>
              <w:jc w:val="center"/>
            </w:pPr>
            <w:r>
              <w:rPr>
                <w:rFonts w:ascii="宋体" w:hAnsi="宋体" w:eastAsia="宋体"/>
                <w:sz w:val="16"/>
              </w:rPr>
              <w:t>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0AF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5570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8545">
            <w:pPr>
              <w:jc w:val="center"/>
            </w:pPr>
            <w:r>
              <w:rPr>
                <w:rFonts w:ascii="宋体" w:hAnsi="宋体" w:eastAsia="宋体"/>
                <w:sz w:val="16"/>
              </w:rPr>
              <w:t>10.00</w:t>
            </w:r>
          </w:p>
        </w:tc>
      </w:tr>
      <w:tr w14:paraId="04969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789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C27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6F5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EAB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4AE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014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5D2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BA3C2">
            <w:pPr>
              <w:jc w:val="center"/>
            </w:pPr>
            <w:r>
              <w:rPr>
                <w:rFonts w:ascii="宋体" w:hAnsi="宋体" w:eastAsia="宋体"/>
                <w:sz w:val="16"/>
              </w:rPr>
              <w:t>—</w:t>
            </w:r>
          </w:p>
        </w:tc>
      </w:tr>
      <w:tr w14:paraId="684024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864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C3BD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ED5BE">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54231">
            <w:pPr>
              <w:jc w:val="center"/>
            </w:pPr>
            <w:r>
              <w:rPr>
                <w:rFonts w:ascii="宋体" w:hAnsi="宋体" w:eastAsia="宋体"/>
                <w:sz w:val="16"/>
              </w:rPr>
              <w:t>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8A7A3">
            <w:pPr>
              <w:jc w:val="center"/>
            </w:pPr>
            <w:r>
              <w:rPr>
                <w:rFonts w:ascii="宋体" w:hAnsi="宋体" w:eastAsia="宋体"/>
                <w:sz w:val="16"/>
              </w:rPr>
              <w:t>1.82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381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EA2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D607C">
            <w:pPr>
              <w:jc w:val="center"/>
            </w:pPr>
            <w:r>
              <w:rPr>
                <w:rFonts w:ascii="宋体" w:hAnsi="宋体" w:eastAsia="宋体"/>
                <w:sz w:val="16"/>
              </w:rPr>
              <w:t>—</w:t>
            </w:r>
          </w:p>
        </w:tc>
      </w:tr>
      <w:tr w14:paraId="63DEEB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9041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82A6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E5D877">
            <w:pPr>
              <w:jc w:val="center"/>
            </w:pPr>
            <w:r>
              <w:rPr>
                <w:rFonts w:ascii="宋体" w:hAnsi="宋体" w:eastAsia="宋体"/>
                <w:sz w:val="16"/>
              </w:rPr>
              <w:t>实际完成情况</w:t>
            </w:r>
          </w:p>
        </w:tc>
      </w:tr>
      <w:tr w14:paraId="797BB2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AF33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3170C9">
            <w:pPr>
              <w:jc w:val="both"/>
            </w:pPr>
            <w:r>
              <w:rPr>
                <w:rFonts w:ascii="宋体" w:hAnsi="宋体" w:eastAsia="宋体"/>
                <w:sz w:val="16"/>
              </w:rPr>
              <w:t>为提升办公效率，保障机构正常运行，2024年该项目计划完成单位办公设备维修维护1批，支出维修维护费用0.99万元；用于开展林业执法工作产生差旅费用及外出学习培训费用0.83万元。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809FEE">
            <w:pPr>
              <w:jc w:val="both"/>
            </w:pPr>
            <w:bookmarkStart w:id="0" w:name="_GoBack"/>
            <w:r>
              <w:rPr>
                <w:rFonts w:hint="eastAsia" w:ascii="宋体" w:hAnsi="宋体"/>
                <w:sz w:val="16"/>
                <w:lang w:eastAsia="zh-CN"/>
              </w:rPr>
              <w:t>截至</w:t>
            </w:r>
            <w:bookmarkEnd w:id="0"/>
            <w:r>
              <w:rPr>
                <w:rFonts w:ascii="宋体" w:hAnsi="宋体" w:eastAsia="宋体"/>
                <w:sz w:val="16"/>
              </w:rPr>
              <w:t>2024年12月31日，该项目完成办公设备维修维护1批，支出维修维护费用0.99万元；外出学习培训人员2人，支出差旅费用0.83万元。通过该项目实施及时维护办公设备，保障设备正常使用，提升办公效率，保障机构正常运行。</w:t>
            </w:r>
            <w:r>
              <w:rPr>
                <w:rFonts w:ascii="宋体" w:hAnsi="宋体" w:eastAsia="宋体"/>
                <w:sz w:val="16"/>
              </w:rPr>
              <w:br w:type="textWrapping"/>
            </w:r>
          </w:p>
        </w:tc>
      </w:tr>
      <w:tr w14:paraId="0E6F93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6D3F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27C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947C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D4D6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57D2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49C8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26F8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C8AB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7214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495E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12A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B7D4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FB1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67AF1">
            <w:pPr>
              <w:jc w:val="center"/>
            </w:pPr>
            <w:r>
              <w:rPr>
                <w:rFonts w:ascii="宋体" w:hAnsi="宋体" w:eastAsia="宋体"/>
                <w:sz w:val="16"/>
              </w:rPr>
              <w:t>偏差原因分析及改进措施</w:t>
            </w:r>
          </w:p>
        </w:tc>
      </w:tr>
      <w:tr w14:paraId="07B223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1D6DF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4E615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FFB0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0AF68">
            <w:pPr>
              <w:jc w:val="center"/>
            </w:pPr>
            <w:r>
              <w:rPr>
                <w:rFonts w:ascii="宋体" w:hAnsi="宋体" w:eastAsia="宋体"/>
                <w:sz w:val="16"/>
              </w:rPr>
              <w:t>维（修）护办公设备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8B6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0DD3E">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A99B0">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87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07E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AEF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C3C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6E9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CA5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8BE44">
            <w:pPr>
              <w:jc w:val="center"/>
            </w:pPr>
          </w:p>
        </w:tc>
      </w:tr>
      <w:tr w14:paraId="49EB8CA5">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875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8AB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3CA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BF0B8">
            <w:pPr>
              <w:jc w:val="center"/>
            </w:pPr>
            <w:r>
              <w:rPr>
                <w:rFonts w:ascii="宋体" w:hAnsi="宋体" w:eastAsia="宋体"/>
                <w:sz w:val="16"/>
              </w:rPr>
              <w:t>外出学习人数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F22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26F0">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79D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172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711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6E8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65B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052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3F3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57EE7">
            <w:pPr>
              <w:jc w:val="center"/>
            </w:pPr>
          </w:p>
        </w:tc>
      </w:tr>
      <w:tr w14:paraId="51D96E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C72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C06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9843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9384">
            <w:pPr>
              <w:jc w:val="center"/>
            </w:pPr>
            <w:r>
              <w:rPr>
                <w:rFonts w:ascii="宋体" w:hAnsi="宋体" w:eastAsia="宋体"/>
                <w:sz w:val="16"/>
              </w:rPr>
              <w:t>维（修）护验收合格率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79C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C4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0C8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A5A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811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14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884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C42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455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12E06">
            <w:pPr>
              <w:jc w:val="center"/>
            </w:pPr>
          </w:p>
        </w:tc>
      </w:tr>
      <w:tr w14:paraId="2D6FA6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354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9F4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211F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D1EF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CF1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1B76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DE6D">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C3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9E8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A8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5A2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AE71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52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15CB">
            <w:pPr>
              <w:jc w:val="center"/>
            </w:pPr>
          </w:p>
        </w:tc>
      </w:tr>
      <w:tr w14:paraId="78757D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23D4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0FFAC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F5A8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1A0D">
            <w:pPr>
              <w:jc w:val="center"/>
            </w:pPr>
            <w:r>
              <w:rPr>
                <w:rFonts w:ascii="宋体" w:hAnsi="宋体" w:eastAsia="宋体"/>
                <w:sz w:val="16"/>
              </w:rPr>
              <w:t>维（修）护费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36F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79136">
            <w:pPr>
              <w:jc w:val="center"/>
            </w:pPr>
            <w:r>
              <w:rPr>
                <w:rFonts w:ascii="宋体" w:hAnsi="宋体" w:eastAsia="宋体"/>
                <w:sz w:val="16"/>
              </w:rPr>
              <w:t>&lt;=0.99万元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0D02">
            <w:pPr>
              <w:jc w:val="center"/>
            </w:pPr>
            <w:r>
              <w:rPr>
                <w:rFonts w:ascii="宋体" w:hAnsi="宋体" w:eastAsia="宋体"/>
                <w:sz w:val="16"/>
              </w:rPr>
              <w:t>=0.99万元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61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CF3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751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019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C19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B13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5DDFF">
            <w:pPr>
              <w:jc w:val="center"/>
            </w:pPr>
          </w:p>
        </w:tc>
      </w:tr>
      <w:tr w14:paraId="43D622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E80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D44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A32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8D150">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B2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DFAD">
            <w:pPr>
              <w:jc w:val="center"/>
            </w:pPr>
            <w:r>
              <w:rPr>
                <w:rFonts w:ascii="宋体" w:hAnsi="宋体" w:eastAsia="宋体"/>
                <w:sz w:val="16"/>
              </w:rPr>
              <w:t>&lt;=0.83万元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EF586">
            <w:pPr>
              <w:jc w:val="center"/>
            </w:pPr>
            <w:r>
              <w:rPr>
                <w:rFonts w:ascii="宋体" w:hAnsi="宋体" w:eastAsia="宋体"/>
                <w:sz w:val="16"/>
              </w:rPr>
              <w:t>=0.83万元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6B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F7D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2D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D99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2F0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120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85FDD">
            <w:pPr>
              <w:jc w:val="center"/>
            </w:pPr>
          </w:p>
        </w:tc>
      </w:tr>
      <w:tr w14:paraId="64F0D0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522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095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EE9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E4CB4">
            <w:pPr>
              <w:jc w:val="center"/>
            </w:pPr>
            <w:r>
              <w:rPr>
                <w:rFonts w:ascii="宋体" w:hAnsi="宋体" w:eastAsia="宋体"/>
                <w:sz w:val="16"/>
              </w:rPr>
              <w:t>保障机构正常运转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C15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F63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A72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7F9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752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F13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423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0D52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C9B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22633">
            <w:pPr>
              <w:jc w:val="center"/>
            </w:pPr>
          </w:p>
        </w:tc>
      </w:tr>
      <w:tr w14:paraId="16A826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018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E314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725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115B">
            <w:pPr>
              <w:jc w:val="center"/>
            </w:pPr>
            <w:r>
              <w:rPr>
                <w:rFonts w:ascii="宋体" w:hAnsi="宋体" w:eastAsia="宋体"/>
                <w:sz w:val="16"/>
              </w:rPr>
              <w:t>单位职工满意度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F12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35EA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3D3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AEA4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2EE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B1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4CB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8F29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BD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6D7E5">
            <w:pPr>
              <w:jc w:val="center"/>
            </w:pPr>
            <w:r>
              <w:rPr>
                <w:rFonts w:ascii="宋体" w:hAnsi="宋体" w:eastAsia="宋体"/>
                <w:sz w:val="16"/>
              </w:rPr>
              <w:t>年初目标设置过低，年末满意度达到100%，因此，造成偏差。</w:t>
            </w:r>
          </w:p>
        </w:tc>
      </w:tr>
      <w:tr w14:paraId="69D4E5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270CA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F1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F146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47C2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1AB4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1B62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C87E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F1A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575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F19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E3534C"/>
        </w:tc>
      </w:tr>
    </w:tbl>
    <w:p w14:paraId="2F9AD65C">
      <w:r>
        <w:br w:type="page"/>
      </w:r>
    </w:p>
    <w:p w14:paraId="036B805D">
      <w:pPr>
        <w:spacing w:line="640" w:lineRule="exact"/>
        <w:ind w:firstLine="640"/>
        <w:jc w:val="both"/>
        <w:outlineLvl w:val="2"/>
      </w:pPr>
      <w:r>
        <w:rPr>
          <w:rFonts w:ascii="黑体" w:hAnsi="黑体" w:eastAsia="黑体"/>
          <w:sz w:val="32"/>
        </w:rPr>
        <w:t>十二、其他需说明的事项</w:t>
      </w:r>
    </w:p>
    <w:p w14:paraId="1FC452CF">
      <w:pPr>
        <w:spacing w:line="580" w:lineRule="exact"/>
        <w:ind w:firstLine="640"/>
        <w:jc w:val="both"/>
      </w:pPr>
      <w:r>
        <w:rPr>
          <w:rFonts w:ascii="仿宋_GB2312" w:hAnsi="仿宋_GB2312" w:eastAsia="仿宋_GB2312"/>
          <w:b w:val="0"/>
          <w:sz w:val="32"/>
        </w:rPr>
        <w:t>本单位无其他需说明的事项。</w:t>
      </w:r>
    </w:p>
    <w:p w14:paraId="166F66FF">
      <w:r>
        <w:br w:type="page"/>
      </w:r>
    </w:p>
    <w:p w14:paraId="11ECC662">
      <w:pPr>
        <w:spacing w:line="240" w:lineRule="auto"/>
        <w:jc w:val="center"/>
        <w:outlineLvl w:val="1"/>
      </w:pPr>
      <w:r>
        <w:rPr>
          <w:rFonts w:ascii="黑体" w:hAnsi="黑体" w:eastAsia="黑体"/>
          <w:sz w:val="32"/>
        </w:rPr>
        <w:t>第三部分 专业名词解释</w:t>
      </w:r>
    </w:p>
    <w:p w14:paraId="62B1370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2153C0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3DD46A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8B29EE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8BBE31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B1EFBC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272E22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079162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9AB147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82476F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1EA153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C7B002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EBFF56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A1D195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A73F8BE">
      <w:r>
        <w:br w:type="page"/>
      </w:r>
    </w:p>
    <w:p w14:paraId="0A537AC3">
      <w:pPr>
        <w:spacing w:line="240" w:lineRule="auto"/>
        <w:jc w:val="center"/>
        <w:outlineLvl w:val="1"/>
      </w:pPr>
      <w:r>
        <w:rPr>
          <w:rFonts w:ascii="黑体" w:hAnsi="黑体" w:eastAsia="黑体"/>
          <w:sz w:val="32"/>
        </w:rPr>
        <w:t>第四部分 部门决算报表（见附表）</w:t>
      </w:r>
    </w:p>
    <w:p w14:paraId="16B97B6E">
      <w:pPr>
        <w:spacing w:line="240" w:lineRule="auto"/>
        <w:ind w:firstLine="640"/>
        <w:jc w:val="both"/>
      </w:pPr>
      <w:r>
        <w:rPr>
          <w:rFonts w:ascii="仿宋_GB2312" w:hAnsi="仿宋_GB2312" w:eastAsia="仿宋_GB2312"/>
          <w:b w:val="0"/>
          <w:sz w:val="32"/>
        </w:rPr>
        <w:t>一、《收入支出决算总表》</w:t>
      </w:r>
    </w:p>
    <w:p w14:paraId="09631B10">
      <w:pPr>
        <w:spacing w:line="240" w:lineRule="auto"/>
        <w:ind w:firstLine="640"/>
        <w:jc w:val="both"/>
      </w:pPr>
      <w:r>
        <w:rPr>
          <w:rFonts w:ascii="仿宋_GB2312" w:hAnsi="仿宋_GB2312" w:eastAsia="仿宋_GB2312"/>
          <w:b w:val="0"/>
          <w:sz w:val="32"/>
        </w:rPr>
        <w:t>二、《收入决算表》</w:t>
      </w:r>
    </w:p>
    <w:p w14:paraId="57ADED03">
      <w:pPr>
        <w:spacing w:line="240" w:lineRule="auto"/>
        <w:ind w:firstLine="640"/>
        <w:jc w:val="both"/>
      </w:pPr>
      <w:r>
        <w:rPr>
          <w:rFonts w:ascii="仿宋_GB2312" w:hAnsi="仿宋_GB2312" w:eastAsia="仿宋_GB2312"/>
          <w:b w:val="0"/>
          <w:sz w:val="32"/>
        </w:rPr>
        <w:t>三、《支出决算表》</w:t>
      </w:r>
    </w:p>
    <w:p w14:paraId="5FCB103F">
      <w:pPr>
        <w:spacing w:line="240" w:lineRule="auto"/>
        <w:ind w:firstLine="640"/>
        <w:jc w:val="both"/>
      </w:pPr>
      <w:r>
        <w:rPr>
          <w:rFonts w:ascii="仿宋_GB2312" w:hAnsi="仿宋_GB2312" w:eastAsia="仿宋_GB2312"/>
          <w:b w:val="0"/>
          <w:sz w:val="32"/>
        </w:rPr>
        <w:t>四、《财政拨款收入支出决算总表》</w:t>
      </w:r>
    </w:p>
    <w:p w14:paraId="0DAFA3FC">
      <w:pPr>
        <w:spacing w:line="240" w:lineRule="auto"/>
        <w:ind w:firstLine="640"/>
        <w:jc w:val="both"/>
      </w:pPr>
      <w:r>
        <w:rPr>
          <w:rFonts w:ascii="仿宋_GB2312" w:hAnsi="仿宋_GB2312" w:eastAsia="仿宋_GB2312"/>
          <w:b w:val="0"/>
          <w:sz w:val="32"/>
        </w:rPr>
        <w:t>五、《一般公共预算财政拨款支出决算表》</w:t>
      </w:r>
    </w:p>
    <w:p w14:paraId="57318AB4">
      <w:pPr>
        <w:spacing w:line="240" w:lineRule="auto"/>
        <w:ind w:firstLine="640"/>
        <w:jc w:val="both"/>
      </w:pPr>
      <w:r>
        <w:rPr>
          <w:rFonts w:ascii="仿宋_GB2312" w:hAnsi="仿宋_GB2312" w:eastAsia="仿宋_GB2312"/>
          <w:b w:val="0"/>
          <w:sz w:val="32"/>
        </w:rPr>
        <w:t>六、《一般公共预算财政拨款基本支出决算表》</w:t>
      </w:r>
    </w:p>
    <w:p w14:paraId="2E7CFA2F">
      <w:pPr>
        <w:spacing w:line="240" w:lineRule="auto"/>
        <w:ind w:firstLine="640"/>
        <w:jc w:val="both"/>
      </w:pPr>
      <w:r>
        <w:rPr>
          <w:rFonts w:ascii="仿宋_GB2312" w:hAnsi="仿宋_GB2312" w:eastAsia="仿宋_GB2312"/>
          <w:b w:val="0"/>
          <w:sz w:val="32"/>
        </w:rPr>
        <w:t>七、《政府性基金预算财政拨款收入支出决算表》</w:t>
      </w:r>
    </w:p>
    <w:p w14:paraId="49E1AF2A">
      <w:pPr>
        <w:spacing w:line="240" w:lineRule="auto"/>
        <w:ind w:firstLine="640"/>
        <w:jc w:val="both"/>
      </w:pPr>
      <w:r>
        <w:rPr>
          <w:rFonts w:ascii="仿宋_GB2312" w:hAnsi="仿宋_GB2312" w:eastAsia="仿宋_GB2312"/>
          <w:b w:val="0"/>
          <w:sz w:val="32"/>
        </w:rPr>
        <w:t>八、《国有资本经营预算财政拨款收入支出决算表》</w:t>
      </w:r>
    </w:p>
    <w:p w14:paraId="4F7B8ECF">
      <w:pPr>
        <w:spacing w:line="240" w:lineRule="auto"/>
        <w:ind w:firstLine="640"/>
        <w:jc w:val="both"/>
      </w:pPr>
      <w:r>
        <w:rPr>
          <w:rFonts w:ascii="仿宋_GB2312" w:hAnsi="仿宋_GB2312" w:eastAsia="仿宋_GB2312"/>
          <w:b w:val="0"/>
          <w:sz w:val="32"/>
        </w:rPr>
        <w:t>九、《财政拨款“三公”经费支出决算表》</w:t>
      </w:r>
    </w:p>
    <w:p w14:paraId="15F17B79">
      <w:pPr>
        <w:spacing w:line="240" w:lineRule="auto"/>
        <w:ind w:firstLine="640"/>
        <w:jc w:val="both"/>
      </w:pPr>
    </w:p>
    <w:p w14:paraId="68D2AEC1">
      <w:pPr>
        <w:spacing w:line="240" w:lineRule="auto"/>
        <w:ind w:firstLine="640"/>
        <w:jc w:val="both"/>
      </w:pPr>
    </w:p>
    <w:p w14:paraId="4E26A412">
      <w:pPr>
        <w:spacing w:line="240" w:lineRule="auto"/>
        <w:ind w:firstLine="640"/>
        <w:jc w:val="both"/>
      </w:pPr>
    </w:p>
    <w:p w14:paraId="6C5F6CE0">
      <w:pPr>
        <w:spacing w:line="240" w:lineRule="auto"/>
        <w:ind w:firstLine="640"/>
        <w:jc w:val="both"/>
      </w:pPr>
    </w:p>
    <w:p w14:paraId="2A9E7C6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3C420B"/>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5955</Words>
  <Characters>6772</Characters>
  <Lines>0</Lines>
  <Paragraphs>0</Paragraphs>
  <TotalTime>2</TotalTime>
  <ScaleCrop>false</ScaleCrop>
  <LinksUpToDate>false</LinksUpToDate>
  <CharactersWithSpaces>6780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2025-10-15T04:56:09Z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eyJoZGlkIjoiOGQ0ZWIyZDA4MGU4OTg1MzhmNDY5YTA0MWQ2OWM3ZjEiLCJ1c2VySWQiOiIyMDM3MTI1NTkifQ==</vt:lpwstr>
  </property>
</Properties>
</file>